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4"/>
        <w:numPr>
          <w:ilvl w:val="1"/>
          <w:numId w:val="0"/>
        </w:numPr>
        <w:ind w:leftChars="0"/>
        <w:rPr>
          <w:rFonts w:hint="eastAsia" w:eastAsia="宋体"/>
          <w:lang w:val="en-US" w:eastAsia="zh-CN"/>
        </w:rPr>
      </w:pPr>
      <w:r>
        <w:t xml:space="preserve">Supplementary </w:t>
      </w:r>
      <w:r>
        <w:rPr>
          <w:rFonts w:hint="eastAsia" w:eastAsia="宋体"/>
          <w:lang w:val="en-US" w:eastAsia="zh-CN"/>
        </w:rPr>
        <w:t>Figure 1</w:t>
      </w:r>
    </w:p>
    <w:p>
      <w:pPr>
        <w:pStyle w:val="4"/>
        <w:numPr>
          <w:ilvl w:val="1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15000" cy="6495415"/>
            <wp:effectExtent l="0" t="0" r="0" b="635"/>
            <wp:docPr id="3" name="图片 3" descr="Supplement Figure 1 GO enri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pplement Figure 1 GO enrichmen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49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 w:line="24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Supplementary 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Figure 1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GO analysis</w:t>
      </w:r>
      <w:r>
        <w:rPr>
          <w:rFonts w:hint="eastAsia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 xml:space="preserve"> of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differently expressed proteins</w:t>
      </w:r>
      <w:r>
        <w:rPr>
          <w:rFonts w:hint="eastAsia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eastAsia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 xml:space="preserve">The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differently expressed proteins</w:t>
      </w:r>
      <w:r>
        <w:rPr>
          <w:rFonts w:hint="eastAsia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mainly regulate</w:t>
      </w:r>
      <w:r>
        <w:rPr>
          <w:rFonts w:hint="eastAsia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 xml:space="preserve"> cell-cell adhesion</w:t>
      </w:r>
      <w:r>
        <w:rPr>
          <w:rFonts w:hint="default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 xml:space="preserve"> cell-cell adherens junction, extracellular matrix organization,</w:t>
      </w:r>
      <w:r>
        <w:rPr>
          <w:rFonts w:hint="default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extrcellular region,</w:t>
      </w:r>
      <w:r>
        <w:rPr>
          <w:rFonts w:hint="default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 xml:space="preserve"> and </w:t>
      </w:r>
      <w:r>
        <w:rPr>
          <w:rFonts w:hint="eastAsia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cadherin binding in</w:t>
      </w:r>
      <w:bookmarkStart w:id="2" w:name="_GoBack"/>
      <w:bookmarkEnd w:id="2"/>
      <w:r>
        <w:rPr>
          <w:rFonts w:hint="eastAsia" w:ascii="Times New Roman" w:hAnsi="Times New Roman" w:eastAsia="AdvOT863180fb" w:cs="Times New Roman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volved in cell-cell adhesion.</w:t>
      </w:r>
    </w:p>
    <w:p>
      <w:pPr>
        <w:pStyle w:val="4"/>
        <w:numPr>
          <w:ilvl w:val="1"/>
          <w:numId w:val="0"/>
        </w:numPr>
        <w:ind w:leftChars="0"/>
        <w:rPr>
          <w:rFonts w:hint="eastAsia" w:eastAsia="宋体"/>
          <w:lang w:val="en-US" w:eastAsia="zh-CN"/>
        </w:rPr>
      </w:pPr>
      <w:r>
        <w:t>Supplementary Table</w:t>
      </w:r>
      <w:r>
        <w:rPr>
          <w:rFonts w:hint="eastAsia" w:eastAsia="宋体"/>
          <w:lang w:val="en-US" w:eastAsia="zh-CN"/>
        </w:rPr>
        <w:t xml:space="preserve"> 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Table 1 Down-regulated proteins in ADR/Exo (log2FoldChange|≧1.0)</w:t>
      </w:r>
    </w:p>
    <w:tbl>
      <w:tblPr>
        <w:tblStyle w:val="21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geneName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log2FC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p.value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Q8N139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ABCA6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-2.749913623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1.01E-20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1.27E-18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Q6UXH8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CCBE1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-2.568773782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7.06E-15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4.20E-14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Q15113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PCOLCE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-2.030636749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4.16E-20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3.02E-18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P42226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STAT6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-2.029372498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1.31E-17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1.75E-16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P28300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LOX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-1.964732595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2.11E-17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2.59E-16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Q92616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GCN1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-1.90252404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1.52E-12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5.61E-12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Q96JB1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DNAH8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-1.74259009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2.20E-16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1.99E-15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P45877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PPIC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-1.733721336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9.79E-17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9.92E-16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Q96JB3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HIC2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-1.641697244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4.05E-17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4.46E-16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Q9P2B2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PTGFRN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-1.641418313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8.64E-19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2.11E-17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P04196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-1.614183536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6.78E-19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1.81E-17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P09104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ENO2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-1.608579238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3.88E-17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4.32E-16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P02452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-1.540018335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2.26E-19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8.64E-18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Q9H444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CHMP4B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-1.458281503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3.59E-17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P69891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HBG1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-1.410841247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2.43E-19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8.91E-18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Q92743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HTRA1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-1.407445068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2.32E-17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P35527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KRT9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-1.286180149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1.39E-16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1.32E-15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P35442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THBS2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-1.281549857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4.80E-20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3.02E-18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Q8WUM4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PDCD6IP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-1.272078017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3.80E-21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6.70E-19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P04264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KRT1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-1.255475836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1.47E-16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Q86UQ4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ABCA13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-1.235719556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4.95E-16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3.96E-15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P98095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FBLN2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-1.234047063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2.53E-18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5.02E-17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O00560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SDCBP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-1.228518401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1.65E-16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O75787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ATP6AP2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-1.217030018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4.58E-16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3.74E-15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Q14644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RASA3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-1.197061891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3.46E-17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4.02E-16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P05543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SERPINA7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-1.194182102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3.87E-15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2.54E-14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P27169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PON1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-1.183708286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1.42E-15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1.03E-14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Q96IY4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CPB2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-1.18209426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5.65E-15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3.52E-14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Q8IUX7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AEBP1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-1.177460612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5.67E-15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3.52E-14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Q13163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MAP2K5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-1.166608274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7.20E-22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2.11E-19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Q9NQ79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CRTAC1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-1.153827418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4.49E-12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1.47E-11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Q9UBX5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FBLN5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-1.150018759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2.87E-18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5.33E-17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P22352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GPX3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-1.14279763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1.14E-15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P08123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-1.12703972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5.74E-18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9.21E-17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P00734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-1.123334375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6.85E-20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3.55E-18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P35908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KRT2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-1.118460938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1.14E-17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1.65E-16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P13645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KRT10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-1.103906127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2.02E-15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1.39E-14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P12110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COL6A2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-1.099515524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1.10E-14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6.23E-14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Q08830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FGL1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-1.089668388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2.36E-17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2.81E-16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Q03181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PPARD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-1.085861659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3.87E-16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3.22E-15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P51888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PRELP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-1.081786073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4.83E-12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1.57E-11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Q9UKL3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CASP8AP2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-1.062406911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2.12E-14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1.14E-13</w:t>
            </w:r>
          </w:p>
        </w:tc>
      </w:tr>
    </w:tbl>
    <w:p>
      <w:pPr>
        <w:pStyle w:val="4"/>
        <w:numPr>
          <w:ilvl w:val="1"/>
          <w:numId w:val="0"/>
        </w:numPr>
        <w:ind w:leftChars="0"/>
        <w:rPr>
          <w:rFonts w:hint="default" w:eastAsia="宋体"/>
          <w:lang w:val="en-US" w:eastAsia="zh-CN"/>
        </w:rPr>
      </w:pPr>
      <w:r>
        <w:t>Supplementary Table</w:t>
      </w:r>
      <w:r>
        <w:rPr>
          <w:rFonts w:hint="eastAsia" w:eastAsia="宋体"/>
          <w:lang w:val="en-US" w:eastAsia="zh-CN"/>
        </w:rPr>
        <w:t xml:space="preserve"> 2</w:t>
      </w:r>
    </w:p>
    <w:p>
      <w:pPr>
        <w:keepNext w:val="0"/>
        <w:keepLines w:val="0"/>
        <w:widowControl/>
        <w:suppressLineNumbers w:val="0"/>
        <w:jc w:val="center"/>
        <w:textAlignment w:val="center"/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Table 2 Up-regulated proteins in ADR/Exo (log2FoldChange|≧1.0)</w:t>
      </w:r>
    </w:p>
    <w:tbl>
      <w:tblPr>
        <w:tblStyle w:val="21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geneName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log2FC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p.value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P21589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NT5E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1.009819327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4.74E-14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2.35E-13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P63313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TMSB10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1.010447833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1.98E-13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8.62E-13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A0A0C4DH25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IGKV3D-20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1.01148149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8.14E-16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6.29E-15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P30530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AXL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1.019494342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1.02E-10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2.69E-10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P36873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PPP1CC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1.020861041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2.07E-06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3.15E-06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Q6Y7W6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GIGYF2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1.054584991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0.008236081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0.009792156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Q01469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FABP5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1.082601951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1.33E-12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4.99E-12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P07355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ANXA2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1.085642302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5.75E-18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9.21E-17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P05783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KRT18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1.089381553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3.56E-19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P15311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EZR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1.092422023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P08183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ABCB1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1.100920565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1.80E-13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7.88E-13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P03956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MMP1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1.107720918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3.41E-16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2.89E-15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P29279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CTGF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1.111400029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3.13E-19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P11234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RALB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1.132346931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4.82E-10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1.15E-09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P05362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ICAM1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1.136468428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5.81E-20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3.41E-18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O43707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ACTN4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1.137934567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1.69E-13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7.44E-13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Q9NZI8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IGF2BP1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1.137949597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1.06E-14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6.11E-14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P62318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SNRPD3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1.154095566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1.78E-17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2.28E-16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Q9BXJ9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NAA15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1.160094638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3.20E-10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7.89E-10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Q02952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AKAP12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1.165918327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3.42E-14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1.73E-13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Q14166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TTLL12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1.211203879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5.86E-17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6.22E-16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P13987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CD59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1.222304607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3.22E-23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1.42E-20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Q9HC35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EML4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1.232950225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5.39E-17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5.79E-16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P09936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UCHL1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1.254060267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1.75E-16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P0DP24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CALM2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1.256303687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5.77E-15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3.53E-14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Q05639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EEF1A2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1.257059569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1.04E-09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2.32E-09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Q96KK5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HIST1H2AH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1.259356299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2.97E-14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1.54E-13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P31947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SFN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1.284978449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1.24E-16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1.22E-15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P01705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IGLV2-23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1.292466271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2.15E-21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4.75E-19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P04792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HSPB1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1.329895601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2.52E-18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5.02E-17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Q15485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FCN2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1.334237769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4.60E-19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1.45E-17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P80723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BASP1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1.34673813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2.91E-13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1.23E-12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P00739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HPR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1.376022578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2.91E-18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5.33E-17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P17813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1.406909301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6.51E-20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3.55E-18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P16070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CD44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07068654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7.13E-18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1.09E-16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P48509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CD151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050753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9.36E-18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Q9GZP8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IMUP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1.512574238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8.84E-21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1.27E-18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O95816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BAG2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1.554351074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2.29E-18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4.81E-17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P49006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MARCKSL1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1.574548865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1.85E-15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Q16186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ADRM1</w:t>
            </w:r>
            <w:bookmarkEnd w:id="0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1.70465692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3.88E-09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8.03E-09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P31431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SDC4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1.852031808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1.52E-18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3.51E-17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P21926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1.948493353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7.11E-17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7.37E-16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P35613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BSG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2.103885514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5.82E-16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4.62E-15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P02795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MT2A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2.654815629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1.01E-13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4.68E-13</w:t>
            </w:r>
          </w:p>
        </w:tc>
      </w:tr>
    </w:tbl>
    <w:p>
      <w:pPr>
        <w:pStyle w:val="4"/>
        <w:numPr>
          <w:ilvl w:val="1"/>
          <w:numId w:val="0"/>
        </w:numPr>
        <w:ind w:leftChars="0"/>
        <w:rPr>
          <w:rFonts w:hint="default" w:eastAsia="宋体"/>
          <w:lang w:val="en-US" w:eastAsia="zh-CN"/>
        </w:rPr>
      </w:pPr>
      <w:r>
        <w:t>Supplementary Table</w:t>
      </w:r>
      <w:r>
        <w:rPr>
          <w:rFonts w:hint="eastAsia" w:eastAsia="宋体"/>
          <w:lang w:val="en-US" w:eastAsia="zh-CN"/>
        </w:rPr>
        <w:t xml:space="preserve"> 3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Table 3</w:t>
      </w:r>
      <w:r>
        <w:rPr>
          <w:rFonts w:hint="eastAsia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KEGG </w:t>
      </w:r>
      <w:r>
        <w:rPr>
          <w:rFonts w:hint="default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analysis</w:t>
      </w:r>
    </w:p>
    <w:tbl>
      <w:tblPr>
        <w:tblStyle w:val="21"/>
        <w:tblW w:w="856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582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KEGG pathway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Proteins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7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ECM-receptor interaction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THBS2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COL6A2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COL5A1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COL2A1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ITGB1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ITGB5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TNC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SDC4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VTN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HSPG2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CD44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7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Focal adhesion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THBS2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COL6A2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COL5A1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PPP1CA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FLNC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ACTN1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TNC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COL2A1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ACTG1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VTN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ACTN4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7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PI3K-Akt signaling pathway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THBS2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TNC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GNB1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COL6A2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COL5A1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COL2A1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VTN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7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Complement and coagulation cascades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CD59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SERPIND1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F13A1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F10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MBL2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SERPINF2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PLG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CPB2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7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Platelet activation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COL5A1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COL2A1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ACTG1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PLCB3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Amoebiasis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ACTN1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COL5A1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COL2A1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PLCB3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ACTN4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HSPB1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Protein digestion and absorption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COL6A2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COL5A1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COL2A1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CPB2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Leukocyte transendothelial migration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ACTN1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EZR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ICAM1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MSN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ACTG1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ACTN4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PPAR signaling pathway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FABP5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UBC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LPL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PPARD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APOA1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PLTP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MMP1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Biosynthesis of amino acids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ALDOB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TPI1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GAPDH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PFKP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IDH1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ENO2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PGAM2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Glycolysis / Gluconeogenesis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ALDOB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TPI1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GAPDH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PFKP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ENO2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PGAM2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Carbon metabolism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ALDOB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TPI1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GAPDH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PFKP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IDH1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ENO2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PGAM2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Biosynthesis of antibiotics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ALDOB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UAP1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TPI1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GAPDH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PCYOX1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PAICS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PFKP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IDH1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ENO2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PGAM2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Fructose and mannose metabolism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ALDOB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TPI1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PFKP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Metabolic pathways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PTGES3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ALDOB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UAP1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TPI1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GAPDH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PFKP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NT5E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CKM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PLCB3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AMY1A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PRDX6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PAICS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IDH1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ENO2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PGAM2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ANPEP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Cell adhesion molecules (CAMs)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ICOSLG, ITGB1, ICAM1, SDC4, NCAM1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Protein processing in endoplasmic reticulum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HSPA8, BAG2, HSPA5, HYOU1, ERP29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Adherens junction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IQGAP1, ACTN1,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"https://www.genecards.org/cgi-bin/carddisp.pl?gene=ACTG1&amp;keywords=P63261" \t "https://www.genecards.org/Search/_blank"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ACTG1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 CSNK2B, ACTN4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Protein processing in endoplasmic reticulum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HSPA8, BAG2, HSPA5, HYOU1,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"https://www.genecards.org/cgi-bin/carddisp.pl?gene=ACTG1&amp;keywords=P63261" \t "https://www.genecards.org/Search/_blank"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ACTG1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Staphylococcus aureus infection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"https://www.genecards.org/cgi-bin/carddisp.pl?gene=C5&amp;keywords=P01031" \t "https://www.genecards.org/Search/_blank"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 MBL2,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"https://www.genecards.org/cgi-bin/carddisp.pl?gene=ICAM1&amp;keywords=P05362" \t "https://www.genecards.org/Search/_blank"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ICAM1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"https://www.genecards.org/cgi-bin/carddisp.pl?gene=C3&amp;keywords=P01024" \t "https://www.genecards.org/Search/_blank"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 PLG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 transporters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ABCA6, ABCB1, ABCA13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Systemic lupus erythematosus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ACTN1,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 HIST1H2BL, SNRPD3, HIST1H3A, HIST1H2AH, ACTN4, C3, HIST1H4A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Alcoholism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HIST1H2BL, GNB1, CALM2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PPP1CC, HIST1H3A, HIST1H2AH, PPP1CA, HIST1H4A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Phagosome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THBS2, ITGB5, CORO1A, MBL2, ITGB1, TUBB2B, ACTG1, C3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Arrhythmogenic right ventricular cardiomyopathy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ITGB5, ITGB1, ACTG1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Hypertrophic cardiomyopathy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ITGB5, ITGB1, ACTG1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Dilated cardiomyopathy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ITGB5, ITGB1, ACTG1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Dopaminergic synapse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GNB1, CALM2, PPP1CC, PLCB3, 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Circadian entrainment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GNB1, CALM2, PLCB3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Oxytocin signaling pathway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CALM2, PPP1CC, MYL6, ACTG1, PLCB3, MAP2K5, 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Vascular smooth muscle contraction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CALM2, PPP1CC, MYL6, PLCB3, PRKCE, 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Inflammatory mediator regulation of TRP channels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CALM2, PPP1CC, PLCB3, PRKCE, 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Long-term potentiation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CALM2, PPP1CC, PLCB3, 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Dopaminergic synapse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GNB1, CALM2, PPP1CC, PLCB3, 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Amphetamine addiction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CALM2, PPP1CC, 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cGMP-PKG signaling pathway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CALM2, PPP1CC, PLCB3, PRKCE, 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Aldosterone synthesis and secretion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CALM2, PLCB3, PRKCE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Adrenergic signaling in cardiomyocytes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CALM2,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PLCB3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Insulin resistance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Q02156,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Oocyte meiosis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CALM2,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Insulin signaling pathway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CALM2,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cAMP signaling pathway</w:t>
            </w:r>
          </w:p>
        </w:tc>
        <w:tc>
          <w:tcPr>
            <w:tcW w:w="5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CALM2,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PPP1CA</w:t>
            </w:r>
          </w:p>
        </w:tc>
      </w:tr>
    </w:tbl>
    <w:p>
      <w:pPr>
        <w:pStyle w:val="4"/>
        <w:numPr>
          <w:ilvl w:val="1"/>
          <w:numId w:val="0"/>
        </w:numPr>
        <w:ind w:leftChars="0"/>
        <w:rPr>
          <w:rFonts w:hint="default" w:eastAsia="宋体"/>
          <w:lang w:val="en-US" w:eastAsia="zh-CN"/>
        </w:rPr>
      </w:pPr>
      <w:r>
        <w:t>Supplementary Table</w:t>
      </w:r>
      <w:r>
        <w:rPr>
          <w:rFonts w:hint="eastAsia" w:eastAsia="宋体"/>
          <w:lang w:val="en-US" w:eastAsia="zh-CN"/>
        </w:rPr>
        <w:t xml:space="preserve"> 4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Table </w:t>
      </w:r>
      <w:r>
        <w:rPr>
          <w:rFonts w:hint="eastAsia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Antibodies for </w:t>
      </w:r>
      <w:bookmarkStart w:id="1" w:name="OLE_LINK47"/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Flow cytometry analysis</w:t>
      </w:r>
      <w:bookmarkEnd w:id="1"/>
    </w:p>
    <w:tbl>
      <w:tblPr>
        <w:tblStyle w:val="21"/>
        <w:tblW w:w="856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Protein</w:t>
            </w:r>
          </w:p>
        </w:tc>
        <w:tc>
          <w:tcPr>
            <w:tcW w:w="685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Antibody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ABCA6</w:t>
            </w:r>
          </w:p>
        </w:tc>
        <w:tc>
          <w:tcPr>
            <w:tcW w:w="685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Anti-ABCA6 antibody, CN. ab180567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CCBE1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Invitrogen, CCBE1 Polyclonal Antibody, CN.PA5-59534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PCOLCE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Anti-PCOLCE antibody, CN. ab220040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STAT6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BioLegend,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"https://www.biolegend.com/en-us/products/pe-anti-stat6-phospho-tyr641-antibody-13553"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 anti-STAT6 Phospho (Tyr641) Antibody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 CN. 686003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LOX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BioLegend, APC anti-human LOX-1 Antibody, CN. 358605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GCN1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Anti-GCN1 antibody, CN. ab86139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DNAH8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Anti-DNAH8 antibody, CN. ab121989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PPIC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Abcam, Anti-PPIC antibody [EPR15355], CN. ab184552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HIC2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Proteintech, HIC2 Rabbit Polyclonal antibody, CN. 22788-1-AP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PTGFRN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Anti-PTGFRN antibody, CN. ab97567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HRG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Proteintech, HRG Rabbit Polyclonal antibody, CN. 26252-1-AP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ENO2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BioLegend, Alexa Fluor® 488 anti-NSE Antibody, CN. 804904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COL1A1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Anti-Collagen I antibody [EPR22894-89], CN. ab260043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CD44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BioLegend, APC anti-human CD44 Antibody, CN. 338806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CD151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BioLegend, APC anti-human CD151 (PETA-3) Antibody, CN. 350405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IMUP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Anti-IMUP antibody, CN. ab221063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BAG2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Anti-BAG2 antibody [EPR3568], CN. ab80596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MARCKSL1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Abcam,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"https://www.abcam.cn/marcks-like-protein-antibody-epr15353-c-terminal-ab184546.html"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Anti-MARCKS like protein antibody [EPR15353]-C-terminal, CN. ab184546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ADRM1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Abcam, Anti-ADRM1 antibody [EPR11449(B)] (Phycoerythrin), CN. ab211702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SDC4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RD, Human Syndecan-4 APC-conjugated Antibody, CN. FAB29181A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CD9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BioLegend, APC anti-human CD9 Antibody, CN. 312107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BSG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BioLegend, APC anti-human CD147(BSG)Antibody, CN. 306213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MT2A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Proteintech, CoraLite488-Conjugated CES1 Antibody, CN. CL488-67079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CD63</w:t>
            </w:r>
          </w:p>
        </w:tc>
        <w:tc>
          <w:tcPr>
            <w:tcW w:w="68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Thermo Fisher Scientific, PE anti-human CD63 Monoclonal Antibody (H5C6), CN. 12-0639-41</w:t>
            </w:r>
          </w:p>
        </w:tc>
      </w:tr>
    </w:tbl>
    <w:p>
      <w:pPr>
        <w:spacing w:before="240"/>
        <w:jc w:val="center"/>
        <w:rPr>
          <w:rFonts w:hint="default"/>
          <w:lang w:val="en-US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vOT863180f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XLnphhUCAAAn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knen5xUCAAAl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147E388D"/>
    <w:rsid w:val="1C3E49AB"/>
    <w:rsid w:val="26FD56CD"/>
    <w:rsid w:val="2C5F75D7"/>
    <w:rsid w:val="6FD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1"/>
    <w:next w:val="1"/>
    <w:link w:val="47"/>
    <w:qFormat/>
    <w:uiPriority w:val="2"/>
    <w:pPr>
      <w:tabs>
        <w:tab w:val="left" w:pos="567"/>
      </w:tabs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TotalTime>7</TotalTime>
  <ScaleCrop>false</ScaleCrop>
  <LinksUpToDate>false</LinksUpToDate>
  <CharactersWithSpaces>1654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王晓红</cp:lastModifiedBy>
  <cp:lastPrinted>2013-10-03T12:51:00Z</cp:lastPrinted>
  <dcterms:modified xsi:type="dcterms:W3CDTF">2020-04-28T08:56:06Z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