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126"/>
        <w:gridCol w:w="1985"/>
        <w:gridCol w:w="1843"/>
      </w:tblGrid>
      <w:tr w:rsidR="005F46AD" w:rsidRPr="004A2A4B" w:rsidTr="003546D6">
        <w:tc>
          <w:tcPr>
            <w:tcW w:w="13008" w:type="dxa"/>
            <w:gridSpan w:val="6"/>
          </w:tcPr>
          <w:p w:rsidR="005F46AD" w:rsidRPr="004A2A4B" w:rsidRDefault="009E5FC0" w:rsidP="00E078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Supplementary table 1</w:t>
            </w:r>
            <w:r w:rsidR="005F46AD" w:rsidRPr="004A2A4B">
              <w:rPr>
                <w:rFonts w:ascii="Times New Roman" w:hAnsi="Times New Roman"/>
                <w:b/>
                <w:sz w:val="24"/>
                <w:szCs w:val="24"/>
              </w:rPr>
              <w:t>. Prevalence and grade of the toxicities assessed</w:t>
            </w:r>
            <w:r w:rsidR="005D528D">
              <w:rPr>
                <w:rFonts w:ascii="Times New Roman" w:hAnsi="Times New Roman"/>
                <w:b/>
                <w:sz w:val="24"/>
                <w:szCs w:val="24"/>
              </w:rPr>
              <w:t xml:space="preserve"> according to CTCAE</w:t>
            </w:r>
            <w:r w:rsidR="00534C4A">
              <w:rPr>
                <w:rFonts w:ascii="Times New Roman" w:hAnsi="Times New Roman"/>
                <w:b/>
                <w:sz w:val="24"/>
                <w:szCs w:val="24"/>
              </w:rPr>
              <w:t xml:space="preserve"> (n=308)</w:t>
            </w:r>
          </w:p>
        </w:tc>
      </w:tr>
      <w:tr w:rsidR="00DA604A" w:rsidRPr="004A2A4B" w:rsidTr="00701BCE">
        <w:tc>
          <w:tcPr>
            <w:tcW w:w="2518" w:type="dxa"/>
            <w:vAlign w:val="center"/>
          </w:tcPr>
          <w:p w:rsidR="00DA604A" w:rsidRPr="0030788C" w:rsidRDefault="009A0DE5" w:rsidP="00701B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788C">
              <w:rPr>
                <w:rFonts w:ascii="Times New Roman" w:hAnsi="Times New Roman"/>
                <w:b/>
                <w:sz w:val="20"/>
                <w:szCs w:val="20"/>
              </w:rPr>
              <w:t>Toxicity</w:t>
            </w:r>
          </w:p>
        </w:tc>
        <w:tc>
          <w:tcPr>
            <w:tcW w:w="2268" w:type="dxa"/>
            <w:vAlign w:val="center"/>
          </w:tcPr>
          <w:p w:rsidR="00DA604A" w:rsidRPr="0030788C" w:rsidRDefault="009A0DE5" w:rsidP="003C1E6E">
            <w:pPr>
              <w:tabs>
                <w:tab w:val="right" w:pos="20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88C">
              <w:rPr>
                <w:rFonts w:ascii="Times New Roman" w:hAnsi="Times New Roman"/>
                <w:b/>
                <w:sz w:val="20"/>
                <w:szCs w:val="20"/>
              </w:rPr>
              <w:t>Grade 0</w:t>
            </w:r>
            <w:r w:rsidR="0071068B" w:rsidRPr="0030788C">
              <w:rPr>
                <w:rFonts w:ascii="Times New Roman" w:hAnsi="Times New Roman"/>
                <w:b/>
                <w:sz w:val="20"/>
                <w:szCs w:val="20"/>
              </w:rPr>
              <w:t>, n (%)</w:t>
            </w:r>
          </w:p>
        </w:tc>
        <w:tc>
          <w:tcPr>
            <w:tcW w:w="2268" w:type="dxa"/>
            <w:vAlign w:val="center"/>
          </w:tcPr>
          <w:p w:rsidR="00DA604A" w:rsidRPr="0030788C" w:rsidRDefault="0071068B" w:rsidP="003C1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88C">
              <w:rPr>
                <w:rFonts w:ascii="Times New Roman" w:hAnsi="Times New Roman"/>
                <w:b/>
                <w:sz w:val="20"/>
                <w:szCs w:val="20"/>
              </w:rPr>
              <w:t xml:space="preserve">Grade </w:t>
            </w:r>
            <w:r w:rsidR="00E07853" w:rsidRPr="0030788C">
              <w:rPr>
                <w:rFonts w:ascii="Times New Roman" w:hAnsi="Times New Roman"/>
                <w:b/>
                <w:sz w:val="20"/>
                <w:szCs w:val="20"/>
              </w:rPr>
              <w:t>1, n (%)</w:t>
            </w:r>
          </w:p>
        </w:tc>
        <w:tc>
          <w:tcPr>
            <w:tcW w:w="2126" w:type="dxa"/>
            <w:vAlign w:val="center"/>
          </w:tcPr>
          <w:p w:rsidR="00DA604A" w:rsidRPr="0030788C" w:rsidRDefault="0071068B" w:rsidP="003C1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88C">
              <w:rPr>
                <w:rFonts w:ascii="Times New Roman" w:hAnsi="Times New Roman"/>
                <w:b/>
                <w:sz w:val="20"/>
                <w:szCs w:val="20"/>
              </w:rPr>
              <w:t xml:space="preserve">Grade </w:t>
            </w:r>
            <w:r w:rsidR="00E07853" w:rsidRPr="0030788C">
              <w:rPr>
                <w:rFonts w:ascii="Times New Roman" w:hAnsi="Times New Roman"/>
                <w:b/>
                <w:sz w:val="20"/>
                <w:szCs w:val="20"/>
              </w:rPr>
              <w:t>2, n (%)</w:t>
            </w:r>
          </w:p>
        </w:tc>
        <w:tc>
          <w:tcPr>
            <w:tcW w:w="1985" w:type="dxa"/>
            <w:vAlign w:val="center"/>
          </w:tcPr>
          <w:p w:rsidR="00DA604A" w:rsidRPr="0030788C" w:rsidRDefault="0071068B" w:rsidP="003C1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88C">
              <w:rPr>
                <w:rFonts w:ascii="Times New Roman" w:hAnsi="Times New Roman"/>
                <w:b/>
                <w:sz w:val="20"/>
                <w:szCs w:val="20"/>
              </w:rPr>
              <w:t xml:space="preserve">Grade </w:t>
            </w:r>
            <w:r w:rsidR="00E07853" w:rsidRPr="0030788C">
              <w:rPr>
                <w:rFonts w:ascii="Times New Roman" w:hAnsi="Times New Roman"/>
                <w:b/>
                <w:sz w:val="20"/>
                <w:szCs w:val="20"/>
              </w:rPr>
              <w:t>3, n (%)</w:t>
            </w:r>
          </w:p>
        </w:tc>
        <w:tc>
          <w:tcPr>
            <w:tcW w:w="1843" w:type="dxa"/>
            <w:vAlign w:val="center"/>
          </w:tcPr>
          <w:p w:rsidR="00DA604A" w:rsidRPr="0030788C" w:rsidRDefault="0071068B" w:rsidP="003C1E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88C">
              <w:rPr>
                <w:rFonts w:ascii="Times New Roman" w:hAnsi="Times New Roman"/>
                <w:b/>
                <w:sz w:val="20"/>
                <w:szCs w:val="20"/>
              </w:rPr>
              <w:t xml:space="preserve">Grade </w:t>
            </w:r>
            <w:r w:rsidR="00E07853" w:rsidRPr="0030788C">
              <w:rPr>
                <w:rFonts w:ascii="Times New Roman" w:hAnsi="Times New Roman"/>
                <w:b/>
                <w:sz w:val="20"/>
                <w:szCs w:val="20"/>
              </w:rPr>
              <w:t>4, n (%)</w:t>
            </w:r>
          </w:p>
        </w:tc>
      </w:tr>
      <w:tr w:rsidR="00DA604A" w:rsidRPr="004A2A4B" w:rsidTr="00701BCE">
        <w:tc>
          <w:tcPr>
            <w:tcW w:w="2518" w:type="dxa"/>
            <w:vAlign w:val="center"/>
          </w:tcPr>
          <w:p w:rsidR="00DA604A" w:rsidRPr="00701BCE" w:rsidRDefault="009A0DE5" w:rsidP="00701BCE">
            <w:pPr>
              <w:rPr>
                <w:rFonts w:ascii="Times New Roman" w:hAnsi="Times New Roman"/>
                <w:sz w:val="20"/>
                <w:szCs w:val="20"/>
              </w:rPr>
            </w:pPr>
            <w:r w:rsidRPr="00701BCE">
              <w:rPr>
                <w:rFonts w:ascii="Times New Roman" w:hAnsi="Times New Roman"/>
                <w:sz w:val="20"/>
                <w:szCs w:val="20"/>
              </w:rPr>
              <w:t>Diarrhoea</w:t>
            </w:r>
          </w:p>
        </w:tc>
        <w:tc>
          <w:tcPr>
            <w:tcW w:w="2268" w:type="dxa"/>
            <w:vAlign w:val="center"/>
          </w:tcPr>
          <w:p w:rsidR="00DA604A" w:rsidRPr="00701BCE" w:rsidRDefault="005E717B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(42.5%)</w:t>
            </w:r>
          </w:p>
        </w:tc>
        <w:tc>
          <w:tcPr>
            <w:tcW w:w="2268" w:type="dxa"/>
            <w:vAlign w:val="center"/>
          </w:tcPr>
          <w:p w:rsidR="00DA604A" w:rsidRPr="00701BCE" w:rsidRDefault="00CA5377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(18.8%)</w:t>
            </w:r>
          </w:p>
        </w:tc>
        <w:tc>
          <w:tcPr>
            <w:tcW w:w="2126" w:type="dxa"/>
            <w:vAlign w:val="center"/>
          </w:tcPr>
          <w:p w:rsidR="00DA604A" w:rsidRPr="00701BCE" w:rsidRDefault="005E717B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(20.8%)</w:t>
            </w:r>
          </w:p>
        </w:tc>
        <w:tc>
          <w:tcPr>
            <w:tcW w:w="1985" w:type="dxa"/>
            <w:vAlign w:val="center"/>
          </w:tcPr>
          <w:p w:rsidR="00DA604A" w:rsidRPr="00701BCE" w:rsidRDefault="005E717B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(16.9%)</w:t>
            </w:r>
          </w:p>
        </w:tc>
        <w:tc>
          <w:tcPr>
            <w:tcW w:w="1843" w:type="dxa"/>
            <w:vAlign w:val="center"/>
          </w:tcPr>
          <w:p w:rsidR="00DA604A" w:rsidRPr="00701BCE" w:rsidRDefault="005E717B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(1.0%)</w:t>
            </w:r>
          </w:p>
        </w:tc>
      </w:tr>
      <w:tr w:rsidR="00DA604A" w:rsidRPr="004A2A4B" w:rsidTr="00701BCE">
        <w:tc>
          <w:tcPr>
            <w:tcW w:w="2518" w:type="dxa"/>
            <w:vAlign w:val="center"/>
          </w:tcPr>
          <w:p w:rsidR="00DA604A" w:rsidRPr="00701BCE" w:rsidRDefault="009A0DE5" w:rsidP="00701BCE">
            <w:pPr>
              <w:rPr>
                <w:rFonts w:ascii="Times New Roman" w:hAnsi="Times New Roman"/>
                <w:sz w:val="20"/>
                <w:szCs w:val="20"/>
              </w:rPr>
            </w:pPr>
            <w:r w:rsidRPr="00701BCE">
              <w:rPr>
                <w:rFonts w:ascii="Times New Roman" w:hAnsi="Times New Roman"/>
                <w:sz w:val="20"/>
                <w:szCs w:val="20"/>
              </w:rPr>
              <w:t>Neutropenia</w:t>
            </w:r>
          </w:p>
        </w:tc>
        <w:tc>
          <w:tcPr>
            <w:tcW w:w="2268" w:type="dxa"/>
            <w:vAlign w:val="center"/>
          </w:tcPr>
          <w:p w:rsidR="00DA604A" w:rsidRPr="00701BCE" w:rsidRDefault="004423FD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(48.7%)</w:t>
            </w:r>
          </w:p>
        </w:tc>
        <w:tc>
          <w:tcPr>
            <w:tcW w:w="2268" w:type="dxa"/>
            <w:vAlign w:val="center"/>
          </w:tcPr>
          <w:p w:rsidR="00DA604A" w:rsidRPr="00701BCE" w:rsidRDefault="004423FD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(6.5%)</w:t>
            </w:r>
          </w:p>
        </w:tc>
        <w:tc>
          <w:tcPr>
            <w:tcW w:w="2126" w:type="dxa"/>
            <w:vAlign w:val="center"/>
          </w:tcPr>
          <w:p w:rsidR="00DA604A" w:rsidRPr="00701BCE" w:rsidRDefault="004423FD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(22.7%)</w:t>
            </w:r>
          </w:p>
        </w:tc>
        <w:tc>
          <w:tcPr>
            <w:tcW w:w="1985" w:type="dxa"/>
            <w:vAlign w:val="center"/>
          </w:tcPr>
          <w:p w:rsidR="00DA604A" w:rsidRPr="00701BCE" w:rsidRDefault="00CA5377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(18.5%)</w:t>
            </w:r>
          </w:p>
        </w:tc>
        <w:tc>
          <w:tcPr>
            <w:tcW w:w="1843" w:type="dxa"/>
            <w:vAlign w:val="center"/>
          </w:tcPr>
          <w:p w:rsidR="00DA604A" w:rsidRPr="00701BCE" w:rsidRDefault="004423FD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(3.6%)</w:t>
            </w:r>
          </w:p>
        </w:tc>
      </w:tr>
      <w:tr w:rsidR="00DA604A" w:rsidRPr="004A2A4B" w:rsidTr="00701BCE">
        <w:tc>
          <w:tcPr>
            <w:tcW w:w="2518" w:type="dxa"/>
            <w:vAlign w:val="center"/>
          </w:tcPr>
          <w:p w:rsidR="00DA604A" w:rsidRPr="00701BCE" w:rsidRDefault="009A0DE5" w:rsidP="00701BCE">
            <w:pPr>
              <w:rPr>
                <w:rFonts w:ascii="Times New Roman" w:hAnsi="Times New Roman"/>
                <w:sz w:val="20"/>
                <w:szCs w:val="20"/>
              </w:rPr>
            </w:pPr>
            <w:r w:rsidRPr="00701BCE">
              <w:rPr>
                <w:rFonts w:ascii="Times New Roman" w:hAnsi="Times New Roman"/>
                <w:sz w:val="20"/>
                <w:szCs w:val="20"/>
              </w:rPr>
              <w:t>Asthenia</w:t>
            </w:r>
          </w:p>
        </w:tc>
        <w:tc>
          <w:tcPr>
            <w:tcW w:w="2268" w:type="dxa"/>
            <w:vAlign w:val="center"/>
          </w:tcPr>
          <w:p w:rsidR="00DA604A" w:rsidRPr="00701BCE" w:rsidRDefault="00F305B0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(35.1%)</w:t>
            </w:r>
          </w:p>
        </w:tc>
        <w:tc>
          <w:tcPr>
            <w:tcW w:w="2268" w:type="dxa"/>
            <w:vAlign w:val="center"/>
          </w:tcPr>
          <w:p w:rsidR="00DA604A" w:rsidRPr="00701BCE" w:rsidRDefault="00F305B0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(14.6%)</w:t>
            </w:r>
          </w:p>
        </w:tc>
        <w:tc>
          <w:tcPr>
            <w:tcW w:w="2126" w:type="dxa"/>
            <w:vAlign w:val="center"/>
          </w:tcPr>
          <w:p w:rsidR="00DA604A" w:rsidRPr="00701BCE" w:rsidRDefault="00F305B0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(29.2%)</w:t>
            </w:r>
          </w:p>
        </w:tc>
        <w:tc>
          <w:tcPr>
            <w:tcW w:w="1985" w:type="dxa"/>
            <w:vAlign w:val="center"/>
          </w:tcPr>
          <w:p w:rsidR="00DA604A" w:rsidRPr="00701BCE" w:rsidRDefault="00CA5377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(19.8%)</w:t>
            </w:r>
          </w:p>
        </w:tc>
        <w:tc>
          <w:tcPr>
            <w:tcW w:w="1843" w:type="dxa"/>
            <w:vAlign w:val="center"/>
          </w:tcPr>
          <w:p w:rsidR="00DA604A" w:rsidRPr="00701BCE" w:rsidRDefault="00F305B0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(1.3%)</w:t>
            </w:r>
          </w:p>
        </w:tc>
      </w:tr>
      <w:tr w:rsidR="00DA604A" w:rsidRPr="004A2A4B" w:rsidTr="00701BCE">
        <w:tc>
          <w:tcPr>
            <w:tcW w:w="2518" w:type="dxa"/>
            <w:vAlign w:val="center"/>
          </w:tcPr>
          <w:p w:rsidR="00DA604A" w:rsidRPr="00701BCE" w:rsidRDefault="009A0DE5" w:rsidP="00701BCE">
            <w:pPr>
              <w:rPr>
                <w:rFonts w:ascii="Times New Roman" w:hAnsi="Times New Roman"/>
                <w:sz w:val="20"/>
                <w:szCs w:val="20"/>
              </w:rPr>
            </w:pPr>
            <w:r w:rsidRPr="00701BCE">
              <w:rPr>
                <w:rFonts w:ascii="Times New Roman" w:hAnsi="Times New Roman"/>
                <w:sz w:val="20"/>
                <w:szCs w:val="20"/>
              </w:rPr>
              <w:t>Nausea</w:t>
            </w:r>
          </w:p>
        </w:tc>
        <w:tc>
          <w:tcPr>
            <w:tcW w:w="2268" w:type="dxa"/>
            <w:vAlign w:val="center"/>
          </w:tcPr>
          <w:p w:rsidR="00DA604A" w:rsidRPr="00701BCE" w:rsidRDefault="007D380A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(55.2%)</w:t>
            </w:r>
          </w:p>
        </w:tc>
        <w:tc>
          <w:tcPr>
            <w:tcW w:w="2268" w:type="dxa"/>
            <w:vAlign w:val="center"/>
          </w:tcPr>
          <w:p w:rsidR="00DA604A" w:rsidRPr="00701BCE" w:rsidRDefault="00CA5377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(13.3%)</w:t>
            </w:r>
          </w:p>
        </w:tc>
        <w:tc>
          <w:tcPr>
            <w:tcW w:w="2126" w:type="dxa"/>
            <w:vAlign w:val="center"/>
          </w:tcPr>
          <w:p w:rsidR="00DA604A" w:rsidRPr="00701BCE" w:rsidRDefault="007D380A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(22.7%)</w:t>
            </w:r>
          </w:p>
        </w:tc>
        <w:tc>
          <w:tcPr>
            <w:tcW w:w="1985" w:type="dxa"/>
            <w:vAlign w:val="center"/>
          </w:tcPr>
          <w:p w:rsidR="00DA604A" w:rsidRPr="00701BCE" w:rsidRDefault="007D380A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(8.8%)</w:t>
            </w:r>
          </w:p>
        </w:tc>
        <w:tc>
          <w:tcPr>
            <w:tcW w:w="1843" w:type="dxa"/>
            <w:vAlign w:val="center"/>
          </w:tcPr>
          <w:p w:rsidR="00DA604A" w:rsidRPr="00701BCE" w:rsidRDefault="007D380A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(0%)</w:t>
            </w:r>
          </w:p>
        </w:tc>
      </w:tr>
      <w:tr w:rsidR="00DA604A" w:rsidRPr="004A2A4B" w:rsidTr="00701BCE">
        <w:tc>
          <w:tcPr>
            <w:tcW w:w="2518" w:type="dxa"/>
            <w:vAlign w:val="center"/>
          </w:tcPr>
          <w:p w:rsidR="00DA604A" w:rsidRPr="00701BCE" w:rsidRDefault="009A0DE5" w:rsidP="00701BCE">
            <w:pPr>
              <w:rPr>
                <w:rFonts w:ascii="Times New Roman" w:hAnsi="Times New Roman"/>
                <w:sz w:val="20"/>
                <w:szCs w:val="20"/>
              </w:rPr>
            </w:pPr>
            <w:r w:rsidRPr="00701BCE">
              <w:rPr>
                <w:rFonts w:ascii="Times New Roman" w:hAnsi="Times New Roman"/>
                <w:sz w:val="20"/>
                <w:szCs w:val="20"/>
              </w:rPr>
              <w:t>Mucositis</w:t>
            </w:r>
          </w:p>
        </w:tc>
        <w:tc>
          <w:tcPr>
            <w:tcW w:w="2268" w:type="dxa"/>
            <w:vAlign w:val="center"/>
          </w:tcPr>
          <w:p w:rsidR="00DA604A" w:rsidRPr="00701BCE" w:rsidRDefault="007D380A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(69.5%)</w:t>
            </w:r>
          </w:p>
        </w:tc>
        <w:tc>
          <w:tcPr>
            <w:tcW w:w="2268" w:type="dxa"/>
            <w:vAlign w:val="center"/>
          </w:tcPr>
          <w:p w:rsidR="00DA604A" w:rsidRPr="00701BCE" w:rsidRDefault="00CA5377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(14.3%)</w:t>
            </w:r>
          </w:p>
        </w:tc>
        <w:tc>
          <w:tcPr>
            <w:tcW w:w="2126" w:type="dxa"/>
            <w:vAlign w:val="center"/>
          </w:tcPr>
          <w:p w:rsidR="00DA604A" w:rsidRPr="00701BCE" w:rsidRDefault="007D380A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(13.3%)</w:t>
            </w:r>
          </w:p>
        </w:tc>
        <w:tc>
          <w:tcPr>
            <w:tcW w:w="1985" w:type="dxa"/>
            <w:vAlign w:val="center"/>
          </w:tcPr>
          <w:p w:rsidR="00DA604A" w:rsidRPr="00701BCE" w:rsidRDefault="007D380A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(2.9%)</w:t>
            </w:r>
          </w:p>
        </w:tc>
        <w:tc>
          <w:tcPr>
            <w:tcW w:w="1843" w:type="dxa"/>
            <w:vAlign w:val="center"/>
          </w:tcPr>
          <w:p w:rsidR="00DA604A" w:rsidRPr="00701BCE" w:rsidRDefault="007D380A" w:rsidP="003C1E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B1857">
              <w:rPr>
                <w:rFonts w:ascii="Times New Roman" w:hAnsi="Times New Roman"/>
                <w:sz w:val="20"/>
                <w:szCs w:val="20"/>
              </w:rPr>
              <w:t xml:space="preserve"> (0%)</w:t>
            </w:r>
          </w:p>
        </w:tc>
      </w:tr>
    </w:tbl>
    <w:p w:rsidR="00334D5E" w:rsidRPr="005D528D" w:rsidRDefault="005D52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Abbreviations: CTCAE, </w:t>
      </w:r>
      <w:r w:rsidRPr="005D528D">
        <w:rPr>
          <w:rFonts w:ascii="Times New Roman" w:hAnsi="Times New Roman"/>
          <w:sz w:val="20"/>
          <w:szCs w:val="20"/>
        </w:rPr>
        <w:t>Common Terminology Criteria for Adverse Events</w:t>
      </w:r>
      <w:r w:rsidR="00695083">
        <w:rPr>
          <w:rFonts w:ascii="Times New Roman" w:hAnsi="Times New Roman"/>
          <w:sz w:val="20"/>
          <w:szCs w:val="20"/>
        </w:rPr>
        <w:t xml:space="preserve"> (v5.0)</w:t>
      </w:r>
    </w:p>
    <w:sectPr w:rsidR="00334D5E" w:rsidRPr="005D528D" w:rsidSect="0071068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4A"/>
    <w:rsid w:val="00115F85"/>
    <w:rsid w:val="0030788C"/>
    <w:rsid w:val="00334D5E"/>
    <w:rsid w:val="003C1E6E"/>
    <w:rsid w:val="004423FD"/>
    <w:rsid w:val="004A2A4B"/>
    <w:rsid w:val="00534C4A"/>
    <w:rsid w:val="005D528D"/>
    <w:rsid w:val="005E717B"/>
    <w:rsid w:val="005F46AD"/>
    <w:rsid w:val="00640995"/>
    <w:rsid w:val="00695083"/>
    <w:rsid w:val="00701BCE"/>
    <w:rsid w:val="0071068B"/>
    <w:rsid w:val="007D380A"/>
    <w:rsid w:val="008B1857"/>
    <w:rsid w:val="009A0DE5"/>
    <w:rsid w:val="009E5FC0"/>
    <w:rsid w:val="00A92474"/>
    <w:rsid w:val="00CA5377"/>
    <w:rsid w:val="00D632CE"/>
    <w:rsid w:val="00DA604A"/>
    <w:rsid w:val="00E07853"/>
    <w:rsid w:val="00E548BB"/>
    <w:rsid w:val="00E95A54"/>
    <w:rsid w:val="00F3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Pau</cp:lastModifiedBy>
  <cp:revision>2</cp:revision>
  <dcterms:created xsi:type="dcterms:W3CDTF">2020-06-07T18:44:00Z</dcterms:created>
  <dcterms:modified xsi:type="dcterms:W3CDTF">2020-06-07T18:44:00Z</dcterms:modified>
</cp:coreProperties>
</file>