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88384" w14:textId="77777777" w:rsidR="00EB1B40" w:rsidRPr="00872B73" w:rsidRDefault="00EB1B40" w:rsidP="00EB1B40">
      <w:pPr>
        <w:pStyle w:val="AuthorList"/>
        <w:rPr>
          <w:sz w:val="32"/>
          <w:szCs w:val="32"/>
        </w:rPr>
      </w:pPr>
      <w:r w:rsidRPr="00872B73">
        <w:rPr>
          <w:sz w:val="32"/>
          <w:szCs w:val="32"/>
        </w:rPr>
        <w:t>Deep Benthic Ecosystem Impacts of the Deepwater Horizon Event: Assembling the Record of Species and Community Change</w:t>
      </w:r>
    </w:p>
    <w:p w14:paraId="41CA211D" w14:textId="77777777" w:rsidR="00EB1B40" w:rsidRDefault="00EB1B40" w:rsidP="00EB1B40">
      <w:pPr>
        <w:pStyle w:val="AuthorList"/>
        <w:rPr>
          <w:vertAlign w:val="superscript"/>
        </w:rPr>
      </w:pPr>
      <w:r>
        <w:t>Patrick T. Schwing</w:t>
      </w:r>
      <w:r w:rsidRPr="00A545C6">
        <w:rPr>
          <w:vertAlign w:val="superscript"/>
        </w:rPr>
        <w:t>1*</w:t>
      </w:r>
      <w:r w:rsidRPr="00376CC5">
        <w:t xml:space="preserve">, </w:t>
      </w:r>
      <w:r>
        <w:t>Paul A. Montagna</w:t>
      </w:r>
      <w:r w:rsidRPr="00A545C6">
        <w:rPr>
          <w:vertAlign w:val="superscript"/>
        </w:rPr>
        <w:t>2</w:t>
      </w:r>
      <w:r w:rsidRPr="00376CC5">
        <w:t xml:space="preserve">, </w:t>
      </w:r>
      <w:r>
        <w:t>Samantha Joye</w:t>
      </w:r>
      <w:r>
        <w:rPr>
          <w:vertAlign w:val="superscript"/>
        </w:rPr>
        <w:t>3</w:t>
      </w:r>
      <w:r w:rsidRPr="00376CC5">
        <w:t xml:space="preserve">, </w:t>
      </w:r>
      <w:r>
        <w:t>Claire B. Paris</w:t>
      </w:r>
      <w:r>
        <w:rPr>
          <w:vertAlign w:val="superscript"/>
        </w:rPr>
        <w:t>4</w:t>
      </w:r>
      <w:r w:rsidRPr="00376CC5">
        <w:t xml:space="preserve">, </w:t>
      </w:r>
      <w:r>
        <w:t>Erik E. Cordes</w:t>
      </w:r>
      <w:r>
        <w:rPr>
          <w:vertAlign w:val="superscript"/>
        </w:rPr>
        <w:t>5</w:t>
      </w:r>
      <w:r>
        <w:t>, Craig R. McClain</w:t>
      </w:r>
      <w:r>
        <w:rPr>
          <w:vertAlign w:val="superscript"/>
        </w:rPr>
        <w:t>6</w:t>
      </w:r>
      <w:r w:rsidRPr="00376CC5">
        <w:t xml:space="preserve">, </w:t>
      </w:r>
      <w:r>
        <w:t>Joshua P. Kilborn</w:t>
      </w:r>
      <w:r>
        <w:rPr>
          <w:vertAlign w:val="superscript"/>
        </w:rPr>
        <w:t>7</w:t>
      </w:r>
      <w:r>
        <w:t>,</w:t>
      </w:r>
      <w:r>
        <w:rPr>
          <w:vertAlign w:val="superscript"/>
        </w:rPr>
        <w:t xml:space="preserve"> </w:t>
      </w:r>
      <w:r>
        <w:t>Steve A. Murawski</w:t>
      </w:r>
      <w:r>
        <w:rPr>
          <w:vertAlign w:val="superscript"/>
        </w:rPr>
        <w:t>7</w:t>
      </w:r>
    </w:p>
    <w:p w14:paraId="1A407441" w14:textId="77777777" w:rsidR="003B5EB6" w:rsidRDefault="003B5EB6" w:rsidP="003B5EB6"/>
    <w:p w14:paraId="35B89278" w14:textId="77777777" w:rsidR="003B5EB6" w:rsidRPr="003B5EB6" w:rsidRDefault="003B5EB6" w:rsidP="003B5EB6"/>
    <w:p w14:paraId="3BD5A427" w14:textId="7F85BC5F" w:rsidR="00EA3D3C" w:rsidRDefault="00654E8F" w:rsidP="0001436A">
      <w:pPr>
        <w:pStyle w:val="Heading1"/>
      </w:pPr>
      <w:r w:rsidRPr="0091785E">
        <w:t xml:space="preserve">Supplementary </w:t>
      </w:r>
      <w:r w:rsidR="00EB1B40">
        <w:t xml:space="preserve">Statistical </w:t>
      </w:r>
      <w:r w:rsidR="003E6F8E" w:rsidRPr="0091785E">
        <w:t>Methods</w:t>
      </w:r>
      <w:r w:rsidR="00991F21">
        <w:t xml:space="preserve"> and Data</w:t>
      </w:r>
    </w:p>
    <w:p w14:paraId="2F6CF584" w14:textId="61A8BC7E" w:rsidR="00DE1C09" w:rsidRPr="00DE1C09" w:rsidRDefault="00F52A04" w:rsidP="002D55A0">
      <w:pPr>
        <w:jc w:val="both"/>
      </w:pPr>
      <w:r>
        <w:t>Multivariate s</w:t>
      </w:r>
      <w:r w:rsidR="00DE1C09">
        <w:t xml:space="preserve">tatistical analyses were performed in MATLAB version 2019a, and implemented using the Fathom </w:t>
      </w:r>
      <w:r w:rsidR="00DE1C09">
        <w:fldChar w:fldCharType="begin"/>
      </w:r>
      <w:r w:rsidR="00444A35">
        <w:instrText xml:space="preserve"> ADDIN EN.CITE &lt;EndNote&gt;&lt;Cite&gt;&lt;Author&gt;Jones&lt;/Author&gt;&lt;Year&gt;2017&lt;/Year&gt;&lt;RecNum&gt;544&lt;/RecNum&gt;&lt;DisplayText&gt;(Jones, 2017)&lt;/DisplayText&gt;&lt;record&gt;&lt;rec-number&gt;544&lt;/rec-number&gt;&lt;foreign-keys&gt;&lt;key app="EN" db-id="tzefe52sesd0f6evw2nvv0zexre9sv02092t" timestamp="1344971775"&gt;544&lt;/key&gt;&lt;/foreign-keys&gt;&lt;ref-type name="Computer Program"&gt;9&lt;/ref-type&gt;&lt;contributors&gt;&lt;authors&gt;&lt;author&gt;Jones, David L.&lt;/author&gt;&lt;/authors&gt;&lt;/contributors&gt;&lt;titles&gt;&lt;title&gt;The Fathom Toolbox for MATLAB: Software for multivariate ecological and oceanographic analysis&lt;/title&gt;&lt;/titles&gt;&lt;dates&gt;&lt;year&gt;2017&lt;/year&gt;&lt;/dates&gt;&lt;pub-location&gt;St. Petersburg, FL, USA. Available from: https://www.marine.usf.edu/research/matlab-resources/&lt;/pub-location&gt;&lt;publisher&gt;University of South Florida, College of Marine Science&lt;/publisher&gt;&lt;urls&gt;&lt;related-urls&gt;&lt;url&gt;https://www.marine.usf.edu/research/matlab-resources/&lt;/url&gt;&lt;/related-urls&gt;&lt;/urls&gt;&lt;/record&gt;&lt;/Cite&gt;&lt;/EndNote&gt;</w:instrText>
      </w:r>
      <w:r w:rsidR="00DE1C09">
        <w:fldChar w:fldCharType="separate"/>
      </w:r>
      <w:r w:rsidR="00444A35">
        <w:rPr>
          <w:noProof/>
        </w:rPr>
        <w:t>(Jones, 2017)</w:t>
      </w:r>
      <w:r w:rsidR="00DE1C09">
        <w:fldChar w:fldCharType="end"/>
      </w:r>
      <w:r w:rsidR="00444A35">
        <w:t xml:space="preserve"> and </w:t>
      </w:r>
      <w:proofErr w:type="spellStart"/>
      <w:r w:rsidR="00444A35">
        <w:t>Darkside</w:t>
      </w:r>
      <w:proofErr w:type="spellEnd"/>
      <w:r w:rsidR="00444A35">
        <w:t xml:space="preserve"> </w:t>
      </w:r>
      <w:r w:rsidR="00444A35">
        <w:fldChar w:fldCharType="begin"/>
      </w:r>
      <w:r w:rsidR="00444A35">
        <w:instrText xml:space="preserve"> ADDIN EN.CITE &lt;EndNote&gt;&lt;Cite&gt;&lt;Author&gt;Kilborn&lt;/Author&gt;&lt;Year&gt;2020&lt;/Year&gt;&lt;RecNum&gt;1709&lt;/RecNum&gt;&lt;DisplayText&gt;(Kilborn, 2020)&lt;/DisplayText&gt;&lt;record&gt;&lt;rec-number&gt;1709&lt;/rec-number&gt;&lt;foreign-keys&gt;&lt;key app="EN" db-id="tzefe52sesd0f6evw2nvv0zexre9sv02092t" timestamp="1451601438"&gt;1709&lt;/key&gt;&lt;/foreign-keys&gt;&lt;ref-type name="Computer Program"&gt;9&lt;/ref-type&gt;&lt;contributors&gt;&lt;authors&gt;&lt;author&gt;Kilborn, Joshua P.&lt;/author&gt;&lt;/authors&gt;&lt;/contributors&gt;&lt;titles&gt;&lt;title&gt;The Darkside Toolbox for MATLAB&lt;/title&gt;&lt;/titles&gt;&lt;dates&gt;&lt;year&gt;2020&lt;/year&gt;&lt;/dates&gt;&lt;pub-location&gt;St. Petersburg, FL&lt;/pub-location&gt;&lt;publisher&gt;University of South Florida, College of Marine Science&lt;/publisher&gt;&lt;urls&gt;&lt;/urls&gt;&lt;/record&gt;&lt;/Cite&gt;&lt;/EndNote&gt;</w:instrText>
      </w:r>
      <w:r w:rsidR="00444A35">
        <w:fldChar w:fldCharType="separate"/>
      </w:r>
      <w:r w:rsidR="00444A35">
        <w:rPr>
          <w:noProof/>
        </w:rPr>
        <w:t>(Kilborn, 2020)</w:t>
      </w:r>
      <w:r w:rsidR="00444A35">
        <w:fldChar w:fldCharType="end"/>
      </w:r>
      <w:r w:rsidR="00444A35">
        <w:t xml:space="preserve"> Toolboxes</w:t>
      </w:r>
      <w:r w:rsidR="00DE1C09">
        <w:t xml:space="preserve">. To test the hypothesis of ‘no difference’ in beta-diversity </w:t>
      </w:r>
      <w:r w:rsidR="00A45424">
        <w:t xml:space="preserve">among treatment factors (e.g. </w:t>
      </w:r>
      <w:r w:rsidR="00DE1C09">
        <w:t xml:space="preserve">before the </w:t>
      </w:r>
      <w:r w:rsidR="00B24945">
        <w:t xml:space="preserve">2010 </w:t>
      </w:r>
      <w:r w:rsidR="00DE1C09">
        <w:t xml:space="preserve">Deepwater Horizon oil spill </w:t>
      </w:r>
      <w:r w:rsidR="00A45424">
        <w:t>[</w:t>
      </w:r>
      <w:r w:rsidR="00DE1C09">
        <w:t>DWH</w:t>
      </w:r>
      <w:r w:rsidR="00A45424">
        <w:t>]</w:t>
      </w:r>
      <w:r w:rsidR="00DE1C09">
        <w:t xml:space="preserve"> vs. after</w:t>
      </w:r>
      <w:r w:rsidR="00A45424">
        <w:t>)</w:t>
      </w:r>
      <w:r w:rsidR="00DE1C09">
        <w:t xml:space="preserve">, we employed permutation-based multivariate analysis of variance (PERMANOVA; Anderson, 2001; </w:t>
      </w:r>
      <w:proofErr w:type="spellStart"/>
      <w:r w:rsidR="00DE1C09">
        <w:t>McArdle</w:t>
      </w:r>
      <w:proofErr w:type="spellEnd"/>
      <w:r w:rsidR="00DE1C09">
        <w:t xml:space="preserve"> and Anderson 2001</w:t>
      </w:r>
      <w:r w:rsidR="00DE1C09">
        <w:fldChar w:fldCharType="begin">
          <w:fldData xml:space="preserve">PEVuZE5vdGU+PENpdGUgSGlkZGVuPSIxIj48QXV0aG9yPkFuZGVyc29uPC9BdXRob3I+PFllYXI+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</w:fldData>
        </w:fldChar>
      </w:r>
      <w:r w:rsidR="00DE1C09">
        <w:instrText xml:space="preserve"> ADDIN EN.CITE </w:instrText>
      </w:r>
      <w:r w:rsidR="00DE1C09">
        <w:fldChar w:fldCharType="begin">
          <w:fldData xml:space="preserve">PEVuZE5vdGU+PENpdGUgSGlkZGVuPSIxIj48QXV0aG9yPkFuZGVyc29uPC9BdXRob3I+PFllYXI+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</w:fldData>
        </w:fldChar>
      </w:r>
      <w:r w:rsidR="00DE1C09">
        <w:instrText xml:space="preserve"> ADDIN EN.CITE.DATA </w:instrText>
      </w:r>
      <w:r w:rsidR="00DE1C09">
        <w:fldChar w:fldCharType="end"/>
      </w:r>
      <w:r w:rsidR="00DE1C09">
        <w:fldChar w:fldCharType="end"/>
      </w:r>
      <w:r w:rsidR="00DE1C09">
        <w:t xml:space="preserve">). Multivariate dispersions were calculated using the permutation-based dispersion method (PERMDISP; Anderson et al., 2006), and the assumption of homogeneous dispersion was tested via a multivariate equivalent of </w:t>
      </w:r>
      <w:proofErr w:type="spellStart"/>
      <w:r w:rsidR="00DE1C09">
        <w:t>Levene’s</w:t>
      </w:r>
      <w:proofErr w:type="spellEnd"/>
      <w:r w:rsidR="00DE1C09">
        <w:t xml:space="preserve"> test </w:t>
      </w:r>
      <w:r w:rsidR="00DE1C09">
        <w:fldChar w:fldCharType="begin">
          <w:fldData xml:space="preserve">PEVuZE5vdGU+PENpdGU+PEF1dGhvcj5BbmRlcnNvbjwvQXV0aG9yPjxZZWFyPjIwMDY8L1llYXI+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</w:fldData>
        </w:fldChar>
      </w:r>
      <w:r w:rsidR="00444A35">
        <w:instrText xml:space="preserve"> ADDIN EN.CITE </w:instrText>
      </w:r>
      <w:r w:rsidR="00444A35">
        <w:fldChar w:fldCharType="begin">
          <w:fldData xml:space="preserve">PEVuZE5vdGU+PENpdGU+PEF1dGhvcj5BbmRlcnNvbjwvQXV0aG9yPjxZZWFyPjIwMDY8L1llYXI+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</w:fldData>
        </w:fldChar>
      </w:r>
      <w:r w:rsidR="00444A35">
        <w:instrText xml:space="preserve"> ADDIN EN.CITE.DATA </w:instrText>
      </w:r>
      <w:r w:rsidR="00444A35">
        <w:fldChar w:fldCharType="end"/>
      </w:r>
      <w:r w:rsidR="00DE1C09">
        <w:fldChar w:fldCharType="separate"/>
      </w:r>
      <w:r w:rsidR="00444A35">
        <w:rPr>
          <w:noProof/>
        </w:rPr>
        <w:t>(Anderson, 2006; Anderson et al., 2006; Anderson and Walsh, 2013)</w:t>
      </w:r>
      <w:r w:rsidR="00DE1C09">
        <w:fldChar w:fldCharType="end"/>
      </w:r>
      <w:r w:rsidR="00DE1C09">
        <w:t>. Species indicator values (</w:t>
      </w:r>
      <w:proofErr w:type="spellStart"/>
      <w:r w:rsidR="00DE1C09">
        <w:t>IndVal</w:t>
      </w:r>
      <w:proofErr w:type="spellEnd"/>
      <w:r w:rsidR="00DE1C09">
        <w:t>;</w:t>
      </w:r>
      <w:r w:rsidR="00DE1C09">
        <w:fldChar w:fldCharType="begin">
          <w:fldData xml:space="preserve">PEVuZE5vdGU+PENpdGUgRXhjbHVkZUF1dGg9IjEiIEV4Y2x1ZGVZZWFyPSIxIiBIaWRkZW49IjEi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=
</w:fldData>
        </w:fldChar>
      </w:r>
      <w:r w:rsidR="00DE1C09">
        <w:instrText xml:space="preserve"> ADDIN EN.CITE </w:instrText>
      </w:r>
      <w:r w:rsidR="00DE1C09">
        <w:fldChar w:fldCharType="begin">
          <w:fldData xml:space="preserve">PEVuZE5vdGU+PENpdGUgRXhjbHVkZUF1dGg9IjEiIEV4Y2x1ZGVZZWFyPSIxIiBIaWRkZW49IjEi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=
</w:fldData>
        </w:fldChar>
      </w:r>
      <w:r w:rsidR="00DE1C09">
        <w:instrText xml:space="preserve"> ADDIN EN.CITE.DATA </w:instrText>
      </w:r>
      <w:r w:rsidR="00DE1C09">
        <w:fldChar w:fldCharType="end"/>
      </w:r>
      <w:r w:rsidR="00DE1C09">
        <w:fldChar w:fldCharType="end"/>
      </w:r>
      <w:r w:rsidR="00DE1C09">
        <w:t xml:space="preserve"> </w:t>
      </w:r>
      <w:proofErr w:type="spellStart"/>
      <w:r w:rsidR="00DE1C09">
        <w:t>Dufrene</w:t>
      </w:r>
      <w:proofErr w:type="spellEnd"/>
      <w:r w:rsidR="00DE1C09">
        <w:t xml:space="preserve"> and Legendre, 1997) were calculated to determine the most representative suites of taxa for each treatment level, and all PERMANOVA results were visualized using canonical analysis of principal coordinates (CAP; </w:t>
      </w:r>
      <w:r w:rsidR="00DE1C09">
        <w:fldChar w:fldCharType="begin"/>
      </w:r>
      <w:r w:rsidR="00DE1C09">
        <w:instrText xml:space="preserve"> ADDIN EN.CITE &lt;EndNote&gt;&lt;Cite ExcludeAuth="1" ExcludeYear="1" Hidden="1"&gt;&lt;Author&gt;Anderson&lt;/Author&gt;&lt;Year&gt;2003&lt;/Year&gt;&lt;RecNum&gt;506&lt;/RecNum&gt;&lt;record&gt;&lt;rec-number&gt;506&lt;/rec-number&gt;&lt;foreign-keys&gt;&lt;key app="EN" db-id="tzefe52sesd0f6evw2nvv0zexre9sv02092t" timestamp="1333661104"&gt;506&lt;/key&gt;&lt;/foreign-keys&gt;&lt;ref-type name="Journal Article"&gt;17&lt;/ref-type&gt;&lt;contributors&gt;&lt;authors&gt;&lt;author&gt;Anderson, M. J.&lt;/author&gt;&lt;author&gt;Willis, T. J.&lt;/author&gt;&lt;/authors&gt;&lt;/contributors&gt;&lt;titles&gt;&lt;title&gt;Canonical analysis of principal coordinates: A useful method of constrained ordination for ecology&lt;/title&gt;&lt;secondary-title&gt;Ecology&lt;/secondary-title&gt;&lt;/titles&gt;&lt;periodical&gt;&lt;full-title&gt;Ecology&lt;/full-title&gt;&lt;abbr-1&gt;Ecology&lt;/abbr-1&gt;&lt;/periodical&gt;&lt;pages&gt;511-525&lt;/pages&gt;&lt;volume&gt;84&lt;/volume&gt;&lt;number&gt;2&lt;/number&gt;&lt;dates&gt;&lt;year&gt;2003&lt;/year&gt;&lt;pub-dates&gt;&lt;date&gt;Feb&lt;/date&gt;&lt;/pub-dates&gt;&lt;/dates&gt;&lt;isbn&gt;0012-9658&lt;/isbn&gt;&lt;accession-num&gt;WOS:000181482600023&lt;/accession-num&gt;&lt;urls&gt;&lt;related-urls&gt;&lt;url&gt;&amp;lt;Go to ISI&amp;gt;://WOS:000181482600023&lt;/url&gt;&lt;/related-urls&gt;&lt;/urls&gt;&lt;electronic-resource-num&gt;10.1890/0012-9658(2003)084[0511:caopca]2.0.co;2&lt;/electronic-resource-num&gt;&lt;/record&gt;&lt;/Cite&gt;&lt;/EndNote&gt;</w:instrText>
      </w:r>
      <w:r w:rsidR="00DE1C09">
        <w:fldChar w:fldCharType="end"/>
      </w:r>
      <w:r w:rsidR="00DE1C09">
        <w:t>Anderson and Willis, 2003). Lastly, 10,000 iterations were used for all permu</w:t>
      </w:r>
      <w:r w:rsidR="002D55A0">
        <w:t xml:space="preserve">tation-based methods, and </w:t>
      </w:r>
      <w:r w:rsidR="00DE1C09" w:rsidRPr="002D55A0">
        <w:rPr>
          <w:i/>
        </w:rPr>
        <w:t>p</w:t>
      </w:r>
      <w:r w:rsidR="00DE1C09">
        <w:t>-values</w:t>
      </w:r>
      <w:r w:rsidR="002D55A0">
        <w:t>’</w:t>
      </w:r>
      <w:r w:rsidR="00DE1C09">
        <w:t xml:space="preserve"> significance was determined using</w:t>
      </w:r>
      <w:r w:rsidR="002D55A0">
        <w:t xml:space="preserve"> </w:t>
      </w:r>
      <w:r w:rsidR="002D55A0" w:rsidRPr="002D55A0">
        <w:rPr>
          <w:rFonts w:asciiTheme="majorHAnsi" w:hAnsiTheme="majorHAnsi" w:cs="Times New Roman"/>
          <w:i/>
        </w:rPr>
        <w:t>α</w:t>
      </w:r>
      <w:r w:rsidR="002D55A0">
        <w:t xml:space="preserve"> = 0.05.</w:t>
      </w:r>
    </w:p>
    <w:p w14:paraId="58511B62" w14:textId="681A89E3" w:rsidR="007448C9" w:rsidRDefault="007448C9" w:rsidP="00F13749">
      <w:pPr>
        <w:pStyle w:val="Heading2"/>
      </w:pPr>
      <w:r w:rsidRPr="0091785E">
        <w:t>Benthic Foraminifera</w:t>
      </w:r>
    </w:p>
    <w:p w14:paraId="0A7F8056" w14:textId="0658C2BB" w:rsidR="00FD5EEB" w:rsidRDefault="00F13749" w:rsidP="008E38AE">
      <w:pPr>
        <w:jc w:val="both"/>
      </w:pPr>
      <w:r>
        <w:t>Benthic foraminifera were extracted from sediment cores and identified to the lowest taxonomic level possible.</w:t>
      </w:r>
      <w:r w:rsidR="00777CDC">
        <w:t xml:space="preserve"> A total of 463 taxa were enumerated, and after reduction to only those taxa present in at least 5% of all samples, 128 unique taxa remained for multivariate community analyses. Abundance data were </w:t>
      </w:r>
      <w:proofErr w:type="gramStart"/>
      <w:r w:rsidR="00777CDC">
        <w:t>square-root</w:t>
      </w:r>
      <w:proofErr w:type="gramEnd"/>
      <w:r w:rsidR="00777CDC">
        <w:t xml:space="preserve"> transformed to </w:t>
      </w:r>
      <w:proofErr w:type="spellStart"/>
      <w:r w:rsidR="00777CDC">
        <w:t>downweight</w:t>
      </w:r>
      <w:proofErr w:type="spellEnd"/>
      <w:r w:rsidR="00777CDC">
        <w:t xml:space="preserve"> highly abundan</w:t>
      </w:r>
      <w:r w:rsidR="00A45424">
        <w:t>t</w:t>
      </w:r>
      <w:r w:rsidR="00777CDC">
        <w:t xml:space="preserve"> taxa, and ecological dissimilarity was assessed via the </w:t>
      </w:r>
      <w:proofErr w:type="spellStart"/>
      <w:r w:rsidR="00777CDC">
        <w:t>Morisita</w:t>
      </w:r>
      <w:proofErr w:type="spellEnd"/>
      <w:r w:rsidR="00777CDC">
        <w:t>-Horn resemblance</w:t>
      </w:r>
      <w:r w:rsidR="00B24945">
        <w:t xml:space="preserve"> </w:t>
      </w:r>
      <w:r w:rsidR="00B24945">
        <w:fldChar w:fldCharType="begin">
          <w:fldData xml:space="preserve">PEVuZE5vdGU+PENpdGU+PEF1dGhvcj5DaGFvPC9BdXRob3I+PFllYXI+MjAwNjwvWWVhcj48UmVj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</w:fldData>
        </w:fldChar>
      </w:r>
      <w:r w:rsidR="00444A35">
        <w:instrText xml:space="preserve"> ADDIN EN.CITE </w:instrText>
      </w:r>
      <w:r w:rsidR="00444A35">
        <w:fldChar w:fldCharType="begin">
          <w:fldData xml:space="preserve">PEVuZE5vdGU+PENpdGU+PEF1dGhvcj5DaGFvPC9BdXRob3I+PFllYXI+MjAwNjwvWWVhcj48UmVj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</w:fldData>
        </w:fldChar>
      </w:r>
      <w:r w:rsidR="00444A35">
        <w:instrText xml:space="preserve"> ADDIN EN.CITE.DATA </w:instrText>
      </w:r>
      <w:r w:rsidR="00444A35">
        <w:fldChar w:fldCharType="end"/>
      </w:r>
      <w:r w:rsidR="00B24945">
        <w:fldChar w:fldCharType="separate"/>
      </w:r>
      <w:r w:rsidR="00444A35">
        <w:rPr>
          <w:noProof/>
        </w:rPr>
        <w:t>(Chao et al., 2005, 2006; Legendre and Legendre, 2012)</w:t>
      </w:r>
      <w:r w:rsidR="00B24945">
        <w:fldChar w:fldCharType="end"/>
      </w:r>
      <w:r w:rsidR="00777CDC">
        <w:t xml:space="preserve"> measure.</w:t>
      </w:r>
      <w:r w:rsidR="009817BA">
        <w:t xml:space="preserve"> A </w:t>
      </w:r>
      <w:r w:rsidR="00B24945">
        <w:t>before</w:t>
      </w:r>
      <w:r w:rsidR="009817BA">
        <w:t xml:space="preserve"> vs. after DWH</w:t>
      </w:r>
      <w:r w:rsidR="00C35468">
        <w:t xml:space="preserve"> analysis was conducted to examine potential changes in beta-diversity of foraminifera</w:t>
      </w:r>
      <w:r w:rsidR="00B24945">
        <w:t xml:space="preserve"> assemblages</w:t>
      </w:r>
      <w:r w:rsidR="00C35468">
        <w:t xml:space="preserve"> based on this treatment factor</w:t>
      </w:r>
      <w:r w:rsidR="00B24945">
        <w:t xml:space="preserve"> using the sediment cores described in Table S2</w:t>
      </w:r>
      <w:r w:rsidR="00C35468">
        <w:t xml:space="preserve">. </w:t>
      </w:r>
      <w:r w:rsidR="00FD5EEB">
        <w:t xml:space="preserve">Lastly, time series plots of </w:t>
      </w:r>
      <w:r w:rsidR="006D1992">
        <w:t xml:space="preserve">species richness and diversity (Shannon index) were created to visualize each </w:t>
      </w:r>
      <w:proofErr w:type="gramStart"/>
      <w:r w:rsidR="006D1992">
        <w:t>cores’</w:t>
      </w:r>
      <w:proofErr w:type="gramEnd"/>
      <w:r w:rsidR="006D1992">
        <w:t xml:space="preserve"> biodiversity dynamics over time (Figure S1).</w:t>
      </w:r>
    </w:p>
    <w:p w14:paraId="4163C8C2" w14:textId="5BD038C1" w:rsidR="002C63A9" w:rsidRDefault="009021F8" w:rsidP="008E38AE">
      <w:pPr>
        <w:ind w:firstLine="720"/>
        <w:jc w:val="both"/>
      </w:pPr>
      <w:r>
        <w:t>The results of the PERMANOVA based on samples designated as before 2010 and those after (excluding all 2010 samples) showed significant results (</w:t>
      </w:r>
      <w:r w:rsidRPr="002F1C5F">
        <w:rPr>
          <w:rFonts w:cs="Times New Roman"/>
          <w:i/>
        </w:rPr>
        <w:t>F</w:t>
      </w:r>
      <w:r w:rsidRPr="002F1C5F">
        <w:rPr>
          <w:rFonts w:cs="Times New Roman"/>
        </w:rPr>
        <w:t xml:space="preserve"> = 3.8081; </w:t>
      </w:r>
      <w:r w:rsidRPr="002F1C5F">
        <w:rPr>
          <w:rFonts w:cs="Times New Roman"/>
          <w:i/>
        </w:rPr>
        <w:t>p</w:t>
      </w:r>
      <w:r w:rsidRPr="002F1C5F">
        <w:rPr>
          <w:rFonts w:cs="Times New Roman"/>
        </w:rPr>
        <w:t xml:space="preserve"> = 0.0074; </w:t>
      </w:r>
      <w:proofErr w:type="spellStart"/>
      <w:r w:rsidRPr="002F1C5F">
        <w:rPr>
          <w:rFonts w:cs="Times New Roman"/>
          <w:i/>
        </w:rPr>
        <w:t>df</w:t>
      </w:r>
      <w:r w:rsidRPr="002F1C5F">
        <w:rPr>
          <w:rFonts w:cs="Times New Roman"/>
          <w:i/>
          <w:vertAlign w:val="subscript"/>
        </w:rPr>
        <w:t>Rx</w:t>
      </w:r>
      <w:proofErr w:type="spellEnd"/>
      <w:r w:rsidRPr="002F1C5F">
        <w:rPr>
          <w:rFonts w:cs="Times New Roman"/>
          <w:i/>
        </w:rPr>
        <w:t xml:space="preserve"> </w:t>
      </w:r>
      <w:r w:rsidRPr="002F1C5F">
        <w:rPr>
          <w:rFonts w:cs="Times New Roman"/>
        </w:rPr>
        <w:t xml:space="preserve">= 1, </w:t>
      </w:r>
      <w:proofErr w:type="spellStart"/>
      <w:r w:rsidRPr="002F1C5F">
        <w:rPr>
          <w:rFonts w:cs="Times New Roman"/>
          <w:i/>
        </w:rPr>
        <w:t>df</w:t>
      </w:r>
      <w:r w:rsidRPr="002F1C5F">
        <w:rPr>
          <w:rFonts w:cs="Times New Roman"/>
          <w:i/>
          <w:vertAlign w:val="subscript"/>
        </w:rPr>
        <w:t>Total</w:t>
      </w:r>
      <w:proofErr w:type="spellEnd"/>
      <w:r w:rsidRPr="002F1C5F">
        <w:rPr>
          <w:rFonts w:cs="Times New Roman"/>
        </w:rPr>
        <w:t xml:space="preserve"> = 39)</w:t>
      </w:r>
      <w:r>
        <w:t xml:space="preserve"> </w:t>
      </w:r>
      <w:proofErr w:type="gramStart"/>
      <w:r>
        <w:t>indicating</w:t>
      </w:r>
      <w:proofErr w:type="gramEnd"/>
      <w:r>
        <w:t xml:space="preserve"> a non-random change in beta-diversity between the two time periods. A similar check of the dispersion (i.e., variability in</w:t>
      </w:r>
      <w:r w:rsidR="005B7A16">
        <w:t xml:space="preserve"> foraminifera </w:t>
      </w:r>
      <w:r>
        <w:t xml:space="preserve">beta-diversity) using PERMDISP corroborated these results, and showed that the period after DWH </w:t>
      </w:r>
      <w:r w:rsidR="002F1C5F">
        <w:t xml:space="preserve">(disp. = 0.2356) </w:t>
      </w:r>
      <w:r>
        <w:t xml:space="preserve">was 34% more variable than the period before </w:t>
      </w:r>
      <w:r w:rsidR="002F1C5F">
        <w:t>(disp. = 0.1887)</w:t>
      </w:r>
      <w:r>
        <w:t xml:space="preserve"> with respect to the </w:t>
      </w:r>
      <w:r w:rsidR="005B7A16">
        <w:t xml:space="preserve">underlying </w:t>
      </w:r>
      <w:r>
        <w:t xml:space="preserve">composition and abundance of </w:t>
      </w:r>
      <w:r w:rsidR="005B7A16">
        <w:t xml:space="preserve">taxa </w:t>
      </w:r>
      <w:r>
        <w:t>in the cores’ samples</w:t>
      </w:r>
      <w:r w:rsidR="002F1C5F">
        <w:t xml:space="preserve"> (</w:t>
      </w:r>
      <w:r w:rsidR="002F1C5F" w:rsidRPr="002F1C5F">
        <w:rPr>
          <w:rFonts w:cs="Times New Roman"/>
          <w:i/>
        </w:rPr>
        <w:t>F</w:t>
      </w:r>
      <w:r w:rsidR="002F1C5F" w:rsidRPr="002F1C5F">
        <w:rPr>
          <w:rFonts w:cs="Times New Roman"/>
        </w:rPr>
        <w:t xml:space="preserve"> = </w:t>
      </w:r>
      <w:r w:rsidR="002F1C5F">
        <w:rPr>
          <w:rFonts w:cs="Times New Roman"/>
        </w:rPr>
        <w:t>11.0</w:t>
      </w:r>
      <w:r w:rsidR="002F1C5F" w:rsidRPr="002F1C5F">
        <w:rPr>
          <w:rFonts w:cs="Times New Roman"/>
        </w:rPr>
        <w:t xml:space="preserve">; </w:t>
      </w:r>
      <w:r w:rsidR="002F1C5F" w:rsidRPr="002F1C5F">
        <w:rPr>
          <w:rFonts w:cs="Times New Roman"/>
          <w:i/>
        </w:rPr>
        <w:t>p</w:t>
      </w:r>
      <w:r w:rsidR="002F1C5F" w:rsidRPr="002F1C5F">
        <w:rPr>
          <w:rFonts w:cs="Times New Roman"/>
        </w:rPr>
        <w:t xml:space="preserve"> = 0.00</w:t>
      </w:r>
      <w:r w:rsidR="002F1C5F">
        <w:rPr>
          <w:rFonts w:cs="Times New Roman"/>
        </w:rPr>
        <w:t>80</w:t>
      </w:r>
      <w:r w:rsidR="002F1C5F" w:rsidRPr="002F1C5F">
        <w:rPr>
          <w:rFonts w:cs="Times New Roman"/>
        </w:rPr>
        <w:t xml:space="preserve">; </w:t>
      </w:r>
      <w:proofErr w:type="spellStart"/>
      <w:r w:rsidR="002F1C5F" w:rsidRPr="002F1C5F">
        <w:rPr>
          <w:rFonts w:cs="Times New Roman"/>
          <w:i/>
        </w:rPr>
        <w:t>df</w:t>
      </w:r>
      <w:r w:rsidR="002F1C5F" w:rsidRPr="002F1C5F">
        <w:rPr>
          <w:rFonts w:cs="Times New Roman"/>
          <w:i/>
          <w:vertAlign w:val="subscript"/>
        </w:rPr>
        <w:t>Rx</w:t>
      </w:r>
      <w:proofErr w:type="spellEnd"/>
      <w:r w:rsidR="002F1C5F" w:rsidRPr="002F1C5F">
        <w:rPr>
          <w:rFonts w:cs="Times New Roman"/>
        </w:rPr>
        <w:t xml:space="preserve"> = 1, </w:t>
      </w:r>
      <w:proofErr w:type="spellStart"/>
      <w:r w:rsidR="002F1C5F" w:rsidRPr="002F1C5F">
        <w:rPr>
          <w:rFonts w:cs="Times New Roman"/>
          <w:i/>
        </w:rPr>
        <w:t>df</w:t>
      </w:r>
      <w:r w:rsidR="002F1C5F" w:rsidRPr="002F1C5F">
        <w:rPr>
          <w:rFonts w:cs="Times New Roman"/>
          <w:i/>
          <w:vertAlign w:val="subscript"/>
        </w:rPr>
        <w:t>Total</w:t>
      </w:r>
      <w:proofErr w:type="spellEnd"/>
      <w:r w:rsidR="002F1C5F" w:rsidRPr="002F1C5F">
        <w:rPr>
          <w:rFonts w:cs="Times New Roman"/>
        </w:rPr>
        <w:t xml:space="preserve"> = 39)</w:t>
      </w:r>
      <w:r>
        <w:t>.</w:t>
      </w:r>
      <w:r w:rsidR="00FD5EEB">
        <w:t xml:space="preserve"> Twenty taxa were selected as indicators </w:t>
      </w:r>
      <w:r w:rsidR="005B7A16">
        <w:t xml:space="preserve">across both factor levels </w:t>
      </w:r>
      <w:r w:rsidR="00FD5EEB">
        <w:t>(Table S3) and</w:t>
      </w:r>
      <w:r w:rsidR="006B30A9">
        <w:t xml:space="preserve"> </w:t>
      </w:r>
      <w:r w:rsidR="005B7A16">
        <w:t xml:space="preserve">all </w:t>
      </w:r>
      <w:r w:rsidR="006B30A9">
        <w:t>were subsequently</w:t>
      </w:r>
      <w:r w:rsidR="00FD5EEB">
        <w:t xml:space="preserve"> used in a CAP visualization of the separation </w:t>
      </w:r>
      <w:proofErr w:type="gramStart"/>
      <w:r w:rsidR="00FD5EEB">
        <w:t>among</w:t>
      </w:r>
      <w:proofErr w:type="gramEnd"/>
      <w:r w:rsidR="00FD5EEB">
        <w:t xml:space="preserve"> the </w:t>
      </w:r>
      <w:r w:rsidR="005B7A16">
        <w:t>two levels</w:t>
      </w:r>
      <w:r w:rsidR="006B30A9">
        <w:t>.</w:t>
      </w:r>
    </w:p>
    <w:p w14:paraId="4BD34003" w14:textId="58A88355" w:rsidR="003E6F8E" w:rsidRDefault="003E6F8E" w:rsidP="00D0530F">
      <w:pPr>
        <w:pStyle w:val="Heading2"/>
      </w:pPr>
      <w:r w:rsidRPr="0091785E">
        <w:lastRenderedPageBreak/>
        <w:t>Mega</w:t>
      </w:r>
      <w:r w:rsidR="007448C9" w:rsidRPr="0091785E">
        <w:t>fauna</w:t>
      </w:r>
    </w:p>
    <w:p w14:paraId="19888251" w14:textId="78D0BC4B" w:rsidR="00D0530F" w:rsidRDefault="000C324F" w:rsidP="008343E3">
      <w:pPr>
        <w:jc w:val="both"/>
        <w:rPr>
          <w:rFonts w:cs="Times New Roman"/>
          <w:szCs w:val="24"/>
        </w:rPr>
      </w:pPr>
      <w:proofErr w:type="gramStart"/>
      <w:r>
        <w:rPr>
          <w:rFonts w:cs="Times New Roman"/>
          <w:szCs w:val="24"/>
        </w:rPr>
        <w:t xml:space="preserve">Benthic </w:t>
      </w:r>
      <w:r w:rsidR="00D0530F">
        <w:rPr>
          <w:rFonts w:cs="Times New Roman"/>
          <w:szCs w:val="24"/>
        </w:rPr>
        <w:t xml:space="preserve">megafauna data were used for multivariate analyses of community composition based on remotely operated vehicle surveys </w:t>
      </w:r>
      <w:r w:rsidR="00070E5F">
        <w:rPr>
          <w:rFonts w:cs="Times New Roman"/>
          <w:szCs w:val="24"/>
        </w:rPr>
        <w:t xml:space="preserve">conducted by </w:t>
      </w:r>
      <w:r w:rsidR="00070E5F" w:rsidRPr="003C5C4F">
        <w:rPr>
          <w:rFonts w:cs="Times New Roman"/>
          <w:szCs w:val="24"/>
        </w:rPr>
        <w:t>Valentine and Benfield</w:t>
      </w:r>
      <w:r w:rsidR="00070E5F">
        <w:rPr>
          <w:rFonts w:cs="Times New Roman"/>
          <w:szCs w:val="24"/>
        </w:rPr>
        <w:t xml:space="preserve"> (</w:t>
      </w:r>
      <w:r w:rsidR="00070E5F" w:rsidRPr="003C5C4F">
        <w:rPr>
          <w:rFonts w:cs="Times New Roman"/>
          <w:szCs w:val="24"/>
        </w:rPr>
        <w:t>2013)</w:t>
      </w:r>
      <w:r w:rsidR="00070E5F">
        <w:rPr>
          <w:rFonts w:cs="Times New Roman"/>
          <w:szCs w:val="24"/>
        </w:rPr>
        <w:t xml:space="preserve"> </w:t>
      </w:r>
      <w:r w:rsidR="00D0530F">
        <w:rPr>
          <w:rFonts w:cs="Times New Roman"/>
          <w:szCs w:val="24"/>
        </w:rPr>
        <w:t>in 2010 (</w:t>
      </w:r>
      <w:r w:rsidR="00D0530F">
        <w:rPr>
          <w:rFonts w:cs="Times New Roman"/>
          <w:i/>
          <w:szCs w:val="24"/>
        </w:rPr>
        <w:t xml:space="preserve">n </w:t>
      </w:r>
      <w:r w:rsidR="00D0530F">
        <w:rPr>
          <w:rFonts w:cs="Times New Roman"/>
          <w:szCs w:val="24"/>
        </w:rPr>
        <w:t xml:space="preserve">= 19) and </w:t>
      </w:r>
      <w:r w:rsidR="00070E5F" w:rsidRPr="003C5C4F">
        <w:rPr>
          <w:rFonts w:cs="Times New Roman"/>
          <w:szCs w:val="24"/>
        </w:rPr>
        <w:t>McClain et al.</w:t>
      </w:r>
      <w:r w:rsidR="00070E5F">
        <w:rPr>
          <w:rFonts w:cs="Times New Roman"/>
          <w:szCs w:val="24"/>
        </w:rPr>
        <w:t xml:space="preserve"> (</w:t>
      </w:r>
      <w:r w:rsidR="00070E5F" w:rsidRPr="003C5C4F">
        <w:rPr>
          <w:rFonts w:cs="Times New Roman"/>
          <w:szCs w:val="24"/>
        </w:rPr>
        <w:t>2019)</w:t>
      </w:r>
      <w:r w:rsidR="00070E5F">
        <w:rPr>
          <w:rFonts w:cs="Times New Roman"/>
          <w:szCs w:val="24"/>
        </w:rPr>
        <w:t xml:space="preserve"> in </w:t>
      </w:r>
      <w:r w:rsidR="00D0530F">
        <w:rPr>
          <w:rFonts w:cs="Times New Roman"/>
          <w:szCs w:val="24"/>
        </w:rPr>
        <w:t>2017</w:t>
      </w:r>
      <w:proofErr w:type="gramEnd"/>
      <w:r w:rsidR="00D0530F">
        <w:rPr>
          <w:rFonts w:cs="Times New Roman"/>
          <w:szCs w:val="24"/>
        </w:rPr>
        <w:t xml:space="preserve"> (</w:t>
      </w:r>
      <w:r w:rsidR="00D0530F">
        <w:rPr>
          <w:rFonts w:cs="Times New Roman"/>
          <w:i/>
          <w:szCs w:val="24"/>
        </w:rPr>
        <w:t xml:space="preserve">n </w:t>
      </w:r>
      <w:r w:rsidR="00D0530F">
        <w:rPr>
          <w:rFonts w:cs="Times New Roman"/>
          <w:szCs w:val="24"/>
        </w:rPr>
        <w:t>= 17). In both years, the data were collected at 500</w:t>
      </w:r>
      <w:r w:rsidR="00070E5F">
        <w:rPr>
          <w:rFonts w:cs="Times New Roman"/>
          <w:szCs w:val="24"/>
        </w:rPr>
        <w:t xml:space="preserve"> </w:t>
      </w:r>
      <w:r w:rsidR="00D0530F">
        <w:rPr>
          <w:rFonts w:cs="Times New Roman"/>
          <w:szCs w:val="24"/>
        </w:rPr>
        <w:t>m (</w:t>
      </w:r>
      <w:r w:rsidR="00D0530F">
        <w:rPr>
          <w:rFonts w:cs="Times New Roman"/>
          <w:i/>
          <w:szCs w:val="24"/>
        </w:rPr>
        <w:t>n</w:t>
      </w:r>
      <w:r w:rsidR="00D0530F" w:rsidRPr="00D0530F">
        <w:rPr>
          <w:rFonts w:cs="Times New Roman"/>
          <w:i/>
          <w:szCs w:val="24"/>
          <w:vertAlign w:val="subscript"/>
        </w:rPr>
        <w:t>2010</w:t>
      </w:r>
      <w:r w:rsidR="00D0530F">
        <w:rPr>
          <w:rFonts w:cs="Times New Roman"/>
          <w:i/>
          <w:szCs w:val="24"/>
        </w:rPr>
        <w:t xml:space="preserve"> </w:t>
      </w:r>
      <w:r w:rsidR="00D0530F">
        <w:rPr>
          <w:rFonts w:cs="Times New Roman"/>
          <w:szCs w:val="24"/>
        </w:rPr>
        <w:t xml:space="preserve">= 9; </w:t>
      </w:r>
      <w:r w:rsidR="00D0530F">
        <w:rPr>
          <w:rFonts w:cs="Times New Roman"/>
          <w:i/>
          <w:szCs w:val="24"/>
        </w:rPr>
        <w:t>n</w:t>
      </w:r>
      <w:r w:rsidR="00D0530F" w:rsidRPr="00D0530F">
        <w:rPr>
          <w:rFonts w:cs="Times New Roman"/>
          <w:i/>
          <w:szCs w:val="24"/>
          <w:vertAlign w:val="subscript"/>
        </w:rPr>
        <w:t>2017</w:t>
      </w:r>
      <w:r w:rsidR="00D0530F">
        <w:rPr>
          <w:rFonts w:cs="Times New Roman"/>
          <w:i/>
          <w:szCs w:val="24"/>
        </w:rPr>
        <w:t xml:space="preserve"> </w:t>
      </w:r>
      <w:r w:rsidR="00D0530F">
        <w:rPr>
          <w:rFonts w:cs="Times New Roman"/>
          <w:szCs w:val="24"/>
        </w:rPr>
        <w:t>= 9) and 2000</w:t>
      </w:r>
      <w:r w:rsidR="00070E5F">
        <w:rPr>
          <w:rFonts w:cs="Times New Roman"/>
          <w:szCs w:val="24"/>
        </w:rPr>
        <w:t xml:space="preserve"> </w:t>
      </w:r>
      <w:r w:rsidR="00D0530F">
        <w:rPr>
          <w:rFonts w:cs="Times New Roman"/>
          <w:szCs w:val="24"/>
        </w:rPr>
        <w:t>m (</w:t>
      </w:r>
      <w:r w:rsidR="00D0530F">
        <w:rPr>
          <w:rFonts w:cs="Times New Roman"/>
          <w:i/>
          <w:szCs w:val="24"/>
        </w:rPr>
        <w:t>n</w:t>
      </w:r>
      <w:r w:rsidR="00D0530F" w:rsidRPr="00D0530F">
        <w:rPr>
          <w:rFonts w:cs="Times New Roman"/>
          <w:i/>
          <w:szCs w:val="24"/>
          <w:vertAlign w:val="subscript"/>
        </w:rPr>
        <w:t>2010</w:t>
      </w:r>
      <w:r w:rsidR="00D0530F">
        <w:rPr>
          <w:rFonts w:cs="Times New Roman"/>
          <w:i/>
          <w:szCs w:val="24"/>
        </w:rPr>
        <w:t xml:space="preserve"> </w:t>
      </w:r>
      <w:r w:rsidR="00D0530F">
        <w:rPr>
          <w:rFonts w:cs="Times New Roman"/>
          <w:szCs w:val="24"/>
        </w:rPr>
        <w:t xml:space="preserve">= 10; </w:t>
      </w:r>
      <w:r w:rsidR="00D0530F">
        <w:rPr>
          <w:rFonts w:cs="Times New Roman"/>
          <w:i/>
          <w:szCs w:val="24"/>
        </w:rPr>
        <w:t>n</w:t>
      </w:r>
      <w:r w:rsidR="00D0530F" w:rsidRPr="00D0530F">
        <w:rPr>
          <w:rFonts w:cs="Times New Roman"/>
          <w:i/>
          <w:szCs w:val="24"/>
          <w:vertAlign w:val="subscript"/>
        </w:rPr>
        <w:t>2017</w:t>
      </w:r>
      <w:r w:rsidR="00D0530F">
        <w:rPr>
          <w:rFonts w:cs="Times New Roman"/>
          <w:i/>
          <w:szCs w:val="24"/>
        </w:rPr>
        <w:t xml:space="preserve"> </w:t>
      </w:r>
      <w:r w:rsidR="00D0530F">
        <w:rPr>
          <w:rFonts w:cs="Times New Roman"/>
          <w:szCs w:val="24"/>
        </w:rPr>
        <w:t>= 8) distant from a reference point near the DWH wellhead. For the purposes of this investigation, grouping treatments were assigned by year of sampling and differences in beta-diversity were assessed via PERMANOVA</w:t>
      </w:r>
      <w:r w:rsidR="004F10F4">
        <w:rPr>
          <w:rFonts w:cs="Times New Roman"/>
          <w:szCs w:val="24"/>
        </w:rPr>
        <w:t xml:space="preserve">, PERMDISP, and </w:t>
      </w:r>
      <w:proofErr w:type="spellStart"/>
      <w:r w:rsidR="004F10F4">
        <w:rPr>
          <w:rFonts w:cs="Times New Roman"/>
          <w:szCs w:val="24"/>
        </w:rPr>
        <w:t>IndVal</w:t>
      </w:r>
      <w:proofErr w:type="spellEnd"/>
      <w:r w:rsidR="004F10F4">
        <w:rPr>
          <w:rFonts w:cs="Times New Roman"/>
          <w:szCs w:val="24"/>
        </w:rPr>
        <w:t xml:space="preserve">, while visualization was achieved via CAP. Forty taxa were included in the original dataset and were reduced to the 15 that were present in at least 10% of samples. Abundance data were </w:t>
      </w:r>
      <w:proofErr w:type="gramStart"/>
      <w:r w:rsidR="004F10F4">
        <w:rPr>
          <w:rFonts w:cs="Times New Roman"/>
          <w:szCs w:val="24"/>
        </w:rPr>
        <w:t>square-root</w:t>
      </w:r>
      <w:proofErr w:type="gramEnd"/>
      <w:r w:rsidR="004F10F4">
        <w:rPr>
          <w:rFonts w:cs="Times New Roman"/>
          <w:szCs w:val="24"/>
        </w:rPr>
        <w:t xml:space="preserve"> transformed and the </w:t>
      </w:r>
      <w:proofErr w:type="spellStart"/>
      <w:r w:rsidR="004F10F4">
        <w:rPr>
          <w:rFonts w:cs="Times New Roman"/>
          <w:szCs w:val="24"/>
        </w:rPr>
        <w:t>Morisita</w:t>
      </w:r>
      <w:proofErr w:type="spellEnd"/>
      <w:r w:rsidR="004F10F4">
        <w:rPr>
          <w:rFonts w:cs="Times New Roman"/>
          <w:szCs w:val="24"/>
        </w:rPr>
        <w:t>-Horn resemblance measure was used to assess ecological dissimilarity among samples.</w:t>
      </w:r>
    </w:p>
    <w:p w14:paraId="0E622B35" w14:textId="4D7D790F" w:rsidR="000C324F" w:rsidRPr="003D3C88" w:rsidRDefault="008E3ACC" w:rsidP="008343E3">
      <w:pPr>
        <w:ind w:firstLine="567"/>
        <w:jc w:val="both"/>
        <w:rPr>
          <w:rFonts w:cs="Times New Roman"/>
          <w:szCs w:val="24"/>
        </w:rPr>
      </w:pPr>
      <w:r>
        <w:t xml:space="preserve">The PERMANOVA results indicated that there was a </w:t>
      </w:r>
      <w:r w:rsidR="00070E5F">
        <w:t>non-random</w:t>
      </w:r>
      <w:r>
        <w:t xml:space="preserve"> difference (</w:t>
      </w:r>
      <w:r w:rsidR="00565982" w:rsidRPr="00E67E52">
        <w:rPr>
          <w:rFonts w:cs="Times New Roman"/>
          <w:i/>
        </w:rPr>
        <w:t>F</w:t>
      </w:r>
      <w:r w:rsidR="00565982" w:rsidRPr="00E67E52">
        <w:rPr>
          <w:rFonts w:cs="Times New Roman"/>
        </w:rPr>
        <w:t xml:space="preserve"> = </w:t>
      </w:r>
      <w:r w:rsidR="00565982">
        <w:rPr>
          <w:rFonts w:cs="Times New Roman"/>
        </w:rPr>
        <w:t>37.85</w:t>
      </w:r>
      <w:r w:rsidR="00565982" w:rsidRPr="00E67E52">
        <w:rPr>
          <w:rFonts w:cs="Times New Roman"/>
        </w:rPr>
        <w:t xml:space="preserve">; </w:t>
      </w:r>
      <w:r w:rsidR="00565982" w:rsidRPr="00E67E52">
        <w:rPr>
          <w:rFonts w:cs="Times New Roman"/>
          <w:i/>
        </w:rPr>
        <w:t>p</w:t>
      </w:r>
      <w:r w:rsidR="00565982" w:rsidRPr="00E67E52">
        <w:rPr>
          <w:rFonts w:cs="Times New Roman"/>
        </w:rPr>
        <w:t xml:space="preserve"> = 0.00</w:t>
      </w:r>
      <w:r w:rsidR="00565982">
        <w:rPr>
          <w:rFonts w:cs="Times New Roman"/>
        </w:rPr>
        <w:t>01</w:t>
      </w:r>
      <w:r w:rsidR="00565982" w:rsidRPr="00E67E52">
        <w:rPr>
          <w:rFonts w:cs="Times New Roman"/>
        </w:rPr>
        <w:t xml:space="preserve">; </w:t>
      </w:r>
      <w:proofErr w:type="spellStart"/>
      <w:r w:rsidR="00565982" w:rsidRPr="00E67E52">
        <w:rPr>
          <w:rFonts w:cs="Times New Roman"/>
          <w:i/>
        </w:rPr>
        <w:t>df</w:t>
      </w:r>
      <w:r w:rsidR="00565982" w:rsidRPr="00E67E52">
        <w:rPr>
          <w:rFonts w:cs="Times New Roman"/>
          <w:i/>
          <w:vertAlign w:val="subscript"/>
        </w:rPr>
        <w:t>Rx</w:t>
      </w:r>
      <w:proofErr w:type="spellEnd"/>
      <w:r w:rsidR="008343E3">
        <w:rPr>
          <w:rFonts w:cs="Times New Roman"/>
          <w:i/>
        </w:rPr>
        <w:t xml:space="preserve"> </w:t>
      </w:r>
      <w:r w:rsidR="00565982" w:rsidRPr="00E67E52">
        <w:rPr>
          <w:rFonts w:cs="Times New Roman"/>
        </w:rPr>
        <w:t xml:space="preserve">= 1, </w:t>
      </w:r>
      <w:proofErr w:type="spellStart"/>
      <w:r w:rsidR="00565982" w:rsidRPr="00E67E52">
        <w:rPr>
          <w:rFonts w:cs="Times New Roman"/>
          <w:i/>
        </w:rPr>
        <w:t>df</w:t>
      </w:r>
      <w:r w:rsidR="00565982" w:rsidRPr="00E67E52">
        <w:rPr>
          <w:rFonts w:cs="Times New Roman"/>
          <w:i/>
          <w:vertAlign w:val="subscript"/>
        </w:rPr>
        <w:t>Total</w:t>
      </w:r>
      <w:proofErr w:type="spellEnd"/>
      <w:r w:rsidR="00565982" w:rsidRPr="00E67E52">
        <w:rPr>
          <w:rFonts w:cs="Times New Roman"/>
        </w:rPr>
        <w:t xml:space="preserve"> = 3</w:t>
      </w:r>
      <w:r w:rsidR="00565982">
        <w:rPr>
          <w:rFonts w:cs="Times New Roman"/>
        </w:rPr>
        <w:t>4</w:t>
      </w:r>
      <w:r w:rsidR="00565982" w:rsidRPr="00E67E52">
        <w:rPr>
          <w:rFonts w:cs="Times New Roman"/>
        </w:rPr>
        <w:t>)</w:t>
      </w:r>
      <w:r>
        <w:rPr>
          <w:rFonts w:cs="Times New Roman"/>
        </w:rPr>
        <w:t xml:space="preserve"> between the </w:t>
      </w:r>
      <w:proofErr w:type="spellStart"/>
      <w:r>
        <w:rPr>
          <w:rFonts w:cs="Times New Roman"/>
        </w:rPr>
        <w:t>megafaunal</w:t>
      </w:r>
      <w:proofErr w:type="spellEnd"/>
      <w:r>
        <w:rPr>
          <w:rFonts w:cs="Times New Roman"/>
        </w:rPr>
        <w:t xml:space="preserve"> communities sampled in 2010 vs. those in 2017. </w:t>
      </w:r>
      <w:r w:rsidR="00070E5F">
        <w:t xml:space="preserve">Calculations </w:t>
      </w:r>
      <w:r>
        <w:t>of</w:t>
      </w:r>
      <w:r w:rsidR="000C324F">
        <w:t xml:space="preserve"> multivariate dispersions </w:t>
      </w:r>
      <w:r w:rsidR="00070E5F">
        <w:t>using</w:t>
      </w:r>
      <w:r w:rsidR="000C324F">
        <w:t xml:space="preserve"> PERMDISP </w:t>
      </w:r>
      <w:r w:rsidR="00070E5F">
        <w:t>showed</w:t>
      </w:r>
      <w:r w:rsidR="000C324F">
        <w:t xml:space="preserve"> that the variability in beta-diversity (i.e., variability in</w:t>
      </w:r>
      <w:r w:rsidR="00070E5F">
        <w:t xml:space="preserve"> </w:t>
      </w:r>
      <w:proofErr w:type="spellStart"/>
      <w:r w:rsidR="00070E5F">
        <w:t>megafaunal</w:t>
      </w:r>
      <w:proofErr w:type="spellEnd"/>
      <w:r w:rsidR="000C324F">
        <w:t xml:space="preserve"> community </w:t>
      </w:r>
      <w:r w:rsidR="00070E5F">
        <w:t>variability</w:t>
      </w:r>
      <w:r w:rsidR="000C324F">
        <w:t>) declined</w:t>
      </w:r>
      <w:r w:rsidR="00FE1C82">
        <w:t xml:space="preserve"> significantly</w:t>
      </w:r>
      <w:r w:rsidR="000C324F">
        <w:t xml:space="preserve"> </w:t>
      </w:r>
      <w:r w:rsidR="00FE1C82">
        <w:t>(</w:t>
      </w:r>
      <w:r w:rsidR="00FE1C82" w:rsidRPr="002F1C5F">
        <w:rPr>
          <w:rFonts w:cs="Times New Roman"/>
          <w:i/>
        </w:rPr>
        <w:t>F</w:t>
      </w:r>
      <w:r w:rsidR="00FE1C82" w:rsidRPr="002F1C5F">
        <w:rPr>
          <w:rFonts w:cs="Times New Roman"/>
        </w:rPr>
        <w:t xml:space="preserve"> = </w:t>
      </w:r>
      <w:r w:rsidR="00FE1C82">
        <w:rPr>
          <w:rFonts w:cs="Times New Roman"/>
        </w:rPr>
        <w:t>94.01</w:t>
      </w:r>
      <w:r w:rsidR="00FE1C82" w:rsidRPr="002F1C5F">
        <w:rPr>
          <w:rFonts w:cs="Times New Roman"/>
        </w:rPr>
        <w:t xml:space="preserve">; </w:t>
      </w:r>
      <w:r w:rsidR="00FE1C82" w:rsidRPr="002F1C5F">
        <w:rPr>
          <w:rFonts w:cs="Times New Roman"/>
          <w:i/>
        </w:rPr>
        <w:t>p</w:t>
      </w:r>
      <w:r w:rsidR="00FE1C82" w:rsidRPr="002F1C5F">
        <w:rPr>
          <w:rFonts w:cs="Times New Roman"/>
        </w:rPr>
        <w:t xml:space="preserve"> = 0.00</w:t>
      </w:r>
      <w:r w:rsidR="00FE1C82">
        <w:rPr>
          <w:rFonts w:cs="Times New Roman"/>
        </w:rPr>
        <w:t>01</w:t>
      </w:r>
      <w:r w:rsidR="00FE1C82" w:rsidRPr="002F1C5F">
        <w:rPr>
          <w:rFonts w:cs="Times New Roman"/>
        </w:rPr>
        <w:t xml:space="preserve">; </w:t>
      </w:r>
      <w:proofErr w:type="spellStart"/>
      <w:r w:rsidR="00FE1C82" w:rsidRPr="002F1C5F">
        <w:rPr>
          <w:rFonts w:cs="Times New Roman"/>
          <w:i/>
        </w:rPr>
        <w:t>df</w:t>
      </w:r>
      <w:r w:rsidR="00FE1C82" w:rsidRPr="002F1C5F">
        <w:rPr>
          <w:rFonts w:cs="Times New Roman"/>
          <w:i/>
          <w:vertAlign w:val="subscript"/>
        </w:rPr>
        <w:t>Rx</w:t>
      </w:r>
      <w:proofErr w:type="spellEnd"/>
      <w:r w:rsidR="00FE1C82" w:rsidRPr="002F1C5F">
        <w:rPr>
          <w:rFonts w:cs="Times New Roman"/>
        </w:rPr>
        <w:t xml:space="preserve"> = 1, </w:t>
      </w:r>
      <w:proofErr w:type="spellStart"/>
      <w:r w:rsidR="00FE1C82" w:rsidRPr="002F1C5F">
        <w:rPr>
          <w:rFonts w:cs="Times New Roman"/>
          <w:i/>
        </w:rPr>
        <w:t>df</w:t>
      </w:r>
      <w:r w:rsidR="00FE1C82" w:rsidRPr="002F1C5F">
        <w:rPr>
          <w:rFonts w:cs="Times New Roman"/>
          <w:i/>
          <w:vertAlign w:val="subscript"/>
        </w:rPr>
        <w:t>Total</w:t>
      </w:r>
      <w:proofErr w:type="spellEnd"/>
      <w:r w:rsidR="00FE1C82" w:rsidRPr="002F1C5F">
        <w:rPr>
          <w:rFonts w:cs="Times New Roman"/>
        </w:rPr>
        <w:t xml:space="preserve"> = </w:t>
      </w:r>
      <w:r w:rsidR="00565982">
        <w:rPr>
          <w:rFonts w:cs="Times New Roman"/>
        </w:rPr>
        <w:t>34</w:t>
      </w:r>
      <w:r w:rsidR="00FE1C82" w:rsidRPr="002F1C5F">
        <w:rPr>
          <w:rFonts w:cs="Times New Roman"/>
        </w:rPr>
        <w:t>)</w:t>
      </w:r>
      <w:r w:rsidR="00FE1C82">
        <w:rPr>
          <w:rFonts w:cs="Times New Roman"/>
        </w:rPr>
        <w:t xml:space="preserve"> </w:t>
      </w:r>
      <w:r w:rsidR="000C324F">
        <w:t>by 77% between 2010 (disp. = 0.4955) and 2017 (disp. = 0.1110).</w:t>
      </w:r>
      <w:r w:rsidR="00292E49">
        <w:t xml:space="preserve"> This </w:t>
      </w:r>
      <w:r>
        <w:t xml:space="preserve">implies </w:t>
      </w:r>
      <w:r w:rsidR="00292E49">
        <w:t xml:space="preserve">that the post-DWH </w:t>
      </w:r>
      <w:r>
        <w:t xml:space="preserve">period’s </w:t>
      </w:r>
      <w:proofErr w:type="spellStart"/>
      <w:r w:rsidR="00292E49">
        <w:t>megafauna</w:t>
      </w:r>
      <w:r>
        <w:t>l</w:t>
      </w:r>
      <w:proofErr w:type="spellEnd"/>
      <w:r w:rsidR="00292E49">
        <w:t xml:space="preserve"> communities </w:t>
      </w:r>
      <w:r>
        <w:t xml:space="preserve">were </w:t>
      </w:r>
      <w:r w:rsidR="00292E49">
        <w:t>becoming homogenized</w:t>
      </w:r>
      <w:r w:rsidR="00565982">
        <w:t xml:space="preserve"> after DWH</w:t>
      </w:r>
      <w:r w:rsidR="00292E49">
        <w:t xml:space="preserve">. </w:t>
      </w:r>
      <w:r w:rsidR="003D3C88">
        <w:t xml:space="preserve">When examining the </w:t>
      </w:r>
      <w:proofErr w:type="spellStart"/>
      <w:r w:rsidR="003D3C88">
        <w:t>IndVal</w:t>
      </w:r>
      <w:proofErr w:type="spellEnd"/>
      <w:r w:rsidR="003D3C88">
        <w:t xml:space="preserve"> table for this faunal group (Table S4), it becomes clear that two taxa in particular</w:t>
      </w:r>
      <w:r w:rsidR="00916063">
        <w:t xml:space="preserve"> (</w:t>
      </w:r>
      <w:r w:rsidR="00916063" w:rsidRPr="00916063">
        <w:rPr>
          <w:i/>
        </w:rPr>
        <w:t xml:space="preserve">P. </w:t>
      </w:r>
      <w:proofErr w:type="spellStart"/>
      <w:r w:rsidR="00916063" w:rsidRPr="00916063">
        <w:rPr>
          <w:i/>
        </w:rPr>
        <w:t>armatus</w:t>
      </w:r>
      <w:proofErr w:type="spellEnd"/>
      <w:r w:rsidR="00916063">
        <w:t xml:space="preserve">, </w:t>
      </w:r>
      <w:r w:rsidR="00916063" w:rsidRPr="00916063">
        <w:rPr>
          <w:i/>
        </w:rPr>
        <w:t xml:space="preserve">G. </w:t>
      </w:r>
      <w:proofErr w:type="spellStart"/>
      <w:r w:rsidR="00916063" w:rsidRPr="00916063">
        <w:rPr>
          <w:i/>
        </w:rPr>
        <w:t>acule</w:t>
      </w:r>
      <w:r w:rsidR="00433506">
        <w:rPr>
          <w:i/>
        </w:rPr>
        <w:t>a</w:t>
      </w:r>
      <w:r w:rsidR="00916063" w:rsidRPr="00916063">
        <w:rPr>
          <w:i/>
        </w:rPr>
        <w:t>t</w:t>
      </w:r>
      <w:r w:rsidR="00433506">
        <w:rPr>
          <w:i/>
        </w:rPr>
        <w:t>a</w:t>
      </w:r>
      <w:proofErr w:type="spellEnd"/>
      <w:r w:rsidR="00916063">
        <w:t xml:space="preserve">) </w:t>
      </w:r>
      <w:r w:rsidR="003D3C88">
        <w:t xml:space="preserve">are </w:t>
      </w:r>
      <w:r w:rsidR="003D3C88" w:rsidRPr="003D3C88">
        <w:t>strongly ass</w:t>
      </w:r>
      <w:r w:rsidR="003D3C88">
        <w:t xml:space="preserve">ociated with the 2017 samples and, in fact, are essentially “perfect” indicators for that period </w:t>
      </w:r>
      <w:r w:rsidR="00070E5F">
        <w:t xml:space="preserve">displaying </w:t>
      </w:r>
      <w:r w:rsidR="003D3C88">
        <w:t>high fidelity to the 2017 samples exclusively</w:t>
      </w:r>
      <w:r w:rsidR="00070E5F">
        <w:t>,</w:t>
      </w:r>
      <w:r w:rsidR="003D3C88">
        <w:t xml:space="preserve"> as well as high specificity within that group</w:t>
      </w:r>
      <w:r w:rsidR="006760FF">
        <w:t>’s samples (i.e., found in a very high proportion of the</w:t>
      </w:r>
      <w:r w:rsidR="00070E5F">
        <w:t xml:space="preserve"> factor level’s</w:t>
      </w:r>
      <w:r w:rsidR="006760FF">
        <w:t xml:space="preserve"> observations).</w:t>
      </w:r>
      <w:r w:rsidR="00860F92">
        <w:t xml:space="preserve"> </w:t>
      </w:r>
      <w:r w:rsidR="00916063">
        <w:t>The PERMANOVA r</w:t>
      </w:r>
      <w:r w:rsidR="00860F92">
        <w:t xml:space="preserve">esults </w:t>
      </w:r>
      <w:r w:rsidR="00070E5F">
        <w:t>we</w:t>
      </w:r>
      <w:r w:rsidR="00860F92">
        <w:t>re visualized</w:t>
      </w:r>
      <w:r w:rsidR="00070E5F">
        <w:t xml:space="preserve"> via CAP</w:t>
      </w:r>
      <w:r w:rsidR="00860F92">
        <w:t xml:space="preserve"> </w:t>
      </w:r>
      <w:r w:rsidR="00916063">
        <w:t>for all taxa included in these analyses</w:t>
      </w:r>
      <w:r w:rsidR="00860F92">
        <w:t xml:space="preserve"> </w:t>
      </w:r>
      <w:r w:rsidR="00916063">
        <w:t>(</w:t>
      </w:r>
      <w:r w:rsidR="00860F92">
        <w:t>Figure S5</w:t>
      </w:r>
      <w:r w:rsidR="00916063">
        <w:t>)</w:t>
      </w:r>
      <w:r w:rsidR="00860F92">
        <w:t>.</w:t>
      </w:r>
    </w:p>
    <w:p w14:paraId="6BC9CBFF" w14:textId="77777777" w:rsidR="00991F21" w:rsidRPr="00991F21" w:rsidRDefault="00991F21" w:rsidP="00991F21">
      <w:pPr>
        <w:pStyle w:val="ListParagraph"/>
        <w:numPr>
          <w:ilvl w:val="0"/>
          <w:numId w:val="0"/>
        </w:numPr>
        <w:spacing w:before="0" w:after="160" w:line="259" w:lineRule="auto"/>
        <w:ind w:left="2880" w:right="1800"/>
        <w:jc w:val="both"/>
      </w:pPr>
    </w:p>
    <w:p w14:paraId="2751B8F5" w14:textId="77777777" w:rsidR="0017003C" w:rsidRDefault="0017003C">
      <w:pPr>
        <w:spacing w:before="0" w:after="200" w:line="276" w:lineRule="auto"/>
        <w:rPr>
          <w:rFonts w:eastAsia="Cambria" w:cs="Times New Roman"/>
          <w:b/>
          <w:szCs w:val="24"/>
        </w:rPr>
      </w:pPr>
      <w:r>
        <w:br w:type="page"/>
      </w:r>
    </w:p>
    <w:p w14:paraId="00B349BD" w14:textId="77777777" w:rsidR="0017003C" w:rsidRDefault="0017003C" w:rsidP="002B4A57">
      <w:pPr>
        <w:pStyle w:val="Heading1"/>
        <w:sectPr w:rsidR="0017003C"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pPr>
    </w:p>
    <w:p w14:paraId="1ECD477A" w14:textId="44BF79DF" w:rsidR="003E6F8E" w:rsidRPr="0091785E" w:rsidRDefault="00654E8F" w:rsidP="002B4A57">
      <w:pPr>
        <w:pStyle w:val="Heading1"/>
      </w:pPr>
      <w:r w:rsidRPr="0091785E">
        <w:lastRenderedPageBreak/>
        <w:t>Supplementary Tables</w:t>
      </w:r>
    </w:p>
    <w:p w14:paraId="7C4B5F35" w14:textId="411D0432" w:rsidR="0017003C" w:rsidRDefault="003E6F8E" w:rsidP="0017003C">
      <w:pPr>
        <w:pStyle w:val="Heading1"/>
        <w:numPr>
          <w:ilvl w:val="0"/>
          <w:numId w:val="0"/>
        </w:numPr>
      </w:pPr>
      <w:proofErr w:type="gramStart"/>
      <w:r w:rsidRPr="00B56FBE">
        <w:t xml:space="preserve">Supplementary Table </w:t>
      </w:r>
      <w:r w:rsidR="00805649">
        <w:t>S</w:t>
      </w:r>
      <w:r w:rsidRPr="00B56FBE">
        <w:t>1.</w:t>
      </w:r>
      <w:proofErr w:type="gramEnd"/>
      <w:r w:rsidRPr="00B56FBE">
        <w:t xml:space="preserve"> </w:t>
      </w:r>
      <w:r w:rsidR="00B56FBE" w:rsidRPr="00B56FBE">
        <w:rPr>
          <w:b w:val="0"/>
        </w:rPr>
        <w:t>Vulnerability</w:t>
      </w:r>
      <w:r w:rsidR="0050770E">
        <w:rPr>
          <w:b w:val="0"/>
        </w:rPr>
        <w:t xml:space="preserve"> (V)</w:t>
      </w:r>
      <w:r w:rsidR="00B56FBE" w:rsidRPr="00B56FBE">
        <w:rPr>
          <w:b w:val="0"/>
        </w:rPr>
        <w:t xml:space="preserve"> and resilience </w:t>
      </w:r>
      <w:r w:rsidR="0050770E">
        <w:rPr>
          <w:b w:val="0"/>
        </w:rPr>
        <w:t xml:space="preserve">(R) </w:t>
      </w:r>
      <w:r w:rsidR="00B56FBE" w:rsidRPr="00B56FBE">
        <w:rPr>
          <w:b w:val="0"/>
        </w:rPr>
        <w:t xml:space="preserve">rankings </w:t>
      </w:r>
      <w:r w:rsidR="002D1103">
        <w:rPr>
          <w:b w:val="0"/>
        </w:rPr>
        <w:t xml:space="preserve">(H=high, M=medium, L=low) </w:t>
      </w:r>
      <w:r w:rsidR="00B56FBE" w:rsidRPr="00B56FBE">
        <w:rPr>
          <w:b w:val="0"/>
        </w:rPr>
        <w:t>of each representative taxon organized by hierarchical group including the factors contributing to the ranking and associated references.</w:t>
      </w:r>
    </w:p>
    <w:tbl>
      <w:tblPr>
        <w:tblW w:w="13818" w:type="dxa"/>
        <w:tblInd w:w="93" w:type="dxa"/>
        <w:tblLayout w:type="fixed"/>
        <w:tblLook w:val="04A0" w:firstRow="1" w:lastRow="0" w:firstColumn="1" w:lastColumn="0" w:noHBand="0" w:noVBand="1"/>
      </w:tblPr>
      <w:tblGrid>
        <w:gridCol w:w="1589"/>
        <w:gridCol w:w="2206"/>
        <w:gridCol w:w="990"/>
        <w:gridCol w:w="630"/>
        <w:gridCol w:w="4680"/>
        <w:gridCol w:w="3723"/>
      </w:tblGrid>
      <w:tr w:rsidR="0050770E" w:rsidRPr="00B56FBE" w14:paraId="26829017" w14:textId="77777777" w:rsidTr="0050770E">
        <w:trPr>
          <w:trHeight w:val="620"/>
        </w:trPr>
        <w:tc>
          <w:tcPr>
            <w:tcW w:w="1589" w:type="dxa"/>
            <w:tcBorders>
              <w:top w:val="single" w:sz="4" w:space="0" w:color="auto"/>
              <w:left w:val="nil"/>
              <w:bottom w:val="double" w:sz="6" w:space="0" w:color="auto"/>
              <w:right w:val="nil"/>
            </w:tcBorders>
            <w:shd w:val="clear" w:color="auto" w:fill="auto"/>
            <w:vAlign w:val="bottom"/>
            <w:hideMark/>
          </w:tcPr>
          <w:p w14:paraId="4A06BFBA" w14:textId="411F0963"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Hierarchical</w:t>
            </w:r>
            <w:r w:rsidRPr="00B56FBE">
              <w:rPr>
                <w:rFonts w:eastAsia="Times New Roman" w:cs="Times New Roman"/>
                <w:b/>
                <w:bCs/>
                <w:color w:val="000000"/>
                <w:szCs w:val="24"/>
              </w:rPr>
              <w:br/>
              <w:t xml:space="preserve"> Group</w:t>
            </w:r>
          </w:p>
        </w:tc>
        <w:tc>
          <w:tcPr>
            <w:tcW w:w="2206" w:type="dxa"/>
            <w:tcBorders>
              <w:top w:val="single" w:sz="4" w:space="0" w:color="auto"/>
              <w:left w:val="nil"/>
              <w:bottom w:val="double" w:sz="6" w:space="0" w:color="auto"/>
              <w:right w:val="nil"/>
            </w:tcBorders>
            <w:shd w:val="clear" w:color="auto" w:fill="auto"/>
            <w:noWrap/>
            <w:vAlign w:val="bottom"/>
            <w:hideMark/>
          </w:tcPr>
          <w:p w14:paraId="7FF6149D" w14:textId="77777777"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Taxon</w:t>
            </w:r>
          </w:p>
        </w:tc>
        <w:tc>
          <w:tcPr>
            <w:tcW w:w="990" w:type="dxa"/>
            <w:tcBorders>
              <w:top w:val="single" w:sz="4" w:space="0" w:color="auto"/>
              <w:left w:val="nil"/>
              <w:bottom w:val="double" w:sz="6" w:space="0" w:color="auto"/>
              <w:right w:val="nil"/>
            </w:tcBorders>
            <w:shd w:val="clear" w:color="auto" w:fill="auto"/>
            <w:vAlign w:val="bottom"/>
            <w:hideMark/>
          </w:tcPr>
          <w:p w14:paraId="1E81C745" w14:textId="15409A52" w:rsidR="00B56FBE" w:rsidRPr="00B56FBE" w:rsidRDefault="0050770E" w:rsidP="0050770E">
            <w:pPr>
              <w:spacing w:before="0" w:after="0"/>
              <w:rPr>
                <w:rFonts w:eastAsia="Times New Roman" w:cs="Times New Roman"/>
                <w:b/>
                <w:bCs/>
                <w:color w:val="000000"/>
                <w:szCs w:val="24"/>
              </w:rPr>
            </w:pPr>
            <w:r>
              <w:rPr>
                <w:rFonts w:eastAsia="Times New Roman" w:cs="Times New Roman"/>
                <w:b/>
                <w:bCs/>
                <w:color w:val="000000"/>
                <w:szCs w:val="24"/>
              </w:rPr>
              <w:t>V</w:t>
            </w:r>
          </w:p>
        </w:tc>
        <w:tc>
          <w:tcPr>
            <w:tcW w:w="630" w:type="dxa"/>
            <w:tcBorders>
              <w:top w:val="single" w:sz="4" w:space="0" w:color="auto"/>
              <w:left w:val="nil"/>
              <w:bottom w:val="double" w:sz="6" w:space="0" w:color="auto"/>
              <w:right w:val="nil"/>
            </w:tcBorders>
            <w:shd w:val="clear" w:color="auto" w:fill="auto"/>
            <w:vAlign w:val="bottom"/>
            <w:hideMark/>
          </w:tcPr>
          <w:p w14:paraId="73C65BD5" w14:textId="3CC10332" w:rsidR="00B56FBE" w:rsidRPr="00B56FBE" w:rsidRDefault="0050770E" w:rsidP="0050770E">
            <w:pPr>
              <w:spacing w:before="0" w:after="0"/>
              <w:rPr>
                <w:rFonts w:eastAsia="Times New Roman" w:cs="Times New Roman"/>
                <w:b/>
                <w:bCs/>
                <w:color w:val="000000"/>
                <w:szCs w:val="24"/>
              </w:rPr>
            </w:pPr>
            <w:r>
              <w:rPr>
                <w:rFonts w:eastAsia="Times New Roman" w:cs="Times New Roman"/>
                <w:b/>
                <w:bCs/>
                <w:color w:val="000000"/>
                <w:szCs w:val="24"/>
              </w:rPr>
              <w:t>R</w:t>
            </w:r>
          </w:p>
        </w:tc>
        <w:tc>
          <w:tcPr>
            <w:tcW w:w="4680" w:type="dxa"/>
            <w:tcBorders>
              <w:top w:val="single" w:sz="4" w:space="0" w:color="auto"/>
              <w:left w:val="nil"/>
              <w:bottom w:val="double" w:sz="6" w:space="0" w:color="auto"/>
              <w:right w:val="nil"/>
            </w:tcBorders>
            <w:shd w:val="clear" w:color="auto" w:fill="auto"/>
            <w:noWrap/>
            <w:vAlign w:val="bottom"/>
            <w:hideMark/>
          </w:tcPr>
          <w:p w14:paraId="1BBDFC4F" w14:textId="77777777"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Contributing Factors</w:t>
            </w:r>
          </w:p>
        </w:tc>
        <w:tc>
          <w:tcPr>
            <w:tcW w:w="3723" w:type="dxa"/>
            <w:tcBorders>
              <w:top w:val="single" w:sz="4" w:space="0" w:color="auto"/>
              <w:left w:val="nil"/>
              <w:bottom w:val="double" w:sz="6" w:space="0" w:color="auto"/>
              <w:right w:val="nil"/>
            </w:tcBorders>
            <w:shd w:val="clear" w:color="auto" w:fill="auto"/>
            <w:noWrap/>
            <w:vAlign w:val="bottom"/>
            <w:hideMark/>
          </w:tcPr>
          <w:p w14:paraId="628514F9" w14:textId="77777777"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Associated Reference(s)</w:t>
            </w:r>
          </w:p>
        </w:tc>
      </w:tr>
      <w:tr w:rsidR="0050770E" w:rsidRPr="00B56FBE" w14:paraId="514A51F6" w14:textId="77777777" w:rsidTr="0050770E">
        <w:trPr>
          <w:trHeight w:val="620"/>
        </w:trPr>
        <w:tc>
          <w:tcPr>
            <w:tcW w:w="1589" w:type="dxa"/>
            <w:tcBorders>
              <w:top w:val="nil"/>
              <w:left w:val="nil"/>
              <w:bottom w:val="nil"/>
              <w:right w:val="nil"/>
            </w:tcBorders>
            <w:shd w:val="clear" w:color="auto" w:fill="auto"/>
            <w:noWrap/>
            <w:vAlign w:val="bottom"/>
            <w:hideMark/>
          </w:tcPr>
          <w:p w14:paraId="79DE90F4" w14:textId="77777777"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Microbes</w:t>
            </w:r>
          </w:p>
        </w:tc>
        <w:tc>
          <w:tcPr>
            <w:tcW w:w="2206" w:type="dxa"/>
            <w:tcBorders>
              <w:top w:val="nil"/>
              <w:left w:val="nil"/>
              <w:bottom w:val="nil"/>
              <w:right w:val="nil"/>
            </w:tcBorders>
            <w:shd w:val="clear" w:color="auto" w:fill="auto"/>
            <w:noWrap/>
            <w:vAlign w:val="bottom"/>
            <w:hideMark/>
          </w:tcPr>
          <w:p w14:paraId="6A6BCF3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Alpha </w:t>
            </w:r>
            <w:proofErr w:type="spellStart"/>
            <w:r w:rsidRPr="00B56FBE">
              <w:rPr>
                <w:rFonts w:eastAsia="Times New Roman" w:cs="Times New Roman"/>
                <w:color w:val="000000"/>
                <w:szCs w:val="24"/>
              </w:rPr>
              <w:t>proteobacteria</w:t>
            </w:r>
            <w:proofErr w:type="spellEnd"/>
          </w:p>
        </w:tc>
        <w:tc>
          <w:tcPr>
            <w:tcW w:w="990" w:type="dxa"/>
            <w:tcBorders>
              <w:top w:val="nil"/>
              <w:left w:val="nil"/>
              <w:bottom w:val="nil"/>
              <w:right w:val="nil"/>
            </w:tcBorders>
            <w:shd w:val="clear" w:color="auto" w:fill="auto"/>
            <w:noWrap/>
            <w:vAlign w:val="bottom"/>
            <w:hideMark/>
          </w:tcPr>
          <w:p w14:paraId="44FA0E88"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nil"/>
              <w:right w:val="nil"/>
            </w:tcBorders>
            <w:shd w:val="clear" w:color="auto" w:fill="auto"/>
            <w:noWrap/>
            <w:vAlign w:val="bottom"/>
            <w:hideMark/>
          </w:tcPr>
          <w:p w14:paraId="480C5A29"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vAlign w:val="bottom"/>
            <w:hideMark/>
          </w:tcPr>
          <w:p w14:paraId="1CEBC02C" w14:textId="73106642"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Overlap of habitat and MOSSFA,</w:t>
            </w:r>
            <w:r w:rsidRPr="00B56FBE">
              <w:rPr>
                <w:rFonts w:eastAsia="Times New Roman" w:cs="Times New Roman"/>
                <w:color w:val="000000"/>
                <w:szCs w:val="24"/>
              </w:rPr>
              <w:br/>
              <w:t xml:space="preserve"> short-life span</w:t>
            </w:r>
            <w:r w:rsidR="00C65DD1">
              <w:rPr>
                <w:rFonts w:eastAsia="Times New Roman" w:cs="Times New Roman"/>
                <w:color w:val="000000"/>
                <w:szCs w:val="24"/>
              </w:rPr>
              <w:t>, abundance, life span, frequency of reproduction, ability to respond to hydrocarbons, detoxifying capacity, co-varying stressors</w:t>
            </w:r>
          </w:p>
        </w:tc>
        <w:tc>
          <w:tcPr>
            <w:tcW w:w="3723" w:type="dxa"/>
            <w:tcBorders>
              <w:top w:val="nil"/>
              <w:left w:val="nil"/>
              <w:bottom w:val="nil"/>
              <w:right w:val="nil"/>
            </w:tcBorders>
            <w:shd w:val="clear" w:color="auto" w:fill="auto"/>
            <w:noWrap/>
            <w:vAlign w:val="bottom"/>
            <w:hideMark/>
          </w:tcPr>
          <w:p w14:paraId="1B381355" w14:textId="7338D65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Mason et al., 2014; </w:t>
            </w:r>
            <w:proofErr w:type="spellStart"/>
            <w:r w:rsidR="002D1103">
              <w:rPr>
                <w:rFonts w:eastAsia="Times New Roman" w:cs="Times New Roman"/>
                <w:color w:val="000000"/>
                <w:szCs w:val="24"/>
              </w:rPr>
              <w:t>Kleindienst</w:t>
            </w:r>
            <w:proofErr w:type="spellEnd"/>
            <w:r w:rsidR="002D1103">
              <w:rPr>
                <w:rFonts w:eastAsia="Times New Roman" w:cs="Times New Roman"/>
                <w:color w:val="000000"/>
                <w:szCs w:val="24"/>
              </w:rPr>
              <w:t xml:space="preserve"> et al., 2016; Yang et al., 2016 A</w:t>
            </w:r>
            <w:proofErr w:type="gramStart"/>
            <w:r w:rsidR="002D1103">
              <w:rPr>
                <w:rFonts w:eastAsia="Times New Roman" w:cs="Times New Roman"/>
                <w:color w:val="000000"/>
                <w:szCs w:val="24"/>
              </w:rPr>
              <w:t>,B</w:t>
            </w:r>
            <w:proofErr w:type="gramEnd"/>
            <w:r w:rsidR="002D1103">
              <w:rPr>
                <w:rFonts w:eastAsia="Times New Roman" w:cs="Times New Roman"/>
                <w:color w:val="000000"/>
                <w:szCs w:val="24"/>
              </w:rPr>
              <w:t xml:space="preserve">; </w:t>
            </w:r>
            <w:proofErr w:type="spellStart"/>
            <w:r w:rsidRPr="00B56FBE">
              <w:rPr>
                <w:rFonts w:eastAsia="Times New Roman" w:cs="Times New Roman"/>
                <w:color w:val="000000"/>
                <w:szCs w:val="24"/>
              </w:rPr>
              <w:t>Overholt</w:t>
            </w:r>
            <w:proofErr w:type="spellEnd"/>
            <w:r w:rsidRPr="00B56FBE">
              <w:rPr>
                <w:rFonts w:eastAsia="Times New Roman" w:cs="Times New Roman"/>
                <w:color w:val="000000"/>
                <w:szCs w:val="24"/>
              </w:rPr>
              <w:t xml:space="preserve"> et al., 2019</w:t>
            </w:r>
          </w:p>
        </w:tc>
      </w:tr>
      <w:tr w:rsidR="0050770E" w:rsidRPr="00B56FBE" w14:paraId="1A15CA69" w14:textId="77777777" w:rsidTr="0050770E">
        <w:trPr>
          <w:trHeight w:val="300"/>
        </w:trPr>
        <w:tc>
          <w:tcPr>
            <w:tcW w:w="1589" w:type="dxa"/>
            <w:tcBorders>
              <w:top w:val="nil"/>
              <w:left w:val="nil"/>
              <w:bottom w:val="nil"/>
              <w:right w:val="nil"/>
            </w:tcBorders>
            <w:shd w:val="clear" w:color="auto" w:fill="auto"/>
            <w:noWrap/>
            <w:vAlign w:val="bottom"/>
            <w:hideMark/>
          </w:tcPr>
          <w:p w14:paraId="2B37190B"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7BC88A31"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Beta </w:t>
            </w:r>
            <w:proofErr w:type="spellStart"/>
            <w:r w:rsidRPr="00B56FBE">
              <w:rPr>
                <w:rFonts w:eastAsia="Times New Roman" w:cs="Times New Roman"/>
                <w:color w:val="000000"/>
                <w:szCs w:val="24"/>
              </w:rPr>
              <w:t>proteobacteria</w:t>
            </w:r>
            <w:proofErr w:type="spellEnd"/>
          </w:p>
        </w:tc>
        <w:tc>
          <w:tcPr>
            <w:tcW w:w="990" w:type="dxa"/>
            <w:tcBorders>
              <w:top w:val="nil"/>
              <w:left w:val="nil"/>
              <w:bottom w:val="nil"/>
              <w:right w:val="nil"/>
            </w:tcBorders>
            <w:shd w:val="clear" w:color="auto" w:fill="auto"/>
            <w:noWrap/>
            <w:vAlign w:val="bottom"/>
            <w:hideMark/>
          </w:tcPr>
          <w:p w14:paraId="576A79C7"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2ACEAA6D"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4680" w:type="dxa"/>
            <w:tcBorders>
              <w:top w:val="nil"/>
              <w:left w:val="nil"/>
              <w:bottom w:val="nil"/>
              <w:right w:val="nil"/>
            </w:tcBorders>
            <w:shd w:val="clear" w:color="auto" w:fill="auto"/>
            <w:noWrap/>
            <w:vAlign w:val="bottom"/>
            <w:hideMark/>
          </w:tcPr>
          <w:p w14:paraId="556CD6FC"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4B807503" w14:textId="77777777" w:rsidR="00B56FBE" w:rsidRPr="00B56FBE" w:rsidRDefault="00B56FBE" w:rsidP="0050770E">
            <w:pPr>
              <w:spacing w:before="0" w:after="0"/>
              <w:rPr>
                <w:rFonts w:eastAsia="Times New Roman" w:cs="Times New Roman"/>
                <w:color w:val="000000"/>
                <w:szCs w:val="24"/>
              </w:rPr>
            </w:pPr>
          </w:p>
        </w:tc>
      </w:tr>
      <w:tr w:rsidR="0050770E" w:rsidRPr="00B56FBE" w14:paraId="08B214C0" w14:textId="77777777" w:rsidTr="0050770E">
        <w:trPr>
          <w:trHeight w:val="300"/>
        </w:trPr>
        <w:tc>
          <w:tcPr>
            <w:tcW w:w="1589" w:type="dxa"/>
            <w:tcBorders>
              <w:top w:val="nil"/>
              <w:left w:val="nil"/>
              <w:bottom w:val="nil"/>
              <w:right w:val="nil"/>
            </w:tcBorders>
            <w:shd w:val="clear" w:color="auto" w:fill="auto"/>
            <w:noWrap/>
            <w:vAlign w:val="bottom"/>
            <w:hideMark/>
          </w:tcPr>
          <w:p w14:paraId="5102DB36"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75A081E0"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Gamma </w:t>
            </w:r>
            <w:proofErr w:type="spellStart"/>
            <w:r w:rsidRPr="00B56FBE">
              <w:rPr>
                <w:rFonts w:eastAsia="Times New Roman" w:cs="Times New Roman"/>
                <w:color w:val="000000"/>
                <w:szCs w:val="24"/>
              </w:rPr>
              <w:t>proteobacteria</w:t>
            </w:r>
            <w:proofErr w:type="spellEnd"/>
          </w:p>
        </w:tc>
        <w:tc>
          <w:tcPr>
            <w:tcW w:w="990" w:type="dxa"/>
            <w:tcBorders>
              <w:top w:val="nil"/>
              <w:left w:val="nil"/>
              <w:bottom w:val="nil"/>
              <w:right w:val="nil"/>
            </w:tcBorders>
            <w:shd w:val="clear" w:color="auto" w:fill="auto"/>
            <w:noWrap/>
            <w:vAlign w:val="bottom"/>
            <w:hideMark/>
          </w:tcPr>
          <w:p w14:paraId="29A377B8"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7F34A5BB"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4680" w:type="dxa"/>
            <w:tcBorders>
              <w:top w:val="nil"/>
              <w:left w:val="nil"/>
              <w:bottom w:val="nil"/>
              <w:right w:val="nil"/>
            </w:tcBorders>
            <w:shd w:val="clear" w:color="auto" w:fill="auto"/>
            <w:noWrap/>
            <w:vAlign w:val="bottom"/>
            <w:hideMark/>
          </w:tcPr>
          <w:p w14:paraId="21C6F99C"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6962A71E" w14:textId="77777777" w:rsidR="00B56FBE" w:rsidRPr="00B56FBE" w:rsidRDefault="00B56FBE" w:rsidP="0050770E">
            <w:pPr>
              <w:spacing w:before="0" w:after="0"/>
              <w:rPr>
                <w:rFonts w:eastAsia="Times New Roman" w:cs="Times New Roman"/>
                <w:color w:val="000000"/>
                <w:szCs w:val="24"/>
              </w:rPr>
            </w:pPr>
          </w:p>
        </w:tc>
      </w:tr>
      <w:tr w:rsidR="0050770E" w:rsidRPr="00B56FBE" w14:paraId="0EA4F83D" w14:textId="77777777" w:rsidTr="0050770E">
        <w:trPr>
          <w:trHeight w:val="300"/>
        </w:trPr>
        <w:tc>
          <w:tcPr>
            <w:tcW w:w="1589" w:type="dxa"/>
            <w:tcBorders>
              <w:top w:val="nil"/>
              <w:left w:val="nil"/>
              <w:bottom w:val="nil"/>
              <w:right w:val="nil"/>
            </w:tcBorders>
            <w:shd w:val="clear" w:color="auto" w:fill="auto"/>
            <w:noWrap/>
            <w:vAlign w:val="bottom"/>
            <w:hideMark/>
          </w:tcPr>
          <w:p w14:paraId="32D2BDFA"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59CEEA73"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Delta </w:t>
            </w:r>
            <w:proofErr w:type="spellStart"/>
            <w:r w:rsidRPr="00B56FBE">
              <w:rPr>
                <w:rFonts w:eastAsia="Times New Roman" w:cs="Times New Roman"/>
                <w:color w:val="000000"/>
                <w:szCs w:val="24"/>
              </w:rPr>
              <w:t>proteobacteria</w:t>
            </w:r>
            <w:proofErr w:type="spellEnd"/>
          </w:p>
        </w:tc>
        <w:tc>
          <w:tcPr>
            <w:tcW w:w="990" w:type="dxa"/>
            <w:tcBorders>
              <w:top w:val="nil"/>
              <w:left w:val="nil"/>
              <w:bottom w:val="nil"/>
              <w:right w:val="nil"/>
            </w:tcBorders>
            <w:shd w:val="clear" w:color="auto" w:fill="auto"/>
            <w:noWrap/>
            <w:vAlign w:val="bottom"/>
            <w:hideMark/>
          </w:tcPr>
          <w:p w14:paraId="72051451"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nil"/>
              <w:right w:val="nil"/>
            </w:tcBorders>
            <w:shd w:val="clear" w:color="auto" w:fill="auto"/>
            <w:noWrap/>
            <w:vAlign w:val="bottom"/>
            <w:hideMark/>
          </w:tcPr>
          <w:p w14:paraId="47E95FC3"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4680" w:type="dxa"/>
            <w:tcBorders>
              <w:top w:val="nil"/>
              <w:left w:val="nil"/>
              <w:bottom w:val="nil"/>
              <w:right w:val="nil"/>
            </w:tcBorders>
            <w:shd w:val="clear" w:color="auto" w:fill="auto"/>
            <w:noWrap/>
            <w:vAlign w:val="bottom"/>
            <w:hideMark/>
          </w:tcPr>
          <w:p w14:paraId="5F0B8AE3"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58DC1881" w14:textId="77777777" w:rsidR="00B56FBE" w:rsidRPr="00B56FBE" w:rsidRDefault="00B56FBE" w:rsidP="0050770E">
            <w:pPr>
              <w:spacing w:before="0" w:after="0"/>
              <w:rPr>
                <w:rFonts w:eastAsia="Times New Roman" w:cs="Times New Roman"/>
                <w:color w:val="000000"/>
                <w:szCs w:val="24"/>
              </w:rPr>
            </w:pPr>
          </w:p>
        </w:tc>
      </w:tr>
      <w:tr w:rsidR="0050770E" w:rsidRPr="00B56FBE" w14:paraId="3AFCB62E" w14:textId="77777777" w:rsidTr="0050770E">
        <w:trPr>
          <w:trHeight w:val="300"/>
        </w:trPr>
        <w:tc>
          <w:tcPr>
            <w:tcW w:w="1589" w:type="dxa"/>
            <w:tcBorders>
              <w:top w:val="nil"/>
              <w:left w:val="nil"/>
              <w:bottom w:val="nil"/>
              <w:right w:val="nil"/>
            </w:tcBorders>
            <w:shd w:val="clear" w:color="auto" w:fill="auto"/>
            <w:noWrap/>
            <w:vAlign w:val="bottom"/>
            <w:hideMark/>
          </w:tcPr>
          <w:p w14:paraId="69D3FACC"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04495E9F"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Epsilon </w:t>
            </w:r>
            <w:proofErr w:type="spellStart"/>
            <w:r w:rsidRPr="00B56FBE">
              <w:rPr>
                <w:rFonts w:eastAsia="Times New Roman" w:cs="Times New Roman"/>
                <w:color w:val="000000"/>
                <w:szCs w:val="24"/>
              </w:rPr>
              <w:t>Proteobacteria</w:t>
            </w:r>
            <w:proofErr w:type="spellEnd"/>
          </w:p>
        </w:tc>
        <w:tc>
          <w:tcPr>
            <w:tcW w:w="990" w:type="dxa"/>
            <w:tcBorders>
              <w:top w:val="nil"/>
              <w:left w:val="nil"/>
              <w:bottom w:val="nil"/>
              <w:right w:val="nil"/>
            </w:tcBorders>
            <w:shd w:val="clear" w:color="auto" w:fill="auto"/>
            <w:noWrap/>
            <w:vAlign w:val="bottom"/>
            <w:hideMark/>
          </w:tcPr>
          <w:p w14:paraId="0DBFAC91"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0D4BF000"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4680" w:type="dxa"/>
            <w:tcBorders>
              <w:top w:val="nil"/>
              <w:left w:val="nil"/>
              <w:bottom w:val="nil"/>
              <w:right w:val="nil"/>
            </w:tcBorders>
            <w:shd w:val="clear" w:color="auto" w:fill="auto"/>
            <w:noWrap/>
            <w:vAlign w:val="bottom"/>
            <w:hideMark/>
          </w:tcPr>
          <w:p w14:paraId="3542E1C1"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61DB73F7" w14:textId="77777777" w:rsidR="00B56FBE" w:rsidRPr="00B56FBE" w:rsidRDefault="00B56FBE" w:rsidP="0050770E">
            <w:pPr>
              <w:spacing w:before="0" w:after="0"/>
              <w:rPr>
                <w:rFonts w:eastAsia="Times New Roman" w:cs="Times New Roman"/>
                <w:color w:val="000000"/>
                <w:szCs w:val="24"/>
              </w:rPr>
            </w:pPr>
          </w:p>
        </w:tc>
      </w:tr>
      <w:tr w:rsidR="0050770E" w:rsidRPr="00B56FBE" w14:paraId="39D67850" w14:textId="77777777" w:rsidTr="0050770E">
        <w:trPr>
          <w:trHeight w:val="300"/>
        </w:trPr>
        <w:tc>
          <w:tcPr>
            <w:tcW w:w="1589" w:type="dxa"/>
            <w:tcBorders>
              <w:top w:val="nil"/>
              <w:left w:val="nil"/>
              <w:bottom w:val="single" w:sz="4" w:space="0" w:color="auto"/>
              <w:right w:val="nil"/>
            </w:tcBorders>
            <w:shd w:val="clear" w:color="auto" w:fill="auto"/>
            <w:noWrap/>
            <w:vAlign w:val="bottom"/>
            <w:hideMark/>
          </w:tcPr>
          <w:p w14:paraId="0BE5C853" w14:textId="0D2B2E75"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single" w:sz="4" w:space="0" w:color="auto"/>
              <w:right w:val="nil"/>
            </w:tcBorders>
            <w:shd w:val="clear" w:color="auto" w:fill="auto"/>
            <w:noWrap/>
            <w:vAlign w:val="bottom"/>
            <w:hideMark/>
          </w:tcPr>
          <w:p w14:paraId="0942C1D1"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(AOA) </w:t>
            </w:r>
            <w:proofErr w:type="spellStart"/>
            <w:r w:rsidRPr="00B56FBE">
              <w:rPr>
                <w:rFonts w:eastAsia="Times New Roman" w:cs="Times New Roman"/>
                <w:color w:val="000000"/>
                <w:szCs w:val="24"/>
              </w:rPr>
              <w:t>Archaea</w:t>
            </w:r>
            <w:proofErr w:type="spellEnd"/>
          </w:p>
        </w:tc>
        <w:tc>
          <w:tcPr>
            <w:tcW w:w="990" w:type="dxa"/>
            <w:tcBorders>
              <w:top w:val="nil"/>
              <w:left w:val="nil"/>
              <w:bottom w:val="single" w:sz="4" w:space="0" w:color="auto"/>
              <w:right w:val="nil"/>
            </w:tcBorders>
            <w:shd w:val="clear" w:color="auto" w:fill="auto"/>
            <w:noWrap/>
            <w:vAlign w:val="bottom"/>
            <w:hideMark/>
          </w:tcPr>
          <w:p w14:paraId="6112221A"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single" w:sz="4" w:space="0" w:color="auto"/>
              <w:right w:val="nil"/>
            </w:tcBorders>
            <w:shd w:val="clear" w:color="auto" w:fill="auto"/>
            <w:noWrap/>
            <w:vAlign w:val="bottom"/>
            <w:hideMark/>
          </w:tcPr>
          <w:p w14:paraId="0FB31B9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4680" w:type="dxa"/>
            <w:tcBorders>
              <w:top w:val="nil"/>
              <w:left w:val="nil"/>
              <w:bottom w:val="single" w:sz="4" w:space="0" w:color="auto"/>
              <w:right w:val="nil"/>
            </w:tcBorders>
            <w:shd w:val="clear" w:color="auto" w:fill="auto"/>
            <w:noWrap/>
            <w:vAlign w:val="bottom"/>
            <w:hideMark/>
          </w:tcPr>
          <w:p w14:paraId="6536F32E" w14:textId="4CA1F7C9"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single" w:sz="4" w:space="0" w:color="auto"/>
              <w:right w:val="nil"/>
            </w:tcBorders>
            <w:shd w:val="clear" w:color="auto" w:fill="auto"/>
            <w:noWrap/>
            <w:vAlign w:val="bottom"/>
            <w:hideMark/>
          </w:tcPr>
          <w:p w14:paraId="081C1ECE" w14:textId="7CABC1D4" w:rsidR="00B56FBE" w:rsidRPr="00B56FBE" w:rsidRDefault="00B56FBE" w:rsidP="0050770E">
            <w:pPr>
              <w:spacing w:before="0" w:after="0"/>
              <w:rPr>
                <w:rFonts w:eastAsia="Times New Roman" w:cs="Times New Roman"/>
                <w:color w:val="000000"/>
                <w:szCs w:val="24"/>
              </w:rPr>
            </w:pPr>
          </w:p>
        </w:tc>
      </w:tr>
      <w:tr w:rsidR="0050770E" w:rsidRPr="00B56FBE" w14:paraId="4649937D" w14:textId="77777777" w:rsidTr="0050770E">
        <w:trPr>
          <w:trHeight w:val="600"/>
        </w:trPr>
        <w:tc>
          <w:tcPr>
            <w:tcW w:w="1589" w:type="dxa"/>
            <w:tcBorders>
              <w:top w:val="nil"/>
              <w:left w:val="nil"/>
              <w:bottom w:val="nil"/>
              <w:right w:val="nil"/>
            </w:tcBorders>
            <w:shd w:val="clear" w:color="auto" w:fill="auto"/>
            <w:noWrap/>
            <w:vAlign w:val="bottom"/>
            <w:hideMark/>
          </w:tcPr>
          <w:p w14:paraId="73D266BB" w14:textId="77777777"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Foraminifera</w:t>
            </w:r>
          </w:p>
        </w:tc>
        <w:tc>
          <w:tcPr>
            <w:tcW w:w="2206" w:type="dxa"/>
            <w:tcBorders>
              <w:top w:val="nil"/>
              <w:left w:val="nil"/>
              <w:bottom w:val="nil"/>
              <w:right w:val="nil"/>
            </w:tcBorders>
            <w:shd w:val="clear" w:color="auto" w:fill="auto"/>
            <w:noWrap/>
            <w:vAlign w:val="bottom"/>
            <w:hideMark/>
          </w:tcPr>
          <w:p w14:paraId="69BC13AF" w14:textId="6437E86F"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i/>
                <w:iCs/>
                <w:color w:val="000000"/>
                <w:szCs w:val="24"/>
              </w:rPr>
              <w:t>Bulimiina</w:t>
            </w:r>
            <w:proofErr w:type="spellEnd"/>
            <w:r w:rsidRPr="00B56FBE">
              <w:rPr>
                <w:rFonts w:eastAsia="Times New Roman" w:cs="Times New Roman"/>
                <w:color w:val="000000"/>
                <w:szCs w:val="24"/>
              </w:rPr>
              <w:t xml:space="preserve"> spp.</w:t>
            </w:r>
          </w:p>
        </w:tc>
        <w:tc>
          <w:tcPr>
            <w:tcW w:w="990" w:type="dxa"/>
            <w:tcBorders>
              <w:top w:val="nil"/>
              <w:left w:val="nil"/>
              <w:bottom w:val="nil"/>
              <w:right w:val="nil"/>
            </w:tcBorders>
            <w:shd w:val="clear" w:color="auto" w:fill="auto"/>
            <w:noWrap/>
            <w:vAlign w:val="bottom"/>
            <w:hideMark/>
          </w:tcPr>
          <w:p w14:paraId="6F4C153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54D797E1"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4680" w:type="dxa"/>
            <w:tcBorders>
              <w:top w:val="nil"/>
              <w:left w:val="nil"/>
              <w:bottom w:val="nil"/>
              <w:right w:val="nil"/>
            </w:tcBorders>
            <w:shd w:val="clear" w:color="auto" w:fill="auto"/>
            <w:vAlign w:val="bottom"/>
            <w:hideMark/>
          </w:tcPr>
          <w:p w14:paraId="121696B8" w14:textId="1106D77D" w:rsidR="00C65DD1" w:rsidRDefault="00C65DD1" w:rsidP="0050770E">
            <w:pPr>
              <w:spacing w:before="0" w:after="0"/>
              <w:rPr>
                <w:rFonts w:eastAsia="Times New Roman" w:cs="Times New Roman"/>
                <w:color w:val="000000"/>
                <w:szCs w:val="24"/>
              </w:rPr>
            </w:pPr>
            <w:r>
              <w:rPr>
                <w:rFonts w:eastAsia="Times New Roman" w:cs="Times New Roman"/>
                <w:color w:val="000000"/>
                <w:szCs w:val="24"/>
              </w:rPr>
              <w:t>Ability to avoid hydrocarbons, spatial overlap of populations with toxic components, duration of exposure, abundance, lifespan, co-varying stressors</w:t>
            </w:r>
          </w:p>
          <w:p w14:paraId="6DEA80F5" w14:textId="07A0DB1A"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Opportunistic in low Oxygen </w:t>
            </w:r>
            <w:r w:rsidRPr="00B56FBE">
              <w:rPr>
                <w:rFonts w:eastAsia="Times New Roman" w:cs="Times New Roman"/>
                <w:color w:val="000000"/>
                <w:szCs w:val="24"/>
              </w:rPr>
              <w:br/>
              <w:t>environments</w:t>
            </w:r>
          </w:p>
        </w:tc>
        <w:tc>
          <w:tcPr>
            <w:tcW w:w="3723" w:type="dxa"/>
            <w:tcBorders>
              <w:top w:val="nil"/>
              <w:left w:val="nil"/>
              <w:bottom w:val="nil"/>
              <w:right w:val="nil"/>
            </w:tcBorders>
            <w:shd w:val="clear" w:color="auto" w:fill="auto"/>
            <w:vAlign w:val="bottom"/>
            <w:hideMark/>
          </w:tcPr>
          <w:p w14:paraId="58621842" w14:textId="0CB84D7C" w:rsidR="00B56FBE" w:rsidRPr="00B56FBE" w:rsidRDefault="002D1103" w:rsidP="0050770E">
            <w:pPr>
              <w:spacing w:before="0" w:after="0"/>
              <w:rPr>
                <w:rFonts w:eastAsia="Times New Roman" w:cs="Times New Roman"/>
                <w:color w:val="000000"/>
                <w:szCs w:val="24"/>
              </w:rPr>
            </w:pPr>
            <w:proofErr w:type="spellStart"/>
            <w:r>
              <w:rPr>
                <w:rFonts w:eastAsia="Times New Roman" w:cs="Times New Roman"/>
                <w:color w:val="000000"/>
                <w:szCs w:val="24"/>
              </w:rPr>
              <w:t>Mojtahid</w:t>
            </w:r>
            <w:proofErr w:type="spellEnd"/>
            <w:r>
              <w:rPr>
                <w:rFonts w:eastAsia="Times New Roman" w:cs="Times New Roman"/>
                <w:color w:val="000000"/>
                <w:szCs w:val="24"/>
              </w:rPr>
              <w:t xml:space="preserve"> et al., 2006; </w:t>
            </w:r>
            <w:r w:rsidR="00B56FBE" w:rsidRPr="00B56FBE">
              <w:rPr>
                <w:rFonts w:eastAsia="Times New Roman" w:cs="Times New Roman"/>
                <w:color w:val="000000"/>
                <w:szCs w:val="24"/>
              </w:rPr>
              <w:t>Schwing et a</w:t>
            </w:r>
            <w:r>
              <w:rPr>
                <w:rFonts w:eastAsia="Times New Roman" w:cs="Times New Roman"/>
                <w:color w:val="000000"/>
                <w:szCs w:val="24"/>
              </w:rPr>
              <w:t>l., 2015; Schwing et al., 2017B</w:t>
            </w:r>
            <w:r w:rsidR="00B56FBE" w:rsidRPr="00B56FBE">
              <w:rPr>
                <w:rFonts w:eastAsia="Times New Roman" w:cs="Times New Roman"/>
                <w:color w:val="000000"/>
                <w:szCs w:val="24"/>
              </w:rPr>
              <w:br/>
              <w:t xml:space="preserve"> Schwing et al., 2018: Schwing et al., 2020B,C</w:t>
            </w:r>
          </w:p>
        </w:tc>
      </w:tr>
      <w:tr w:rsidR="0050770E" w:rsidRPr="00B56FBE" w14:paraId="4711D419" w14:textId="77777777" w:rsidTr="0050770E">
        <w:trPr>
          <w:trHeight w:val="900"/>
        </w:trPr>
        <w:tc>
          <w:tcPr>
            <w:tcW w:w="1589" w:type="dxa"/>
            <w:tcBorders>
              <w:top w:val="nil"/>
              <w:left w:val="nil"/>
              <w:bottom w:val="nil"/>
              <w:right w:val="nil"/>
            </w:tcBorders>
            <w:shd w:val="clear" w:color="auto" w:fill="auto"/>
            <w:noWrap/>
            <w:vAlign w:val="bottom"/>
            <w:hideMark/>
          </w:tcPr>
          <w:p w14:paraId="0FABF163"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525827AC"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i/>
                <w:iCs/>
                <w:color w:val="000000"/>
                <w:szCs w:val="24"/>
              </w:rPr>
              <w:t>Bolivina</w:t>
            </w:r>
            <w:proofErr w:type="spellEnd"/>
            <w:r w:rsidRPr="00B56FBE">
              <w:rPr>
                <w:rFonts w:eastAsia="Times New Roman" w:cs="Times New Roman"/>
                <w:color w:val="000000"/>
                <w:szCs w:val="24"/>
              </w:rPr>
              <w:t xml:space="preserve"> spp.</w:t>
            </w:r>
          </w:p>
        </w:tc>
        <w:tc>
          <w:tcPr>
            <w:tcW w:w="990" w:type="dxa"/>
            <w:tcBorders>
              <w:top w:val="nil"/>
              <w:left w:val="nil"/>
              <w:bottom w:val="nil"/>
              <w:right w:val="nil"/>
            </w:tcBorders>
            <w:shd w:val="clear" w:color="auto" w:fill="auto"/>
            <w:noWrap/>
            <w:vAlign w:val="bottom"/>
            <w:hideMark/>
          </w:tcPr>
          <w:p w14:paraId="1AF6E0FB"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nil"/>
              <w:right w:val="nil"/>
            </w:tcBorders>
            <w:shd w:val="clear" w:color="auto" w:fill="auto"/>
            <w:noWrap/>
            <w:vAlign w:val="bottom"/>
            <w:hideMark/>
          </w:tcPr>
          <w:p w14:paraId="0C21BB74"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vAlign w:val="bottom"/>
            <w:hideMark/>
          </w:tcPr>
          <w:p w14:paraId="05210273" w14:textId="0ACAFA06" w:rsidR="00B56FBE" w:rsidRPr="00B56FBE" w:rsidRDefault="00C65DD1" w:rsidP="0050770E">
            <w:pPr>
              <w:spacing w:before="0" w:after="0"/>
              <w:rPr>
                <w:rFonts w:eastAsia="Times New Roman" w:cs="Times New Roman"/>
                <w:color w:val="000000"/>
                <w:szCs w:val="24"/>
              </w:rPr>
            </w:pPr>
            <w:r>
              <w:rPr>
                <w:rFonts w:eastAsia="Times New Roman" w:cs="Times New Roman"/>
                <w:color w:val="000000"/>
                <w:szCs w:val="24"/>
              </w:rPr>
              <w:t>Low densiti</w:t>
            </w:r>
            <w:r w:rsidR="00B56FBE" w:rsidRPr="00B56FBE">
              <w:rPr>
                <w:rFonts w:eastAsia="Times New Roman" w:cs="Times New Roman"/>
                <w:color w:val="000000"/>
                <w:szCs w:val="24"/>
              </w:rPr>
              <w:t>es during DWH,</w:t>
            </w:r>
            <w:r w:rsidR="00B56FBE" w:rsidRPr="00B56FBE">
              <w:rPr>
                <w:rFonts w:eastAsia="Times New Roman" w:cs="Times New Roman"/>
                <w:color w:val="000000"/>
                <w:szCs w:val="24"/>
              </w:rPr>
              <w:br/>
              <w:t xml:space="preserve"> tolerant of high organic deposition, higher abundances following DWH</w:t>
            </w:r>
          </w:p>
        </w:tc>
        <w:tc>
          <w:tcPr>
            <w:tcW w:w="3723" w:type="dxa"/>
            <w:tcBorders>
              <w:top w:val="nil"/>
              <w:left w:val="nil"/>
              <w:bottom w:val="nil"/>
              <w:right w:val="nil"/>
            </w:tcBorders>
            <w:shd w:val="clear" w:color="auto" w:fill="auto"/>
            <w:noWrap/>
            <w:vAlign w:val="bottom"/>
            <w:hideMark/>
          </w:tcPr>
          <w:p w14:paraId="5E6796D2" w14:textId="77777777" w:rsidR="00B56FBE" w:rsidRPr="00B56FBE" w:rsidRDefault="00B56FBE" w:rsidP="0050770E">
            <w:pPr>
              <w:spacing w:before="0" w:after="0"/>
              <w:rPr>
                <w:rFonts w:eastAsia="Times New Roman" w:cs="Times New Roman"/>
                <w:color w:val="000000"/>
                <w:szCs w:val="24"/>
              </w:rPr>
            </w:pPr>
          </w:p>
        </w:tc>
      </w:tr>
      <w:tr w:rsidR="0050770E" w:rsidRPr="00B56FBE" w14:paraId="115F3C0A" w14:textId="77777777" w:rsidTr="0050770E">
        <w:trPr>
          <w:trHeight w:val="300"/>
        </w:trPr>
        <w:tc>
          <w:tcPr>
            <w:tcW w:w="1589" w:type="dxa"/>
            <w:tcBorders>
              <w:top w:val="nil"/>
              <w:left w:val="nil"/>
              <w:bottom w:val="nil"/>
              <w:right w:val="nil"/>
            </w:tcBorders>
            <w:shd w:val="clear" w:color="auto" w:fill="auto"/>
            <w:noWrap/>
            <w:vAlign w:val="bottom"/>
            <w:hideMark/>
          </w:tcPr>
          <w:p w14:paraId="1202ACCF"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0BAC3FFE"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i/>
                <w:iCs/>
                <w:color w:val="000000"/>
                <w:szCs w:val="24"/>
              </w:rPr>
              <w:t>Globocassidulina</w:t>
            </w:r>
            <w:proofErr w:type="spellEnd"/>
            <w:r w:rsidRPr="00B56FBE">
              <w:rPr>
                <w:rFonts w:eastAsia="Times New Roman" w:cs="Times New Roman"/>
                <w:i/>
                <w:iCs/>
                <w:color w:val="000000"/>
                <w:szCs w:val="24"/>
              </w:rPr>
              <w:t xml:space="preserve"> </w:t>
            </w:r>
            <w:r w:rsidRPr="00B56FBE">
              <w:rPr>
                <w:rFonts w:eastAsia="Times New Roman" w:cs="Times New Roman"/>
                <w:color w:val="000000"/>
                <w:szCs w:val="24"/>
              </w:rPr>
              <w:t>spp.</w:t>
            </w:r>
          </w:p>
        </w:tc>
        <w:tc>
          <w:tcPr>
            <w:tcW w:w="990" w:type="dxa"/>
            <w:tcBorders>
              <w:top w:val="nil"/>
              <w:left w:val="nil"/>
              <w:bottom w:val="nil"/>
              <w:right w:val="nil"/>
            </w:tcBorders>
            <w:shd w:val="clear" w:color="auto" w:fill="auto"/>
            <w:noWrap/>
            <w:vAlign w:val="bottom"/>
            <w:hideMark/>
          </w:tcPr>
          <w:p w14:paraId="6A1FAEFD"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5C891732"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4680" w:type="dxa"/>
            <w:tcBorders>
              <w:top w:val="nil"/>
              <w:left w:val="nil"/>
              <w:bottom w:val="nil"/>
              <w:right w:val="nil"/>
            </w:tcBorders>
            <w:shd w:val="clear" w:color="auto" w:fill="auto"/>
            <w:noWrap/>
            <w:vAlign w:val="bottom"/>
            <w:hideMark/>
          </w:tcPr>
          <w:p w14:paraId="124BB99A"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Opportunistic in low Oxygen environments</w:t>
            </w:r>
          </w:p>
        </w:tc>
        <w:tc>
          <w:tcPr>
            <w:tcW w:w="3723" w:type="dxa"/>
            <w:tcBorders>
              <w:top w:val="nil"/>
              <w:left w:val="nil"/>
              <w:bottom w:val="nil"/>
              <w:right w:val="nil"/>
            </w:tcBorders>
            <w:shd w:val="clear" w:color="auto" w:fill="auto"/>
            <w:noWrap/>
            <w:vAlign w:val="bottom"/>
            <w:hideMark/>
          </w:tcPr>
          <w:p w14:paraId="7E1BF3A7" w14:textId="77777777" w:rsidR="00B56FBE" w:rsidRPr="00B56FBE" w:rsidRDefault="00B56FBE" w:rsidP="0050770E">
            <w:pPr>
              <w:spacing w:before="0" w:after="0"/>
              <w:rPr>
                <w:rFonts w:eastAsia="Times New Roman" w:cs="Times New Roman"/>
                <w:color w:val="000000"/>
                <w:szCs w:val="24"/>
              </w:rPr>
            </w:pPr>
          </w:p>
        </w:tc>
      </w:tr>
      <w:tr w:rsidR="0050770E" w:rsidRPr="00B56FBE" w14:paraId="08CB5E29" w14:textId="77777777" w:rsidTr="0050770E">
        <w:trPr>
          <w:trHeight w:val="900"/>
        </w:trPr>
        <w:tc>
          <w:tcPr>
            <w:tcW w:w="1589" w:type="dxa"/>
            <w:tcBorders>
              <w:top w:val="nil"/>
              <w:left w:val="nil"/>
              <w:bottom w:val="single" w:sz="4" w:space="0" w:color="auto"/>
              <w:right w:val="nil"/>
            </w:tcBorders>
            <w:shd w:val="clear" w:color="auto" w:fill="auto"/>
            <w:noWrap/>
            <w:vAlign w:val="bottom"/>
            <w:hideMark/>
          </w:tcPr>
          <w:p w14:paraId="0D8F148B" w14:textId="4FDCE56E"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single" w:sz="4" w:space="0" w:color="auto"/>
              <w:right w:val="nil"/>
            </w:tcBorders>
            <w:shd w:val="clear" w:color="auto" w:fill="auto"/>
            <w:noWrap/>
            <w:vAlign w:val="bottom"/>
            <w:hideMark/>
          </w:tcPr>
          <w:p w14:paraId="4513C1DB" w14:textId="685A9782" w:rsidR="00B56FBE" w:rsidRPr="00B56FBE" w:rsidRDefault="00B56FBE" w:rsidP="0050770E">
            <w:pPr>
              <w:spacing w:before="0" w:after="0"/>
              <w:rPr>
                <w:rFonts w:eastAsia="Times New Roman" w:cs="Times New Roman"/>
                <w:color w:val="000000"/>
                <w:szCs w:val="24"/>
              </w:rPr>
            </w:pPr>
            <w:r w:rsidRPr="00B56FBE">
              <w:rPr>
                <w:rFonts w:eastAsia="Times New Roman" w:cs="Times New Roman"/>
                <w:i/>
                <w:iCs/>
                <w:color w:val="000000"/>
                <w:szCs w:val="24"/>
              </w:rPr>
              <w:t>Uvigerina</w:t>
            </w:r>
            <w:r w:rsidRPr="00B56FBE">
              <w:rPr>
                <w:rFonts w:eastAsia="Times New Roman" w:cs="Times New Roman"/>
                <w:color w:val="000000"/>
                <w:szCs w:val="24"/>
              </w:rPr>
              <w:t xml:space="preserve"> spp.</w:t>
            </w:r>
          </w:p>
        </w:tc>
        <w:tc>
          <w:tcPr>
            <w:tcW w:w="990" w:type="dxa"/>
            <w:tcBorders>
              <w:top w:val="nil"/>
              <w:left w:val="nil"/>
              <w:bottom w:val="single" w:sz="4" w:space="0" w:color="auto"/>
              <w:right w:val="nil"/>
            </w:tcBorders>
            <w:shd w:val="clear" w:color="auto" w:fill="auto"/>
            <w:noWrap/>
            <w:vAlign w:val="bottom"/>
            <w:hideMark/>
          </w:tcPr>
          <w:p w14:paraId="2200D297"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single" w:sz="4" w:space="0" w:color="auto"/>
              <w:right w:val="nil"/>
            </w:tcBorders>
            <w:shd w:val="clear" w:color="auto" w:fill="auto"/>
            <w:noWrap/>
            <w:vAlign w:val="bottom"/>
            <w:hideMark/>
          </w:tcPr>
          <w:p w14:paraId="149BB124"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single" w:sz="4" w:space="0" w:color="auto"/>
              <w:right w:val="nil"/>
            </w:tcBorders>
            <w:shd w:val="clear" w:color="auto" w:fill="auto"/>
            <w:vAlign w:val="bottom"/>
            <w:hideMark/>
          </w:tcPr>
          <w:p w14:paraId="33E77417" w14:textId="4BD153D1" w:rsidR="00B56FBE" w:rsidRPr="00B56FBE" w:rsidRDefault="00C65DD1" w:rsidP="0050770E">
            <w:pPr>
              <w:spacing w:before="0" w:after="0"/>
              <w:rPr>
                <w:rFonts w:eastAsia="Times New Roman" w:cs="Times New Roman"/>
                <w:color w:val="000000"/>
                <w:szCs w:val="24"/>
              </w:rPr>
            </w:pPr>
            <w:r>
              <w:rPr>
                <w:rFonts w:eastAsia="Times New Roman" w:cs="Times New Roman"/>
                <w:color w:val="000000"/>
                <w:szCs w:val="24"/>
              </w:rPr>
              <w:t>Low densiti</w:t>
            </w:r>
            <w:r w:rsidR="00B56FBE" w:rsidRPr="00B56FBE">
              <w:rPr>
                <w:rFonts w:eastAsia="Times New Roman" w:cs="Times New Roman"/>
                <w:color w:val="000000"/>
                <w:szCs w:val="24"/>
              </w:rPr>
              <w:t xml:space="preserve">es during DWH, </w:t>
            </w:r>
            <w:r w:rsidR="00B56FBE" w:rsidRPr="00B56FBE">
              <w:rPr>
                <w:rFonts w:eastAsia="Times New Roman" w:cs="Times New Roman"/>
                <w:color w:val="000000"/>
                <w:szCs w:val="24"/>
              </w:rPr>
              <w:br/>
              <w:t>tolerant of high organic deposition, higher abundances following DWH</w:t>
            </w:r>
          </w:p>
        </w:tc>
        <w:tc>
          <w:tcPr>
            <w:tcW w:w="3723" w:type="dxa"/>
            <w:tcBorders>
              <w:top w:val="nil"/>
              <w:left w:val="nil"/>
              <w:bottom w:val="single" w:sz="4" w:space="0" w:color="auto"/>
              <w:right w:val="nil"/>
            </w:tcBorders>
            <w:shd w:val="clear" w:color="auto" w:fill="auto"/>
            <w:noWrap/>
            <w:vAlign w:val="bottom"/>
            <w:hideMark/>
          </w:tcPr>
          <w:p w14:paraId="515D712B" w14:textId="76733B4D" w:rsidR="00B56FBE" w:rsidRPr="00B56FBE" w:rsidRDefault="00B56FBE" w:rsidP="0050770E">
            <w:pPr>
              <w:spacing w:before="0" w:after="0"/>
              <w:rPr>
                <w:rFonts w:eastAsia="Times New Roman" w:cs="Times New Roman"/>
                <w:color w:val="000000"/>
                <w:szCs w:val="24"/>
              </w:rPr>
            </w:pPr>
          </w:p>
        </w:tc>
      </w:tr>
      <w:tr w:rsidR="0050770E" w:rsidRPr="00B56FBE" w14:paraId="4335E67B" w14:textId="77777777" w:rsidTr="0050770E">
        <w:trPr>
          <w:trHeight w:val="600"/>
        </w:trPr>
        <w:tc>
          <w:tcPr>
            <w:tcW w:w="1589" w:type="dxa"/>
            <w:tcBorders>
              <w:top w:val="nil"/>
              <w:left w:val="nil"/>
              <w:bottom w:val="nil"/>
              <w:right w:val="nil"/>
            </w:tcBorders>
            <w:shd w:val="clear" w:color="auto" w:fill="auto"/>
            <w:noWrap/>
            <w:vAlign w:val="bottom"/>
            <w:hideMark/>
          </w:tcPr>
          <w:p w14:paraId="7CE7EEB5" w14:textId="77777777"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Meiofauna</w:t>
            </w:r>
          </w:p>
        </w:tc>
        <w:tc>
          <w:tcPr>
            <w:tcW w:w="2206" w:type="dxa"/>
            <w:tcBorders>
              <w:top w:val="nil"/>
              <w:left w:val="nil"/>
              <w:bottom w:val="nil"/>
              <w:right w:val="nil"/>
            </w:tcBorders>
            <w:shd w:val="clear" w:color="auto" w:fill="auto"/>
            <w:noWrap/>
            <w:vAlign w:val="bottom"/>
            <w:hideMark/>
          </w:tcPr>
          <w:p w14:paraId="68BD8F36"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Harpacticoida</w:t>
            </w:r>
            <w:proofErr w:type="spellEnd"/>
          </w:p>
        </w:tc>
        <w:tc>
          <w:tcPr>
            <w:tcW w:w="990" w:type="dxa"/>
            <w:tcBorders>
              <w:top w:val="nil"/>
              <w:left w:val="nil"/>
              <w:bottom w:val="nil"/>
              <w:right w:val="nil"/>
            </w:tcBorders>
            <w:shd w:val="clear" w:color="auto" w:fill="auto"/>
            <w:noWrap/>
            <w:vAlign w:val="bottom"/>
            <w:hideMark/>
          </w:tcPr>
          <w:p w14:paraId="4B2BF564"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630" w:type="dxa"/>
            <w:tcBorders>
              <w:top w:val="nil"/>
              <w:left w:val="nil"/>
              <w:bottom w:val="nil"/>
              <w:right w:val="nil"/>
            </w:tcBorders>
            <w:shd w:val="clear" w:color="auto" w:fill="auto"/>
            <w:noWrap/>
            <w:vAlign w:val="bottom"/>
            <w:hideMark/>
          </w:tcPr>
          <w:p w14:paraId="7071D0F2"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4680" w:type="dxa"/>
            <w:tcBorders>
              <w:top w:val="nil"/>
              <w:left w:val="nil"/>
              <w:bottom w:val="nil"/>
              <w:right w:val="nil"/>
            </w:tcBorders>
            <w:shd w:val="clear" w:color="auto" w:fill="auto"/>
            <w:noWrap/>
            <w:vAlign w:val="bottom"/>
            <w:hideMark/>
          </w:tcPr>
          <w:p w14:paraId="7E267967" w14:textId="423A349A" w:rsidR="00B56FBE" w:rsidRDefault="00C65DD1" w:rsidP="0050770E">
            <w:pPr>
              <w:spacing w:before="0" w:after="0"/>
              <w:rPr>
                <w:rFonts w:eastAsia="Times New Roman" w:cs="Times New Roman"/>
                <w:color w:val="000000"/>
                <w:szCs w:val="24"/>
              </w:rPr>
            </w:pPr>
            <w:r>
              <w:rPr>
                <w:rFonts w:eastAsia="Times New Roman" w:cs="Times New Roman"/>
                <w:color w:val="000000"/>
                <w:szCs w:val="24"/>
              </w:rPr>
              <w:t>Ability to avoid hydrocarbons, life span, co-varying stressors</w:t>
            </w:r>
          </w:p>
          <w:p w14:paraId="5969C907" w14:textId="250C4FDE" w:rsidR="00C65DD1" w:rsidRPr="00B56FBE" w:rsidRDefault="00C65DD1" w:rsidP="0050770E">
            <w:pPr>
              <w:spacing w:before="0" w:after="0"/>
              <w:rPr>
                <w:rFonts w:eastAsia="Times New Roman" w:cs="Times New Roman"/>
                <w:color w:val="000000"/>
                <w:szCs w:val="24"/>
              </w:rPr>
            </w:pPr>
            <w:r w:rsidRPr="00B56FBE">
              <w:rPr>
                <w:rFonts w:eastAsia="Times New Roman" w:cs="Times New Roman"/>
                <w:color w:val="000000"/>
                <w:szCs w:val="24"/>
              </w:rPr>
              <w:t>Sensitive to pollution</w:t>
            </w:r>
          </w:p>
        </w:tc>
        <w:tc>
          <w:tcPr>
            <w:tcW w:w="3723" w:type="dxa"/>
            <w:tcBorders>
              <w:top w:val="nil"/>
              <w:left w:val="nil"/>
              <w:bottom w:val="nil"/>
              <w:right w:val="nil"/>
            </w:tcBorders>
            <w:shd w:val="clear" w:color="auto" w:fill="auto"/>
            <w:vAlign w:val="bottom"/>
            <w:hideMark/>
          </w:tcPr>
          <w:p w14:paraId="4A51E7C9" w14:textId="3DB6FA73"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Montagna et al., 2013; </w:t>
            </w:r>
            <w:proofErr w:type="spellStart"/>
            <w:r w:rsidRPr="00B56FBE">
              <w:rPr>
                <w:rFonts w:eastAsia="Times New Roman" w:cs="Times New Roman"/>
                <w:color w:val="000000"/>
                <w:szCs w:val="24"/>
              </w:rPr>
              <w:t>Baguley</w:t>
            </w:r>
            <w:proofErr w:type="spellEnd"/>
            <w:r w:rsidRPr="00B56FBE">
              <w:rPr>
                <w:rFonts w:eastAsia="Times New Roman" w:cs="Times New Roman"/>
                <w:color w:val="000000"/>
                <w:szCs w:val="24"/>
              </w:rPr>
              <w:t xml:space="preserve"> et al., 2015;</w:t>
            </w:r>
            <w:r w:rsidRPr="00B56FBE">
              <w:rPr>
                <w:rFonts w:eastAsia="Times New Roman" w:cs="Times New Roman"/>
                <w:color w:val="000000"/>
                <w:szCs w:val="24"/>
              </w:rPr>
              <w:br/>
              <w:t xml:space="preserve"> </w:t>
            </w:r>
            <w:proofErr w:type="spellStart"/>
            <w:r w:rsidRPr="00B56FBE">
              <w:rPr>
                <w:rFonts w:eastAsia="Times New Roman" w:cs="Times New Roman"/>
                <w:color w:val="000000"/>
                <w:szCs w:val="24"/>
              </w:rPr>
              <w:t>Reuscher</w:t>
            </w:r>
            <w:proofErr w:type="spellEnd"/>
            <w:r w:rsidRPr="00B56FBE">
              <w:rPr>
                <w:rFonts w:eastAsia="Times New Roman" w:cs="Times New Roman"/>
                <w:color w:val="000000"/>
                <w:szCs w:val="24"/>
              </w:rPr>
              <w:t xml:space="preserve"> et al., 2017; Montagna and Girard 2020;</w:t>
            </w:r>
          </w:p>
        </w:tc>
      </w:tr>
      <w:tr w:rsidR="0050770E" w:rsidRPr="00B56FBE" w14:paraId="6BD166C2" w14:textId="77777777" w:rsidTr="0050770E">
        <w:trPr>
          <w:trHeight w:val="300"/>
        </w:trPr>
        <w:tc>
          <w:tcPr>
            <w:tcW w:w="1589" w:type="dxa"/>
            <w:tcBorders>
              <w:top w:val="nil"/>
              <w:left w:val="nil"/>
              <w:bottom w:val="single" w:sz="4" w:space="0" w:color="auto"/>
              <w:right w:val="nil"/>
            </w:tcBorders>
            <w:shd w:val="clear" w:color="auto" w:fill="auto"/>
            <w:noWrap/>
            <w:vAlign w:val="bottom"/>
            <w:hideMark/>
          </w:tcPr>
          <w:p w14:paraId="05D7DC12" w14:textId="2FB2E2D3"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single" w:sz="4" w:space="0" w:color="auto"/>
              <w:right w:val="nil"/>
            </w:tcBorders>
            <w:shd w:val="clear" w:color="auto" w:fill="auto"/>
            <w:noWrap/>
            <w:vAlign w:val="bottom"/>
            <w:hideMark/>
          </w:tcPr>
          <w:p w14:paraId="45225AC8"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Nematoda</w:t>
            </w:r>
            <w:proofErr w:type="spellEnd"/>
          </w:p>
        </w:tc>
        <w:tc>
          <w:tcPr>
            <w:tcW w:w="990" w:type="dxa"/>
            <w:tcBorders>
              <w:top w:val="nil"/>
              <w:left w:val="nil"/>
              <w:bottom w:val="single" w:sz="4" w:space="0" w:color="auto"/>
              <w:right w:val="nil"/>
            </w:tcBorders>
            <w:shd w:val="clear" w:color="auto" w:fill="auto"/>
            <w:noWrap/>
            <w:vAlign w:val="bottom"/>
            <w:hideMark/>
          </w:tcPr>
          <w:p w14:paraId="520185FE"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single" w:sz="4" w:space="0" w:color="auto"/>
              <w:right w:val="nil"/>
            </w:tcBorders>
            <w:shd w:val="clear" w:color="auto" w:fill="auto"/>
            <w:noWrap/>
            <w:vAlign w:val="bottom"/>
            <w:hideMark/>
          </w:tcPr>
          <w:p w14:paraId="1F7E4B39"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4680" w:type="dxa"/>
            <w:tcBorders>
              <w:top w:val="nil"/>
              <w:left w:val="nil"/>
              <w:bottom w:val="single" w:sz="4" w:space="0" w:color="auto"/>
              <w:right w:val="nil"/>
            </w:tcBorders>
            <w:shd w:val="clear" w:color="auto" w:fill="auto"/>
            <w:noWrap/>
            <w:vAlign w:val="bottom"/>
            <w:hideMark/>
          </w:tcPr>
          <w:p w14:paraId="4B189D67"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Opportunistic in polluted environments</w:t>
            </w:r>
          </w:p>
        </w:tc>
        <w:tc>
          <w:tcPr>
            <w:tcW w:w="3723" w:type="dxa"/>
            <w:tcBorders>
              <w:top w:val="nil"/>
              <w:left w:val="nil"/>
              <w:bottom w:val="single" w:sz="4" w:space="0" w:color="auto"/>
              <w:right w:val="nil"/>
            </w:tcBorders>
            <w:shd w:val="clear" w:color="auto" w:fill="auto"/>
            <w:noWrap/>
            <w:vAlign w:val="bottom"/>
            <w:hideMark/>
          </w:tcPr>
          <w:p w14:paraId="0A5B4E24" w14:textId="7CB47258" w:rsidR="00B56FBE" w:rsidRPr="00B56FBE" w:rsidRDefault="00B56FBE" w:rsidP="0050770E">
            <w:pPr>
              <w:spacing w:before="0" w:after="0"/>
              <w:rPr>
                <w:rFonts w:eastAsia="Times New Roman" w:cs="Times New Roman"/>
                <w:color w:val="000000"/>
                <w:szCs w:val="24"/>
              </w:rPr>
            </w:pPr>
          </w:p>
        </w:tc>
      </w:tr>
      <w:tr w:rsidR="0050770E" w:rsidRPr="00B56FBE" w14:paraId="58F3A0A0" w14:textId="77777777" w:rsidTr="0050770E">
        <w:trPr>
          <w:trHeight w:val="900"/>
        </w:trPr>
        <w:tc>
          <w:tcPr>
            <w:tcW w:w="1589" w:type="dxa"/>
            <w:tcBorders>
              <w:top w:val="nil"/>
              <w:left w:val="nil"/>
              <w:bottom w:val="nil"/>
              <w:right w:val="nil"/>
            </w:tcBorders>
            <w:shd w:val="clear" w:color="auto" w:fill="auto"/>
            <w:noWrap/>
            <w:vAlign w:val="bottom"/>
            <w:hideMark/>
          </w:tcPr>
          <w:p w14:paraId="5B601CB5" w14:textId="77777777"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Macrofauna</w:t>
            </w:r>
          </w:p>
        </w:tc>
        <w:tc>
          <w:tcPr>
            <w:tcW w:w="2206" w:type="dxa"/>
            <w:tcBorders>
              <w:top w:val="nil"/>
              <w:left w:val="nil"/>
              <w:bottom w:val="nil"/>
              <w:right w:val="nil"/>
            </w:tcBorders>
            <w:shd w:val="clear" w:color="auto" w:fill="auto"/>
            <w:noWrap/>
            <w:vAlign w:val="bottom"/>
            <w:hideMark/>
          </w:tcPr>
          <w:p w14:paraId="113A2BE4" w14:textId="319394ED"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Cirratulidae</w:t>
            </w:r>
            <w:proofErr w:type="spellEnd"/>
          </w:p>
        </w:tc>
        <w:tc>
          <w:tcPr>
            <w:tcW w:w="990" w:type="dxa"/>
            <w:tcBorders>
              <w:top w:val="nil"/>
              <w:left w:val="nil"/>
              <w:bottom w:val="nil"/>
              <w:right w:val="nil"/>
            </w:tcBorders>
            <w:shd w:val="clear" w:color="auto" w:fill="auto"/>
            <w:noWrap/>
            <w:vAlign w:val="bottom"/>
            <w:hideMark/>
          </w:tcPr>
          <w:p w14:paraId="7FB27F06"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nil"/>
              <w:right w:val="nil"/>
            </w:tcBorders>
            <w:shd w:val="clear" w:color="auto" w:fill="auto"/>
            <w:noWrap/>
            <w:vAlign w:val="bottom"/>
            <w:hideMark/>
          </w:tcPr>
          <w:p w14:paraId="7DC00808"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noWrap/>
            <w:vAlign w:val="bottom"/>
            <w:hideMark/>
          </w:tcPr>
          <w:p w14:paraId="4B0108AD" w14:textId="34DDF62F" w:rsidR="00B56FBE" w:rsidRPr="00B56FBE" w:rsidRDefault="00C65DD1" w:rsidP="0050770E">
            <w:pPr>
              <w:spacing w:before="0" w:after="0"/>
              <w:rPr>
                <w:rFonts w:eastAsia="Times New Roman" w:cs="Times New Roman"/>
                <w:color w:val="000000"/>
                <w:szCs w:val="24"/>
              </w:rPr>
            </w:pPr>
            <w:r>
              <w:rPr>
                <w:rFonts w:eastAsia="Times New Roman" w:cs="Times New Roman"/>
                <w:color w:val="000000"/>
                <w:szCs w:val="24"/>
              </w:rPr>
              <w:t>Ability to avoid hydrocarbons, spatial overlap of populations with toxic components, duration of exposure, abundance, life span, co-varying stressors</w:t>
            </w:r>
          </w:p>
        </w:tc>
        <w:tc>
          <w:tcPr>
            <w:tcW w:w="3723" w:type="dxa"/>
            <w:tcBorders>
              <w:top w:val="nil"/>
              <w:left w:val="nil"/>
              <w:bottom w:val="nil"/>
              <w:right w:val="nil"/>
            </w:tcBorders>
            <w:shd w:val="clear" w:color="auto" w:fill="auto"/>
            <w:vAlign w:val="bottom"/>
            <w:hideMark/>
          </w:tcPr>
          <w:p w14:paraId="01B6B2BD" w14:textId="05C524CA"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Montagna et al., 2013;Washburn et al., 2016</w:t>
            </w:r>
            <w:proofErr w:type="gramStart"/>
            <w:r w:rsidRPr="00B56FBE">
              <w:rPr>
                <w:rFonts w:eastAsia="Times New Roman" w:cs="Times New Roman"/>
                <w:color w:val="000000"/>
                <w:szCs w:val="24"/>
              </w:rPr>
              <w:t>;  Montagna</w:t>
            </w:r>
            <w:proofErr w:type="gramEnd"/>
            <w:r w:rsidRPr="00B56FBE">
              <w:rPr>
                <w:rFonts w:eastAsia="Times New Roman" w:cs="Times New Roman"/>
                <w:color w:val="000000"/>
                <w:szCs w:val="24"/>
              </w:rPr>
              <w:t xml:space="preserve"> et al., 2017; </w:t>
            </w:r>
            <w:proofErr w:type="spellStart"/>
            <w:r w:rsidRPr="00B56FBE">
              <w:rPr>
                <w:rFonts w:eastAsia="Times New Roman" w:cs="Times New Roman"/>
                <w:color w:val="000000"/>
                <w:szCs w:val="24"/>
              </w:rPr>
              <w:t>Reuscher</w:t>
            </w:r>
            <w:proofErr w:type="spellEnd"/>
            <w:r w:rsidRPr="00B56FBE">
              <w:rPr>
                <w:rFonts w:eastAsia="Times New Roman" w:cs="Times New Roman"/>
                <w:color w:val="000000"/>
                <w:szCs w:val="24"/>
              </w:rPr>
              <w:t xml:space="preserve"> et al., 2017; Washburn et al., 2017; Montagna and Girard 2020;</w:t>
            </w:r>
          </w:p>
        </w:tc>
      </w:tr>
      <w:tr w:rsidR="0050770E" w:rsidRPr="00B56FBE" w14:paraId="26BDD679" w14:textId="77777777" w:rsidTr="0050770E">
        <w:trPr>
          <w:trHeight w:val="300"/>
        </w:trPr>
        <w:tc>
          <w:tcPr>
            <w:tcW w:w="1589" w:type="dxa"/>
            <w:tcBorders>
              <w:top w:val="nil"/>
              <w:left w:val="nil"/>
              <w:bottom w:val="nil"/>
              <w:right w:val="nil"/>
            </w:tcBorders>
            <w:shd w:val="clear" w:color="auto" w:fill="auto"/>
            <w:noWrap/>
            <w:vAlign w:val="bottom"/>
            <w:hideMark/>
          </w:tcPr>
          <w:p w14:paraId="1565FB2A"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046126FE"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Dorvilleidae</w:t>
            </w:r>
            <w:proofErr w:type="spellEnd"/>
          </w:p>
        </w:tc>
        <w:tc>
          <w:tcPr>
            <w:tcW w:w="990" w:type="dxa"/>
            <w:tcBorders>
              <w:top w:val="nil"/>
              <w:left w:val="nil"/>
              <w:bottom w:val="nil"/>
              <w:right w:val="nil"/>
            </w:tcBorders>
            <w:shd w:val="clear" w:color="auto" w:fill="auto"/>
            <w:noWrap/>
            <w:vAlign w:val="bottom"/>
            <w:hideMark/>
          </w:tcPr>
          <w:p w14:paraId="1E21A29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0B680754"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4680" w:type="dxa"/>
            <w:tcBorders>
              <w:top w:val="nil"/>
              <w:left w:val="nil"/>
              <w:bottom w:val="nil"/>
              <w:right w:val="nil"/>
            </w:tcBorders>
            <w:shd w:val="clear" w:color="auto" w:fill="auto"/>
            <w:noWrap/>
            <w:vAlign w:val="bottom"/>
            <w:hideMark/>
          </w:tcPr>
          <w:p w14:paraId="30EDCE06"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2E0591F9" w14:textId="77777777" w:rsidR="00B56FBE" w:rsidRPr="00B56FBE" w:rsidRDefault="00B56FBE" w:rsidP="0050770E">
            <w:pPr>
              <w:spacing w:before="0" w:after="0"/>
              <w:rPr>
                <w:rFonts w:eastAsia="Times New Roman" w:cs="Times New Roman"/>
                <w:color w:val="000000"/>
                <w:szCs w:val="24"/>
              </w:rPr>
            </w:pPr>
          </w:p>
        </w:tc>
      </w:tr>
      <w:tr w:rsidR="0050770E" w:rsidRPr="00B56FBE" w14:paraId="3546DC7D" w14:textId="77777777" w:rsidTr="0050770E">
        <w:trPr>
          <w:trHeight w:val="300"/>
        </w:trPr>
        <w:tc>
          <w:tcPr>
            <w:tcW w:w="1589" w:type="dxa"/>
            <w:tcBorders>
              <w:top w:val="nil"/>
              <w:left w:val="nil"/>
              <w:bottom w:val="nil"/>
              <w:right w:val="nil"/>
            </w:tcBorders>
            <w:shd w:val="clear" w:color="auto" w:fill="auto"/>
            <w:noWrap/>
            <w:vAlign w:val="bottom"/>
            <w:hideMark/>
          </w:tcPr>
          <w:p w14:paraId="5BD9B1B4"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498326C0"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Nannastacidae</w:t>
            </w:r>
            <w:proofErr w:type="spellEnd"/>
          </w:p>
        </w:tc>
        <w:tc>
          <w:tcPr>
            <w:tcW w:w="990" w:type="dxa"/>
            <w:tcBorders>
              <w:top w:val="nil"/>
              <w:left w:val="nil"/>
              <w:bottom w:val="nil"/>
              <w:right w:val="nil"/>
            </w:tcBorders>
            <w:shd w:val="clear" w:color="auto" w:fill="auto"/>
            <w:noWrap/>
            <w:vAlign w:val="bottom"/>
            <w:hideMark/>
          </w:tcPr>
          <w:p w14:paraId="47725DDB"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630" w:type="dxa"/>
            <w:tcBorders>
              <w:top w:val="nil"/>
              <w:left w:val="nil"/>
              <w:bottom w:val="nil"/>
              <w:right w:val="nil"/>
            </w:tcBorders>
            <w:shd w:val="clear" w:color="auto" w:fill="auto"/>
            <w:noWrap/>
            <w:vAlign w:val="bottom"/>
            <w:hideMark/>
          </w:tcPr>
          <w:p w14:paraId="098766B0"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4680" w:type="dxa"/>
            <w:tcBorders>
              <w:top w:val="nil"/>
              <w:left w:val="nil"/>
              <w:bottom w:val="nil"/>
              <w:right w:val="nil"/>
            </w:tcBorders>
            <w:shd w:val="clear" w:color="auto" w:fill="auto"/>
            <w:noWrap/>
            <w:vAlign w:val="bottom"/>
            <w:hideMark/>
          </w:tcPr>
          <w:p w14:paraId="2A7B3665"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53E28CF8" w14:textId="77777777" w:rsidR="00B56FBE" w:rsidRPr="00B56FBE" w:rsidRDefault="00B56FBE" w:rsidP="0050770E">
            <w:pPr>
              <w:spacing w:before="0" w:after="0"/>
              <w:rPr>
                <w:rFonts w:eastAsia="Times New Roman" w:cs="Times New Roman"/>
                <w:color w:val="000000"/>
                <w:szCs w:val="24"/>
              </w:rPr>
            </w:pPr>
          </w:p>
        </w:tc>
      </w:tr>
      <w:tr w:rsidR="0050770E" w:rsidRPr="00B56FBE" w14:paraId="51BDCC03" w14:textId="77777777" w:rsidTr="0050770E">
        <w:trPr>
          <w:trHeight w:val="300"/>
        </w:trPr>
        <w:tc>
          <w:tcPr>
            <w:tcW w:w="1589" w:type="dxa"/>
            <w:tcBorders>
              <w:top w:val="nil"/>
              <w:left w:val="nil"/>
              <w:bottom w:val="nil"/>
              <w:right w:val="nil"/>
            </w:tcBorders>
            <w:shd w:val="clear" w:color="auto" w:fill="auto"/>
            <w:noWrap/>
            <w:vAlign w:val="bottom"/>
            <w:hideMark/>
          </w:tcPr>
          <w:p w14:paraId="7A856B71"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6B77CB8E"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Nemertea</w:t>
            </w:r>
            <w:proofErr w:type="spellEnd"/>
          </w:p>
        </w:tc>
        <w:tc>
          <w:tcPr>
            <w:tcW w:w="990" w:type="dxa"/>
            <w:tcBorders>
              <w:top w:val="nil"/>
              <w:left w:val="nil"/>
              <w:bottom w:val="nil"/>
              <w:right w:val="nil"/>
            </w:tcBorders>
            <w:shd w:val="clear" w:color="auto" w:fill="auto"/>
            <w:noWrap/>
            <w:vAlign w:val="bottom"/>
            <w:hideMark/>
          </w:tcPr>
          <w:p w14:paraId="6DC8EA03"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nil"/>
              <w:right w:val="nil"/>
            </w:tcBorders>
            <w:shd w:val="clear" w:color="auto" w:fill="auto"/>
            <w:noWrap/>
            <w:vAlign w:val="bottom"/>
            <w:hideMark/>
          </w:tcPr>
          <w:p w14:paraId="4FC676CA"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noWrap/>
            <w:vAlign w:val="bottom"/>
            <w:hideMark/>
          </w:tcPr>
          <w:p w14:paraId="0BC80D69"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14B72973" w14:textId="77777777" w:rsidR="00B56FBE" w:rsidRPr="00B56FBE" w:rsidRDefault="00B56FBE" w:rsidP="0050770E">
            <w:pPr>
              <w:spacing w:before="0" w:after="0"/>
              <w:rPr>
                <w:rFonts w:eastAsia="Times New Roman" w:cs="Times New Roman"/>
                <w:color w:val="000000"/>
                <w:szCs w:val="24"/>
              </w:rPr>
            </w:pPr>
          </w:p>
        </w:tc>
      </w:tr>
      <w:tr w:rsidR="0050770E" w:rsidRPr="00B56FBE" w14:paraId="72672F90" w14:textId="77777777" w:rsidTr="0050770E">
        <w:trPr>
          <w:trHeight w:val="300"/>
        </w:trPr>
        <w:tc>
          <w:tcPr>
            <w:tcW w:w="1589" w:type="dxa"/>
            <w:tcBorders>
              <w:top w:val="nil"/>
              <w:left w:val="nil"/>
              <w:bottom w:val="nil"/>
              <w:right w:val="nil"/>
            </w:tcBorders>
            <w:shd w:val="clear" w:color="auto" w:fill="auto"/>
            <w:noWrap/>
            <w:vAlign w:val="bottom"/>
            <w:hideMark/>
          </w:tcPr>
          <w:p w14:paraId="79486182"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68D1B0EF"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Oedicerotidae</w:t>
            </w:r>
            <w:proofErr w:type="spellEnd"/>
          </w:p>
        </w:tc>
        <w:tc>
          <w:tcPr>
            <w:tcW w:w="990" w:type="dxa"/>
            <w:tcBorders>
              <w:top w:val="nil"/>
              <w:left w:val="nil"/>
              <w:bottom w:val="nil"/>
              <w:right w:val="nil"/>
            </w:tcBorders>
            <w:shd w:val="clear" w:color="auto" w:fill="auto"/>
            <w:noWrap/>
            <w:vAlign w:val="bottom"/>
            <w:hideMark/>
          </w:tcPr>
          <w:p w14:paraId="4F7DB2A4"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630" w:type="dxa"/>
            <w:tcBorders>
              <w:top w:val="nil"/>
              <w:left w:val="nil"/>
              <w:bottom w:val="nil"/>
              <w:right w:val="nil"/>
            </w:tcBorders>
            <w:shd w:val="clear" w:color="auto" w:fill="auto"/>
            <w:noWrap/>
            <w:vAlign w:val="bottom"/>
            <w:hideMark/>
          </w:tcPr>
          <w:p w14:paraId="243B140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4680" w:type="dxa"/>
            <w:tcBorders>
              <w:top w:val="nil"/>
              <w:left w:val="nil"/>
              <w:bottom w:val="nil"/>
              <w:right w:val="nil"/>
            </w:tcBorders>
            <w:shd w:val="clear" w:color="auto" w:fill="auto"/>
            <w:noWrap/>
            <w:vAlign w:val="bottom"/>
            <w:hideMark/>
          </w:tcPr>
          <w:p w14:paraId="097CDB5E"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15F851CF" w14:textId="77777777" w:rsidR="00B56FBE" w:rsidRPr="00B56FBE" w:rsidRDefault="00B56FBE" w:rsidP="0050770E">
            <w:pPr>
              <w:spacing w:before="0" w:after="0"/>
              <w:rPr>
                <w:rFonts w:eastAsia="Times New Roman" w:cs="Times New Roman"/>
                <w:color w:val="000000"/>
                <w:szCs w:val="24"/>
              </w:rPr>
            </w:pPr>
          </w:p>
        </w:tc>
      </w:tr>
      <w:tr w:rsidR="0050770E" w:rsidRPr="00B56FBE" w14:paraId="68092EA0" w14:textId="77777777" w:rsidTr="0050770E">
        <w:trPr>
          <w:trHeight w:val="300"/>
        </w:trPr>
        <w:tc>
          <w:tcPr>
            <w:tcW w:w="1589" w:type="dxa"/>
            <w:tcBorders>
              <w:top w:val="nil"/>
              <w:left w:val="nil"/>
              <w:bottom w:val="nil"/>
              <w:right w:val="nil"/>
            </w:tcBorders>
            <w:shd w:val="clear" w:color="auto" w:fill="auto"/>
            <w:noWrap/>
            <w:vAlign w:val="bottom"/>
            <w:hideMark/>
          </w:tcPr>
          <w:p w14:paraId="7B989E72"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2903746D" w14:textId="772100F1"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Prochaetodermatidae</w:t>
            </w:r>
            <w:proofErr w:type="spellEnd"/>
          </w:p>
        </w:tc>
        <w:tc>
          <w:tcPr>
            <w:tcW w:w="990" w:type="dxa"/>
            <w:tcBorders>
              <w:top w:val="nil"/>
              <w:left w:val="nil"/>
              <w:bottom w:val="nil"/>
              <w:right w:val="nil"/>
            </w:tcBorders>
            <w:shd w:val="clear" w:color="auto" w:fill="auto"/>
            <w:noWrap/>
            <w:vAlign w:val="bottom"/>
            <w:hideMark/>
          </w:tcPr>
          <w:p w14:paraId="04963A90"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nil"/>
              <w:right w:val="nil"/>
            </w:tcBorders>
            <w:shd w:val="clear" w:color="auto" w:fill="auto"/>
            <w:noWrap/>
            <w:vAlign w:val="bottom"/>
            <w:hideMark/>
          </w:tcPr>
          <w:p w14:paraId="12516C4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noWrap/>
            <w:vAlign w:val="bottom"/>
            <w:hideMark/>
          </w:tcPr>
          <w:p w14:paraId="58B46C1C"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1CA45979" w14:textId="77777777" w:rsidR="00B56FBE" w:rsidRPr="00B56FBE" w:rsidRDefault="00B56FBE" w:rsidP="0050770E">
            <w:pPr>
              <w:spacing w:before="0" w:after="0"/>
              <w:rPr>
                <w:rFonts w:eastAsia="Times New Roman" w:cs="Times New Roman"/>
                <w:color w:val="000000"/>
                <w:szCs w:val="24"/>
              </w:rPr>
            </w:pPr>
          </w:p>
        </w:tc>
      </w:tr>
      <w:tr w:rsidR="0050770E" w:rsidRPr="00B56FBE" w14:paraId="0EFD2719" w14:textId="77777777" w:rsidTr="0050770E">
        <w:trPr>
          <w:trHeight w:val="300"/>
        </w:trPr>
        <w:tc>
          <w:tcPr>
            <w:tcW w:w="1589" w:type="dxa"/>
            <w:tcBorders>
              <w:top w:val="nil"/>
              <w:left w:val="nil"/>
              <w:bottom w:val="nil"/>
              <w:right w:val="nil"/>
            </w:tcBorders>
            <w:shd w:val="clear" w:color="auto" w:fill="auto"/>
            <w:noWrap/>
            <w:vAlign w:val="bottom"/>
            <w:hideMark/>
          </w:tcPr>
          <w:p w14:paraId="434EAEC1"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3C92FAE7"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Sphyrapidae</w:t>
            </w:r>
            <w:proofErr w:type="spellEnd"/>
          </w:p>
        </w:tc>
        <w:tc>
          <w:tcPr>
            <w:tcW w:w="990" w:type="dxa"/>
            <w:tcBorders>
              <w:top w:val="nil"/>
              <w:left w:val="nil"/>
              <w:bottom w:val="nil"/>
              <w:right w:val="nil"/>
            </w:tcBorders>
            <w:shd w:val="clear" w:color="auto" w:fill="auto"/>
            <w:noWrap/>
            <w:vAlign w:val="bottom"/>
            <w:hideMark/>
          </w:tcPr>
          <w:p w14:paraId="6DB0531F"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2071B8F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4680" w:type="dxa"/>
            <w:tcBorders>
              <w:top w:val="nil"/>
              <w:left w:val="nil"/>
              <w:bottom w:val="nil"/>
              <w:right w:val="nil"/>
            </w:tcBorders>
            <w:shd w:val="clear" w:color="auto" w:fill="auto"/>
            <w:noWrap/>
            <w:vAlign w:val="bottom"/>
            <w:hideMark/>
          </w:tcPr>
          <w:p w14:paraId="45D2649A"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336A459B" w14:textId="77777777" w:rsidR="00B56FBE" w:rsidRPr="00B56FBE" w:rsidRDefault="00B56FBE" w:rsidP="0050770E">
            <w:pPr>
              <w:spacing w:before="0" w:after="0"/>
              <w:rPr>
                <w:rFonts w:eastAsia="Times New Roman" w:cs="Times New Roman"/>
                <w:color w:val="000000"/>
                <w:szCs w:val="24"/>
              </w:rPr>
            </w:pPr>
          </w:p>
        </w:tc>
      </w:tr>
      <w:tr w:rsidR="0050770E" w:rsidRPr="00B56FBE" w14:paraId="7BC28385" w14:textId="77777777" w:rsidTr="0050770E">
        <w:trPr>
          <w:trHeight w:val="300"/>
        </w:trPr>
        <w:tc>
          <w:tcPr>
            <w:tcW w:w="1589" w:type="dxa"/>
            <w:tcBorders>
              <w:top w:val="nil"/>
              <w:left w:val="nil"/>
              <w:bottom w:val="nil"/>
              <w:right w:val="nil"/>
            </w:tcBorders>
            <w:shd w:val="clear" w:color="auto" w:fill="auto"/>
            <w:noWrap/>
            <w:vAlign w:val="bottom"/>
            <w:hideMark/>
          </w:tcPr>
          <w:p w14:paraId="20D1B11E"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278486DE" w14:textId="482E1A28"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Syllidae</w:t>
            </w:r>
            <w:proofErr w:type="spellEnd"/>
          </w:p>
        </w:tc>
        <w:tc>
          <w:tcPr>
            <w:tcW w:w="990" w:type="dxa"/>
            <w:tcBorders>
              <w:top w:val="nil"/>
              <w:left w:val="nil"/>
              <w:bottom w:val="nil"/>
              <w:right w:val="nil"/>
            </w:tcBorders>
            <w:shd w:val="clear" w:color="auto" w:fill="auto"/>
            <w:noWrap/>
            <w:vAlign w:val="bottom"/>
            <w:hideMark/>
          </w:tcPr>
          <w:p w14:paraId="2236CA9E"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nil"/>
              <w:right w:val="nil"/>
            </w:tcBorders>
            <w:shd w:val="clear" w:color="auto" w:fill="auto"/>
            <w:noWrap/>
            <w:vAlign w:val="bottom"/>
            <w:hideMark/>
          </w:tcPr>
          <w:p w14:paraId="2B07CC51"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noWrap/>
            <w:vAlign w:val="bottom"/>
            <w:hideMark/>
          </w:tcPr>
          <w:p w14:paraId="65360CC0"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65940CF8" w14:textId="77777777" w:rsidR="00B56FBE" w:rsidRPr="00B56FBE" w:rsidRDefault="00B56FBE" w:rsidP="0050770E">
            <w:pPr>
              <w:spacing w:before="0" w:after="0"/>
              <w:rPr>
                <w:rFonts w:eastAsia="Times New Roman" w:cs="Times New Roman"/>
                <w:color w:val="000000"/>
                <w:szCs w:val="24"/>
              </w:rPr>
            </w:pPr>
          </w:p>
        </w:tc>
      </w:tr>
      <w:tr w:rsidR="0050770E" w:rsidRPr="00B56FBE" w14:paraId="51D74DB7" w14:textId="77777777" w:rsidTr="0050770E">
        <w:trPr>
          <w:trHeight w:val="300"/>
        </w:trPr>
        <w:tc>
          <w:tcPr>
            <w:tcW w:w="1589" w:type="dxa"/>
            <w:tcBorders>
              <w:top w:val="nil"/>
              <w:left w:val="nil"/>
              <w:bottom w:val="nil"/>
              <w:right w:val="nil"/>
            </w:tcBorders>
            <w:shd w:val="clear" w:color="auto" w:fill="auto"/>
            <w:noWrap/>
            <w:vAlign w:val="bottom"/>
            <w:hideMark/>
          </w:tcPr>
          <w:p w14:paraId="703C8810"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5D3CCCAA"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Thyasiridae</w:t>
            </w:r>
            <w:proofErr w:type="spellEnd"/>
          </w:p>
        </w:tc>
        <w:tc>
          <w:tcPr>
            <w:tcW w:w="990" w:type="dxa"/>
            <w:tcBorders>
              <w:top w:val="nil"/>
              <w:left w:val="nil"/>
              <w:bottom w:val="nil"/>
              <w:right w:val="nil"/>
            </w:tcBorders>
            <w:shd w:val="clear" w:color="auto" w:fill="auto"/>
            <w:noWrap/>
            <w:vAlign w:val="bottom"/>
            <w:hideMark/>
          </w:tcPr>
          <w:p w14:paraId="00848388"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76B6AFDA"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4680" w:type="dxa"/>
            <w:tcBorders>
              <w:top w:val="nil"/>
              <w:left w:val="nil"/>
              <w:bottom w:val="nil"/>
              <w:right w:val="nil"/>
            </w:tcBorders>
            <w:shd w:val="clear" w:color="auto" w:fill="auto"/>
            <w:noWrap/>
            <w:vAlign w:val="bottom"/>
            <w:hideMark/>
          </w:tcPr>
          <w:p w14:paraId="598527EB"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64595323" w14:textId="77777777" w:rsidR="00B56FBE" w:rsidRPr="00B56FBE" w:rsidRDefault="00B56FBE" w:rsidP="0050770E">
            <w:pPr>
              <w:spacing w:before="0" w:after="0"/>
              <w:rPr>
                <w:rFonts w:eastAsia="Times New Roman" w:cs="Times New Roman"/>
                <w:color w:val="000000"/>
                <w:szCs w:val="24"/>
              </w:rPr>
            </w:pPr>
          </w:p>
        </w:tc>
      </w:tr>
      <w:tr w:rsidR="0050770E" w:rsidRPr="00B56FBE" w14:paraId="6CCAC064" w14:textId="77777777" w:rsidTr="0050770E">
        <w:trPr>
          <w:trHeight w:val="300"/>
        </w:trPr>
        <w:tc>
          <w:tcPr>
            <w:tcW w:w="1589" w:type="dxa"/>
            <w:tcBorders>
              <w:top w:val="nil"/>
              <w:left w:val="nil"/>
              <w:bottom w:val="single" w:sz="4" w:space="0" w:color="auto"/>
              <w:right w:val="nil"/>
            </w:tcBorders>
            <w:shd w:val="clear" w:color="auto" w:fill="auto"/>
            <w:noWrap/>
            <w:vAlign w:val="bottom"/>
            <w:hideMark/>
          </w:tcPr>
          <w:p w14:paraId="4BCD43D1" w14:textId="2BAE4D12"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single" w:sz="4" w:space="0" w:color="auto"/>
              <w:right w:val="nil"/>
            </w:tcBorders>
            <w:shd w:val="clear" w:color="auto" w:fill="auto"/>
            <w:noWrap/>
            <w:vAlign w:val="bottom"/>
            <w:hideMark/>
          </w:tcPr>
          <w:p w14:paraId="1CAF76B4"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Typhlotanaidae</w:t>
            </w:r>
            <w:proofErr w:type="spellEnd"/>
          </w:p>
        </w:tc>
        <w:tc>
          <w:tcPr>
            <w:tcW w:w="990" w:type="dxa"/>
            <w:tcBorders>
              <w:top w:val="nil"/>
              <w:left w:val="nil"/>
              <w:bottom w:val="single" w:sz="4" w:space="0" w:color="auto"/>
              <w:right w:val="nil"/>
            </w:tcBorders>
            <w:shd w:val="clear" w:color="auto" w:fill="auto"/>
            <w:noWrap/>
            <w:vAlign w:val="bottom"/>
            <w:hideMark/>
          </w:tcPr>
          <w:p w14:paraId="12699FB3"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630" w:type="dxa"/>
            <w:tcBorders>
              <w:top w:val="nil"/>
              <w:left w:val="nil"/>
              <w:bottom w:val="single" w:sz="4" w:space="0" w:color="auto"/>
              <w:right w:val="nil"/>
            </w:tcBorders>
            <w:shd w:val="clear" w:color="auto" w:fill="auto"/>
            <w:noWrap/>
            <w:vAlign w:val="bottom"/>
            <w:hideMark/>
          </w:tcPr>
          <w:p w14:paraId="7920545D"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4680" w:type="dxa"/>
            <w:tcBorders>
              <w:top w:val="nil"/>
              <w:left w:val="nil"/>
              <w:bottom w:val="single" w:sz="4" w:space="0" w:color="auto"/>
              <w:right w:val="nil"/>
            </w:tcBorders>
            <w:shd w:val="clear" w:color="auto" w:fill="auto"/>
            <w:noWrap/>
            <w:vAlign w:val="bottom"/>
            <w:hideMark/>
          </w:tcPr>
          <w:p w14:paraId="685178C8" w14:textId="58CF6B8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single" w:sz="4" w:space="0" w:color="auto"/>
              <w:right w:val="nil"/>
            </w:tcBorders>
            <w:shd w:val="clear" w:color="auto" w:fill="auto"/>
            <w:noWrap/>
            <w:vAlign w:val="bottom"/>
            <w:hideMark/>
          </w:tcPr>
          <w:p w14:paraId="18937A62" w14:textId="285CF888" w:rsidR="00B56FBE" w:rsidRPr="00B56FBE" w:rsidRDefault="00B56FBE" w:rsidP="0050770E">
            <w:pPr>
              <w:spacing w:before="0" w:after="0"/>
              <w:rPr>
                <w:rFonts w:eastAsia="Times New Roman" w:cs="Times New Roman"/>
                <w:color w:val="000000"/>
                <w:szCs w:val="24"/>
              </w:rPr>
            </w:pPr>
          </w:p>
        </w:tc>
      </w:tr>
      <w:tr w:rsidR="0050770E" w:rsidRPr="00B56FBE" w14:paraId="0F5DE03C" w14:textId="77777777" w:rsidTr="0050770E">
        <w:trPr>
          <w:trHeight w:val="300"/>
        </w:trPr>
        <w:tc>
          <w:tcPr>
            <w:tcW w:w="1589" w:type="dxa"/>
            <w:tcBorders>
              <w:top w:val="nil"/>
              <w:left w:val="nil"/>
              <w:bottom w:val="nil"/>
              <w:right w:val="nil"/>
            </w:tcBorders>
            <w:shd w:val="clear" w:color="auto" w:fill="auto"/>
            <w:noWrap/>
            <w:vAlign w:val="bottom"/>
            <w:hideMark/>
          </w:tcPr>
          <w:p w14:paraId="39439E69" w14:textId="77777777"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Megafauna</w:t>
            </w:r>
          </w:p>
        </w:tc>
        <w:tc>
          <w:tcPr>
            <w:tcW w:w="2206" w:type="dxa"/>
            <w:tcBorders>
              <w:top w:val="nil"/>
              <w:left w:val="nil"/>
              <w:bottom w:val="nil"/>
              <w:right w:val="nil"/>
            </w:tcBorders>
            <w:shd w:val="clear" w:color="auto" w:fill="auto"/>
            <w:noWrap/>
            <w:vAlign w:val="bottom"/>
            <w:hideMark/>
          </w:tcPr>
          <w:p w14:paraId="7220F324" w14:textId="11B72EC2"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i/>
                <w:iCs/>
                <w:color w:val="000000"/>
                <w:szCs w:val="24"/>
              </w:rPr>
              <w:t>Chacion</w:t>
            </w:r>
            <w:proofErr w:type="spellEnd"/>
            <w:r w:rsidRPr="00B56FBE">
              <w:rPr>
                <w:rFonts w:eastAsia="Times New Roman" w:cs="Times New Roman"/>
                <w:color w:val="000000"/>
                <w:szCs w:val="24"/>
              </w:rPr>
              <w:t xml:space="preserve"> spp.</w:t>
            </w:r>
          </w:p>
        </w:tc>
        <w:tc>
          <w:tcPr>
            <w:tcW w:w="990" w:type="dxa"/>
            <w:tcBorders>
              <w:top w:val="nil"/>
              <w:left w:val="nil"/>
              <w:bottom w:val="nil"/>
              <w:right w:val="nil"/>
            </w:tcBorders>
            <w:shd w:val="clear" w:color="auto" w:fill="auto"/>
            <w:noWrap/>
            <w:vAlign w:val="bottom"/>
            <w:hideMark/>
          </w:tcPr>
          <w:p w14:paraId="751C937A"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630" w:type="dxa"/>
            <w:tcBorders>
              <w:top w:val="nil"/>
              <w:left w:val="nil"/>
              <w:bottom w:val="nil"/>
              <w:right w:val="nil"/>
            </w:tcBorders>
            <w:shd w:val="clear" w:color="auto" w:fill="auto"/>
            <w:noWrap/>
            <w:vAlign w:val="bottom"/>
            <w:hideMark/>
          </w:tcPr>
          <w:p w14:paraId="6452A2A2"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noWrap/>
            <w:vAlign w:val="bottom"/>
            <w:hideMark/>
          </w:tcPr>
          <w:p w14:paraId="2076997A" w14:textId="77777777" w:rsidR="00C65DD1" w:rsidRDefault="00C65DD1" w:rsidP="0050770E">
            <w:pPr>
              <w:spacing w:before="0" w:after="0"/>
              <w:rPr>
                <w:rFonts w:eastAsia="Times New Roman" w:cs="Times New Roman"/>
                <w:color w:val="000000"/>
                <w:szCs w:val="24"/>
              </w:rPr>
            </w:pPr>
            <w:r>
              <w:rPr>
                <w:rFonts w:eastAsia="Times New Roman" w:cs="Times New Roman"/>
                <w:color w:val="000000"/>
                <w:szCs w:val="24"/>
              </w:rPr>
              <w:t>Ability to avoid hydrocarbons, spatial overlap of populations with toxic components, duration of exposure, abundance, life span, co-varying stressors</w:t>
            </w:r>
          </w:p>
          <w:p w14:paraId="51360FAB" w14:textId="417CB6E3" w:rsidR="00B56FBE" w:rsidRPr="00B56FBE" w:rsidRDefault="00805649" w:rsidP="0050770E">
            <w:pPr>
              <w:spacing w:before="0" w:after="0"/>
              <w:rPr>
                <w:rFonts w:eastAsia="Times New Roman" w:cs="Times New Roman"/>
                <w:color w:val="000000"/>
                <w:szCs w:val="24"/>
              </w:rPr>
            </w:pPr>
            <w:proofErr w:type="gramStart"/>
            <w:r w:rsidRPr="00997006">
              <w:rPr>
                <w:rFonts w:eastAsia="Times New Roman" w:cs="Times New Roman"/>
                <w:color w:val="000000"/>
                <w:szCs w:val="24"/>
              </w:rPr>
              <w:t>high</w:t>
            </w:r>
            <w:proofErr w:type="gramEnd"/>
            <w:r w:rsidRPr="00997006">
              <w:rPr>
                <w:rFonts w:eastAsia="Times New Roman" w:cs="Times New Roman"/>
                <w:color w:val="000000"/>
                <w:szCs w:val="24"/>
              </w:rPr>
              <w:t xml:space="preserve"> abundance at wellh</w:t>
            </w:r>
            <w:r>
              <w:rPr>
                <w:rFonts w:eastAsia="Times New Roman" w:cs="Times New Roman"/>
                <w:color w:val="000000"/>
                <w:szCs w:val="24"/>
              </w:rPr>
              <w:t xml:space="preserve">ead </w:t>
            </w:r>
            <w:r>
              <w:rPr>
                <w:rFonts w:eastAsia="Times New Roman" w:cs="Times New Roman"/>
                <w:color w:val="000000"/>
                <w:szCs w:val="24"/>
              </w:rPr>
              <w:br/>
              <w:t>(associated with oil chemic</w:t>
            </w:r>
            <w:r w:rsidRPr="00997006">
              <w:rPr>
                <w:rFonts w:eastAsia="Times New Roman" w:cs="Times New Roman"/>
                <w:color w:val="000000"/>
                <w:szCs w:val="24"/>
              </w:rPr>
              <w:t>al cues),</w:t>
            </w:r>
            <w:r w:rsidRPr="00997006">
              <w:rPr>
                <w:rFonts w:eastAsia="Times New Roman" w:cs="Times New Roman"/>
                <w:color w:val="000000"/>
                <w:szCs w:val="24"/>
              </w:rPr>
              <w:br/>
              <w:t>post-DWH homogeneity between sites</w:t>
            </w:r>
          </w:p>
        </w:tc>
        <w:tc>
          <w:tcPr>
            <w:tcW w:w="3723" w:type="dxa"/>
            <w:tcBorders>
              <w:top w:val="nil"/>
              <w:left w:val="nil"/>
              <w:bottom w:val="nil"/>
              <w:right w:val="nil"/>
            </w:tcBorders>
            <w:shd w:val="clear" w:color="auto" w:fill="auto"/>
            <w:noWrap/>
            <w:vAlign w:val="bottom"/>
            <w:hideMark/>
          </w:tcPr>
          <w:p w14:paraId="220405C3"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Valentine and Benfield, 2013; McClain et al., 2019</w:t>
            </w:r>
          </w:p>
        </w:tc>
      </w:tr>
      <w:tr w:rsidR="0050770E" w:rsidRPr="00B56FBE" w14:paraId="4E157A4A" w14:textId="77777777" w:rsidTr="0050770E">
        <w:trPr>
          <w:trHeight w:val="300"/>
        </w:trPr>
        <w:tc>
          <w:tcPr>
            <w:tcW w:w="1589" w:type="dxa"/>
            <w:tcBorders>
              <w:top w:val="nil"/>
              <w:left w:val="nil"/>
              <w:bottom w:val="nil"/>
              <w:right w:val="nil"/>
            </w:tcBorders>
            <w:shd w:val="clear" w:color="auto" w:fill="auto"/>
            <w:noWrap/>
            <w:vAlign w:val="bottom"/>
            <w:hideMark/>
          </w:tcPr>
          <w:p w14:paraId="1F7021D6"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2BCEBF86"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Cucumbers</w:t>
            </w:r>
          </w:p>
        </w:tc>
        <w:tc>
          <w:tcPr>
            <w:tcW w:w="990" w:type="dxa"/>
            <w:tcBorders>
              <w:top w:val="nil"/>
              <w:left w:val="nil"/>
              <w:bottom w:val="nil"/>
              <w:right w:val="nil"/>
            </w:tcBorders>
            <w:shd w:val="clear" w:color="auto" w:fill="auto"/>
            <w:noWrap/>
            <w:vAlign w:val="bottom"/>
            <w:hideMark/>
          </w:tcPr>
          <w:p w14:paraId="359634A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630" w:type="dxa"/>
            <w:tcBorders>
              <w:top w:val="nil"/>
              <w:left w:val="nil"/>
              <w:bottom w:val="nil"/>
              <w:right w:val="nil"/>
            </w:tcBorders>
            <w:shd w:val="clear" w:color="auto" w:fill="auto"/>
            <w:noWrap/>
            <w:vAlign w:val="bottom"/>
            <w:hideMark/>
          </w:tcPr>
          <w:p w14:paraId="5E6F7EC7"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noWrap/>
            <w:vAlign w:val="bottom"/>
            <w:hideMark/>
          </w:tcPr>
          <w:p w14:paraId="765F7F64"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48A71D22" w14:textId="77777777" w:rsidR="00B56FBE" w:rsidRPr="00B56FBE" w:rsidRDefault="00B56FBE" w:rsidP="0050770E">
            <w:pPr>
              <w:spacing w:before="0" w:after="0"/>
              <w:rPr>
                <w:rFonts w:eastAsia="Times New Roman" w:cs="Times New Roman"/>
                <w:color w:val="000000"/>
                <w:szCs w:val="24"/>
              </w:rPr>
            </w:pPr>
          </w:p>
        </w:tc>
      </w:tr>
      <w:tr w:rsidR="0050770E" w:rsidRPr="00B56FBE" w14:paraId="4F7B4C59" w14:textId="77777777" w:rsidTr="0050770E">
        <w:trPr>
          <w:trHeight w:val="300"/>
        </w:trPr>
        <w:tc>
          <w:tcPr>
            <w:tcW w:w="1589" w:type="dxa"/>
            <w:tcBorders>
              <w:top w:val="nil"/>
              <w:left w:val="nil"/>
              <w:bottom w:val="nil"/>
              <w:right w:val="nil"/>
            </w:tcBorders>
            <w:shd w:val="clear" w:color="auto" w:fill="auto"/>
            <w:noWrap/>
            <w:vAlign w:val="bottom"/>
            <w:hideMark/>
          </w:tcPr>
          <w:p w14:paraId="29015A07"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33E77CA9"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Giant isopods</w:t>
            </w:r>
          </w:p>
        </w:tc>
        <w:tc>
          <w:tcPr>
            <w:tcW w:w="990" w:type="dxa"/>
            <w:tcBorders>
              <w:top w:val="nil"/>
              <w:left w:val="nil"/>
              <w:bottom w:val="nil"/>
              <w:right w:val="nil"/>
            </w:tcBorders>
            <w:shd w:val="clear" w:color="auto" w:fill="auto"/>
            <w:noWrap/>
            <w:vAlign w:val="bottom"/>
            <w:hideMark/>
          </w:tcPr>
          <w:p w14:paraId="52A62920"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4B848046"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noWrap/>
            <w:vAlign w:val="bottom"/>
            <w:hideMark/>
          </w:tcPr>
          <w:p w14:paraId="3539DA7E"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077FDE2E" w14:textId="77777777" w:rsidR="00B56FBE" w:rsidRPr="00B56FBE" w:rsidRDefault="00B56FBE" w:rsidP="0050770E">
            <w:pPr>
              <w:spacing w:before="0" w:after="0"/>
              <w:rPr>
                <w:rFonts w:eastAsia="Times New Roman" w:cs="Times New Roman"/>
                <w:color w:val="000000"/>
                <w:szCs w:val="24"/>
              </w:rPr>
            </w:pPr>
          </w:p>
        </w:tc>
      </w:tr>
      <w:tr w:rsidR="0050770E" w:rsidRPr="00B56FBE" w14:paraId="1D1C1204" w14:textId="77777777" w:rsidTr="0050770E">
        <w:trPr>
          <w:trHeight w:val="300"/>
        </w:trPr>
        <w:tc>
          <w:tcPr>
            <w:tcW w:w="1589" w:type="dxa"/>
            <w:tcBorders>
              <w:top w:val="nil"/>
              <w:left w:val="nil"/>
              <w:bottom w:val="nil"/>
              <w:right w:val="nil"/>
            </w:tcBorders>
            <w:shd w:val="clear" w:color="auto" w:fill="auto"/>
            <w:noWrap/>
            <w:vAlign w:val="bottom"/>
            <w:hideMark/>
          </w:tcPr>
          <w:p w14:paraId="482CD0AB"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7A4DFDE5"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Ophiuroids</w:t>
            </w:r>
            <w:proofErr w:type="spellEnd"/>
          </w:p>
        </w:tc>
        <w:tc>
          <w:tcPr>
            <w:tcW w:w="990" w:type="dxa"/>
            <w:tcBorders>
              <w:top w:val="nil"/>
              <w:left w:val="nil"/>
              <w:bottom w:val="nil"/>
              <w:right w:val="nil"/>
            </w:tcBorders>
            <w:shd w:val="clear" w:color="auto" w:fill="auto"/>
            <w:noWrap/>
            <w:vAlign w:val="bottom"/>
            <w:hideMark/>
          </w:tcPr>
          <w:p w14:paraId="1D1228DD"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630" w:type="dxa"/>
            <w:tcBorders>
              <w:top w:val="nil"/>
              <w:left w:val="nil"/>
              <w:bottom w:val="nil"/>
              <w:right w:val="nil"/>
            </w:tcBorders>
            <w:shd w:val="clear" w:color="auto" w:fill="auto"/>
            <w:noWrap/>
            <w:vAlign w:val="bottom"/>
            <w:hideMark/>
          </w:tcPr>
          <w:p w14:paraId="5CB664B3"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4680" w:type="dxa"/>
            <w:tcBorders>
              <w:top w:val="nil"/>
              <w:left w:val="nil"/>
              <w:bottom w:val="nil"/>
              <w:right w:val="nil"/>
            </w:tcBorders>
            <w:shd w:val="clear" w:color="auto" w:fill="auto"/>
            <w:noWrap/>
            <w:vAlign w:val="bottom"/>
            <w:hideMark/>
          </w:tcPr>
          <w:p w14:paraId="5C420CA1"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6CEB6204" w14:textId="77777777" w:rsidR="00B56FBE" w:rsidRPr="00B56FBE" w:rsidRDefault="00B56FBE" w:rsidP="0050770E">
            <w:pPr>
              <w:spacing w:before="0" w:after="0"/>
              <w:rPr>
                <w:rFonts w:eastAsia="Times New Roman" w:cs="Times New Roman"/>
                <w:color w:val="000000"/>
                <w:szCs w:val="24"/>
              </w:rPr>
            </w:pPr>
          </w:p>
        </w:tc>
      </w:tr>
      <w:tr w:rsidR="0050770E" w:rsidRPr="00B56FBE" w14:paraId="6E6F321D" w14:textId="77777777" w:rsidTr="0050770E">
        <w:trPr>
          <w:trHeight w:val="300"/>
        </w:trPr>
        <w:tc>
          <w:tcPr>
            <w:tcW w:w="1589" w:type="dxa"/>
            <w:tcBorders>
              <w:top w:val="nil"/>
              <w:left w:val="nil"/>
              <w:bottom w:val="nil"/>
              <w:right w:val="nil"/>
            </w:tcBorders>
            <w:shd w:val="clear" w:color="auto" w:fill="auto"/>
            <w:noWrap/>
            <w:vAlign w:val="bottom"/>
            <w:hideMark/>
          </w:tcPr>
          <w:p w14:paraId="58EBDFEB"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6BFA2A9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Seep mussels</w:t>
            </w:r>
          </w:p>
        </w:tc>
        <w:tc>
          <w:tcPr>
            <w:tcW w:w="990" w:type="dxa"/>
            <w:tcBorders>
              <w:top w:val="nil"/>
              <w:left w:val="nil"/>
              <w:bottom w:val="nil"/>
              <w:right w:val="nil"/>
            </w:tcBorders>
            <w:shd w:val="clear" w:color="auto" w:fill="auto"/>
            <w:noWrap/>
            <w:vAlign w:val="bottom"/>
            <w:hideMark/>
          </w:tcPr>
          <w:p w14:paraId="7741A69E"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2CA1F6A8"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noWrap/>
            <w:vAlign w:val="bottom"/>
            <w:hideMark/>
          </w:tcPr>
          <w:p w14:paraId="5C805D3A"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43855DE0" w14:textId="77777777" w:rsidR="00B56FBE" w:rsidRPr="00B56FBE" w:rsidRDefault="00B56FBE" w:rsidP="0050770E">
            <w:pPr>
              <w:spacing w:before="0" w:after="0"/>
              <w:rPr>
                <w:rFonts w:eastAsia="Times New Roman" w:cs="Times New Roman"/>
                <w:color w:val="000000"/>
                <w:szCs w:val="24"/>
              </w:rPr>
            </w:pPr>
          </w:p>
        </w:tc>
      </w:tr>
      <w:tr w:rsidR="0050770E" w:rsidRPr="00B56FBE" w14:paraId="7FC20AE1" w14:textId="77777777" w:rsidTr="0050770E">
        <w:trPr>
          <w:trHeight w:val="300"/>
        </w:trPr>
        <w:tc>
          <w:tcPr>
            <w:tcW w:w="1589" w:type="dxa"/>
            <w:tcBorders>
              <w:top w:val="nil"/>
              <w:left w:val="nil"/>
              <w:bottom w:val="single" w:sz="4" w:space="0" w:color="auto"/>
              <w:right w:val="nil"/>
            </w:tcBorders>
            <w:shd w:val="clear" w:color="auto" w:fill="auto"/>
            <w:noWrap/>
            <w:vAlign w:val="bottom"/>
            <w:hideMark/>
          </w:tcPr>
          <w:p w14:paraId="3AE27746" w14:textId="3B89888A"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single" w:sz="4" w:space="0" w:color="auto"/>
              <w:right w:val="nil"/>
            </w:tcBorders>
            <w:shd w:val="clear" w:color="auto" w:fill="auto"/>
            <w:noWrap/>
            <w:vAlign w:val="bottom"/>
            <w:hideMark/>
          </w:tcPr>
          <w:p w14:paraId="1D069245"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Seep tubeworms</w:t>
            </w:r>
          </w:p>
        </w:tc>
        <w:tc>
          <w:tcPr>
            <w:tcW w:w="990" w:type="dxa"/>
            <w:tcBorders>
              <w:top w:val="nil"/>
              <w:left w:val="nil"/>
              <w:bottom w:val="single" w:sz="4" w:space="0" w:color="auto"/>
              <w:right w:val="nil"/>
            </w:tcBorders>
            <w:shd w:val="clear" w:color="auto" w:fill="auto"/>
            <w:noWrap/>
            <w:vAlign w:val="bottom"/>
            <w:hideMark/>
          </w:tcPr>
          <w:p w14:paraId="202632BE"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single" w:sz="4" w:space="0" w:color="auto"/>
              <w:right w:val="nil"/>
            </w:tcBorders>
            <w:shd w:val="clear" w:color="auto" w:fill="auto"/>
            <w:noWrap/>
            <w:vAlign w:val="bottom"/>
            <w:hideMark/>
          </w:tcPr>
          <w:p w14:paraId="7475560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single" w:sz="4" w:space="0" w:color="auto"/>
              <w:right w:val="nil"/>
            </w:tcBorders>
            <w:shd w:val="clear" w:color="auto" w:fill="auto"/>
            <w:noWrap/>
            <w:vAlign w:val="bottom"/>
            <w:hideMark/>
          </w:tcPr>
          <w:p w14:paraId="5472FEF2" w14:textId="2647FB96"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single" w:sz="4" w:space="0" w:color="auto"/>
              <w:right w:val="nil"/>
            </w:tcBorders>
            <w:shd w:val="clear" w:color="auto" w:fill="auto"/>
            <w:noWrap/>
            <w:vAlign w:val="bottom"/>
            <w:hideMark/>
          </w:tcPr>
          <w:p w14:paraId="5AAB7C07" w14:textId="328B8116" w:rsidR="00B56FBE" w:rsidRPr="00B56FBE" w:rsidRDefault="00B56FBE" w:rsidP="0050770E">
            <w:pPr>
              <w:spacing w:before="0" w:after="0"/>
              <w:rPr>
                <w:rFonts w:eastAsia="Times New Roman" w:cs="Times New Roman"/>
                <w:color w:val="000000"/>
                <w:szCs w:val="24"/>
              </w:rPr>
            </w:pPr>
          </w:p>
        </w:tc>
      </w:tr>
      <w:tr w:rsidR="0050770E" w:rsidRPr="00B56FBE" w14:paraId="2957DC19" w14:textId="77777777" w:rsidTr="0050770E">
        <w:trPr>
          <w:trHeight w:val="1200"/>
        </w:trPr>
        <w:tc>
          <w:tcPr>
            <w:tcW w:w="1589" w:type="dxa"/>
            <w:tcBorders>
              <w:top w:val="nil"/>
              <w:left w:val="nil"/>
              <w:bottom w:val="nil"/>
              <w:right w:val="nil"/>
            </w:tcBorders>
            <w:shd w:val="clear" w:color="auto" w:fill="auto"/>
            <w:noWrap/>
            <w:vAlign w:val="bottom"/>
            <w:hideMark/>
          </w:tcPr>
          <w:p w14:paraId="522860FC" w14:textId="77777777"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Corals</w:t>
            </w:r>
          </w:p>
        </w:tc>
        <w:tc>
          <w:tcPr>
            <w:tcW w:w="2206" w:type="dxa"/>
            <w:tcBorders>
              <w:top w:val="nil"/>
              <w:left w:val="nil"/>
              <w:bottom w:val="nil"/>
              <w:right w:val="nil"/>
            </w:tcBorders>
            <w:shd w:val="clear" w:color="auto" w:fill="auto"/>
            <w:noWrap/>
            <w:vAlign w:val="bottom"/>
            <w:hideMark/>
          </w:tcPr>
          <w:p w14:paraId="721D7823"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i/>
                <w:iCs/>
                <w:color w:val="000000"/>
                <w:szCs w:val="24"/>
              </w:rPr>
              <w:t>Callogorgia</w:t>
            </w:r>
            <w:proofErr w:type="spellEnd"/>
            <w:r w:rsidRPr="00B56FBE">
              <w:rPr>
                <w:rFonts w:eastAsia="Times New Roman" w:cs="Times New Roman"/>
                <w:color w:val="000000"/>
                <w:szCs w:val="24"/>
              </w:rPr>
              <w:t xml:space="preserve"> spp.</w:t>
            </w:r>
          </w:p>
        </w:tc>
        <w:tc>
          <w:tcPr>
            <w:tcW w:w="990" w:type="dxa"/>
            <w:tcBorders>
              <w:top w:val="nil"/>
              <w:left w:val="nil"/>
              <w:bottom w:val="nil"/>
              <w:right w:val="nil"/>
            </w:tcBorders>
            <w:shd w:val="clear" w:color="auto" w:fill="auto"/>
            <w:noWrap/>
            <w:vAlign w:val="bottom"/>
            <w:hideMark/>
          </w:tcPr>
          <w:p w14:paraId="6F96D9B0"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630" w:type="dxa"/>
            <w:tcBorders>
              <w:top w:val="nil"/>
              <w:left w:val="nil"/>
              <w:bottom w:val="nil"/>
              <w:right w:val="nil"/>
            </w:tcBorders>
            <w:shd w:val="clear" w:color="auto" w:fill="auto"/>
            <w:noWrap/>
            <w:vAlign w:val="bottom"/>
            <w:hideMark/>
          </w:tcPr>
          <w:p w14:paraId="092A2243"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nil"/>
              <w:right w:val="nil"/>
            </w:tcBorders>
            <w:shd w:val="clear" w:color="auto" w:fill="auto"/>
            <w:vAlign w:val="bottom"/>
            <w:hideMark/>
          </w:tcPr>
          <w:p w14:paraId="17754019" w14:textId="16E31858" w:rsidR="002F60F7" w:rsidRDefault="002F60F7" w:rsidP="0050770E">
            <w:pPr>
              <w:spacing w:before="0" w:after="0"/>
              <w:rPr>
                <w:rFonts w:eastAsia="Times New Roman" w:cs="Times New Roman"/>
                <w:color w:val="000000"/>
                <w:szCs w:val="24"/>
              </w:rPr>
            </w:pPr>
            <w:r>
              <w:rPr>
                <w:rFonts w:eastAsia="Times New Roman" w:cs="Times New Roman"/>
                <w:color w:val="000000"/>
                <w:szCs w:val="24"/>
              </w:rPr>
              <w:t>Ability to avoid hydrocarbons, spatial overlap of populations with toxic components, duration of exposure, abundance, life span, co-varying stressors, modularity</w:t>
            </w:r>
          </w:p>
          <w:p w14:paraId="3071186B"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Branch loss, </w:t>
            </w:r>
            <w:proofErr w:type="spellStart"/>
            <w:r w:rsidRPr="00B56FBE">
              <w:rPr>
                <w:rFonts w:eastAsia="Times New Roman" w:cs="Times New Roman"/>
                <w:color w:val="000000"/>
                <w:szCs w:val="24"/>
              </w:rPr>
              <w:t>hyrdozoan</w:t>
            </w:r>
            <w:proofErr w:type="spellEnd"/>
            <w:r w:rsidRPr="00B56FBE">
              <w:rPr>
                <w:rFonts w:eastAsia="Times New Roman" w:cs="Times New Roman"/>
                <w:color w:val="000000"/>
                <w:szCs w:val="24"/>
              </w:rPr>
              <w:t xml:space="preserve"> colonization, </w:t>
            </w:r>
            <w:r w:rsidRPr="00B56FBE">
              <w:rPr>
                <w:rFonts w:eastAsia="Times New Roman" w:cs="Times New Roman"/>
                <w:color w:val="000000"/>
                <w:szCs w:val="24"/>
              </w:rPr>
              <w:br/>
              <w:t>slow branch regrowth</w:t>
            </w:r>
          </w:p>
        </w:tc>
        <w:tc>
          <w:tcPr>
            <w:tcW w:w="3723" w:type="dxa"/>
            <w:tcBorders>
              <w:top w:val="nil"/>
              <w:left w:val="nil"/>
              <w:bottom w:val="nil"/>
              <w:right w:val="nil"/>
            </w:tcBorders>
            <w:shd w:val="clear" w:color="auto" w:fill="auto"/>
            <w:vAlign w:val="bottom"/>
            <w:hideMark/>
          </w:tcPr>
          <w:p w14:paraId="7DC27D8F"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White et al., 2012; </w:t>
            </w:r>
            <w:proofErr w:type="spellStart"/>
            <w:r w:rsidRPr="00B56FBE">
              <w:rPr>
                <w:rFonts w:eastAsia="Times New Roman" w:cs="Times New Roman"/>
                <w:color w:val="000000"/>
                <w:szCs w:val="24"/>
              </w:rPr>
              <w:t>Hsing</w:t>
            </w:r>
            <w:proofErr w:type="spellEnd"/>
            <w:r w:rsidRPr="00B56FBE">
              <w:rPr>
                <w:rFonts w:eastAsia="Times New Roman" w:cs="Times New Roman"/>
                <w:color w:val="000000"/>
                <w:szCs w:val="24"/>
              </w:rPr>
              <w:t xml:space="preserve"> et al., 2013; </w:t>
            </w:r>
            <w:r w:rsidRPr="00B56FBE">
              <w:rPr>
                <w:rFonts w:eastAsia="Times New Roman" w:cs="Times New Roman"/>
                <w:color w:val="000000"/>
                <w:szCs w:val="24"/>
              </w:rPr>
              <w:br/>
              <w:t>Fisher et al., 2014A,B; White et al., 2014;</w:t>
            </w:r>
            <w:r w:rsidRPr="00B56FBE">
              <w:rPr>
                <w:rFonts w:eastAsia="Times New Roman" w:cs="Times New Roman"/>
                <w:color w:val="000000"/>
                <w:szCs w:val="24"/>
              </w:rPr>
              <w:br/>
              <w:t xml:space="preserve"> </w:t>
            </w:r>
            <w:proofErr w:type="spellStart"/>
            <w:r w:rsidRPr="00B56FBE">
              <w:rPr>
                <w:rFonts w:eastAsia="Times New Roman" w:cs="Times New Roman"/>
                <w:color w:val="000000"/>
                <w:szCs w:val="24"/>
              </w:rPr>
              <w:t>DeLeo</w:t>
            </w:r>
            <w:proofErr w:type="spellEnd"/>
            <w:r w:rsidRPr="00B56FBE">
              <w:rPr>
                <w:rFonts w:eastAsia="Times New Roman" w:cs="Times New Roman"/>
                <w:color w:val="000000"/>
                <w:szCs w:val="24"/>
              </w:rPr>
              <w:t xml:space="preserve"> et al., 2015; Girard and Fisher, 2018; </w:t>
            </w:r>
            <w:r w:rsidRPr="00B56FBE">
              <w:rPr>
                <w:rFonts w:eastAsia="Times New Roman" w:cs="Times New Roman"/>
                <w:color w:val="000000"/>
                <w:szCs w:val="24"/>
              </w:rPr>
              <w:br/>
              <w:t>Girard et al., 2019; Montagna and Girard, 2020)</w:t>
            </w:r>
          </w:p>
        </w:tc>
      </w:tr>
      <w:tr w:rsidR="0050770E" w:rsidRPr="00B56FBE" w14:paraId="012931B0" w14:textId="77777777" w:rsidTr="0050770E">
        <w:trPr>
          <w:trHeight w:val="300"/>
        </w:trPr>
        <w:tc>
          <w:tcPr>
            <w:tcW w:w="1589" w:type="dxa"/>
            <w:tcBorders>
              <w:top w:val="nil"/>
              <w:left w:val="nil"/>
              <w:bottom w:val="nil"/>
              <w:right w:val="nil"/>
            </w:tcBorders>
            <w:shd w:val="clear" w:color="auto" w:fill="auto"/>
            <w:noWrap/>
            <w:vAlign w:val="bottom"/>
            <w:hideMark/>
          </w:tcPr>
          <w:p w14:paraId="2AA37C61"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5CE77226"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i/>
                <w:iCs/>
                <w:color w:val="000000"/>
                <w:szCs w:val="24"/>
              </w:rPr>
              <w:t>Leiopathes</w:t>
            </w:r>
            <w:proofErr w:type="spellEnd"/>
            <w:r w:rsidRPr="00B56FBE">
              <w:rPr>
                <w:rFonts w:eastAsia="Times New Roman" w:cs="Times New Roman"/>
                <w:color w:val="000000"/>
                <w:szCs w:val="24"/>
              </w:rPr>
              <w:t xml:space="preserve"> spp.</w:t>
            </w:r>
          </w:p>
        </w:tc>
        <w:tc>
          <w:tcPr>
            <w:tcW w:w="990" w:type="dxa"/>
            <w:tcBorders>
              <w:top w:val="nil"/>
              <w:left w:val="nil"/>
              <w:bottom w:val="nil"/>
              <w:right w:val="nil"/>
            </w:tcBorders>
            <w:shd w:val="clear" w:color="auto" w:fill="auto"/>
            <w:noWrap/>
            <w:vAlign w:val="bottom"/>
            <w:hideMark/>
          </w:tcPr>
          <w:p w14:paraId="3612FEA3"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nil"/>
              <w:right w:val="nil"/>
            </w:tcBorders>
            <w:shd w:val="clear" w:color="auto" w:fill="auto"/>
            <w:noWrap/>
            <w:vAlign w:val="bottom"/>
            <w:hideMark/>
          </w:tcPr>
          <w:p w14:paraId="11BF7D19"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4680" w:type="dxa"/>
            <w:tcBorders>
              <w:top w:val="nil"/>
              <w:left w:val="nil"/>
              <w:bottom w:val="nil"/>
              <w:right w:val="nil"/>
            </w:tcBorders>
            <w:shd w:val="clear" w:color="auto" w:fill="auto"/>
            <w:noWrap/>
            <w:vAlign w:val="bottom"/>
            <w:hideMark/>
          </w:tcPr>
          <w:p w14:paraId="7A2EDF4D"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73398827" w14:textId="77777777" w:rsidR="00B56FBE" w:rsidRPr="00B56FBE" w:rsidRDefault="00B56FBE" w:rsidP="0050770E">
            <w:pPr>
              <w:spacing w:before="0" w:after="0"/>
              <w:rPr>
                <w:rFonts w:eastAsia="Times New Roman" w:cs="Times New Roman"/>
                <w:color w:val="000000"/>
                <w:szCs w:val="24"/>
              </w:rPr>
            </w:pPr>
          </w:p>
        </w:tc>
      </w:tr>
      <w:tr w:rsidR="0050770E" w:rsidRPr="00B56FBE" w14:paraId="11EE80B8" w14:textId="77777777" w:rsidTr="0050770E">
        <w:trPr>
          <w:trHeight w:val="300"/>
        </w:trPr>
        <w:tc>
          <w:tcPr>
            <w:tcW w:w="1589" w:type="dxa"/>
            <w:tcBorders>
              <w:top w:val="nil"/>
              <w:left w:val="nil"/>
              <w:bottom w:val="nil"/>
              <w:right w:val="nil"/>
            </w:tcBorders>
            <w:shd w:val="clear" w:color="auto" w:fill="auto"/>
            <w:noWrap/>
            <w:vAlign w:val="bottom"/>
            <w:hideMark/>
          </w:tcPr>
          <w:p w14:paraId="2463E79C"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27B907C4"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i/>
                <w:iCs/>
                <w:color w:val="000000"/>
                <w:szCs w:val="24"/>
              </w:rPr>
              <w:t>Lophelia</w:t>
            </w:r>
            <w:proofErr w:type="spellEnd"/>
            <w:r w:rsidRPr="00B56FBE">
              <w:rPr>
                <w:rFonts w:eastAsia="Times New Roman" w:cs="Times New Roman"/>
                <w:color w:val="000000"/>
                <w:szCs w:val="24"/>
              </w:rPr>
              <w:t xml:space="preserve"> spp.</w:t>
            </w:r>
          </w:p>
        </w:tc>
        <w:tc>
          <w:tcPr>
            <w:tcW w:w="990" w:type="dxa"/>
            <w:tcBorders>
              <w:top w:val="nil"/>
              <w:left w:val="nil"/>
              <w:bottom w:val="nil"/>
              <w:right w:val="nil"/>
            </w:tcBorders>
            <w:shd w:val="clear" w:color="auto" w:fill="auto"/>
            <w:noWrap/>
            <w:vAlign w:val="bottom"/>
            <w:hideMark/>
          </w:tcPr>
          <w:p w14:paraId="006BC31C"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nil"/>
              <w:right w:val="nil"/>
            </w:tcBorders>
            <w:shd w:val="clear" w:color="auto" w:fill="auto"/>
            <w:noWrap/>
            <w:vAlign w:val="bottom"/>
            <w:hideMark/>
          </w:tcPr>
          <w:p w14:paraId="4128BD49"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4680" w:type="dxa"/>
            <w:tcBorders>
              <w:top w:val="nil"/>
              <w:left w:val="nil"/>
              <w:bottom w:val="nil"/>
              <w:right w:val="nil"/>
            </w:tcBorders>
            <w:shd w:val="clear" w:color="auto" w:fill="auto"/>
            <w:noWrap/>
            <w:vAlign w:val="bottom"/>
            <w:hideMark/>
          </w:tcPr>
          <w:p w14:paraId="52F26CE1"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3947C8C8" w14:textId="77777777" w:rsidR="00B56FBE" w:rsidRPr="00B56FBE" w:rsidRDefault="00B56FBE" w:rsidP="0050770E">
            <w:pPr>
              <w:spacing w:before="0" w:after="0"/>
              <w:rPr>
                <w:rFonts w:eastAsia="Times New Roman" w:cs="Times New Roman"/>
                <w:color w:val="000000"/>
                <w:szCs w:val="24"/>
              </w:rPr>
            </w:pPr>
          </w:p>
        </w:tc>
      </w:tr>
      <w:tr w:rsidR="0050770E" w:rsidRPr="00B56FBE" w14:paraId="336F4F39" w14:textId="77777777" w:rsidTr="0050770E">
        <w:trPr>
          <w:trHeight w:val="300"/>
        </w:trPr>
        <w:tc>
          <w:tcPr>
            <w:tcW w:w="1589" w:type="dxa"/>
            <w:tcBorders>
              <w:top w:val="nil"/>
              <w:left w:val="nil"/>
              <w:bottom w:val="nil"/>
              <w:right w:val="nil"/>
            </w:tcBorders>
            <w:shd w:val="clear" w:color="auto" w:fill="auto"/>
            <w:noWrap/>
            <w:vAlign w:val="bottom"/>
            <w:hideMark/>
          </w:tcPr>
          <w:p w14:paraId="05CCC114" w14:textId="77777777"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nil"/>
              <w:right w:val="nil"/>
            </w:tcBorders>
            <w:shd w:val="clear" w:color="auto" w:fill="auto"/>
            <w:noWrap/>
            <w:vAlign w:val="bottom"/>
            <w:hideMark/>
          </w:tcPr>
          <w:p w14:paraId="1B17D284" w14:textId="2CE3E96F"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i/>
                <w:iCs/>
                <w:color w:val="000000"/>
                <w:szCs w:val="24"/>
              </w:rPr>
              <w:t>Paramuricea</w:t>
            </w:r>
            <w:proofErr w:type="spellEnd"/>
            <w:r w:rsidRPr="00B56FBE">
              <w:rPr>
                <w:rFonts w:eastAsia="Times New Roman" w:cs="Times New Roman"/>
                <w:i/>
                <w:iCs/>
                <w:color w:val="000000"/>
                <w:szCs w:val="24"/>
              </w:rPr>
              <w:t xml:space="preserve"> </w:t>
            </w:r>
            <w:r w:rsidRPr="00B56FBE">
              <w:rPr>
                <w:rFonts w:eastAsia="Times New Roman" w:cs="Times New Roman"/>
                <w:color w:val="000000"/>
                <w:szCs w:val="24"/>
              </w:rPr>
              <w:t>spp.</w:t>
            </w:r>
          </w:p>
        </w:tc>
        <w:tc>
          <w:tcPr>
            <w:tcW w:w="990" w:type="dxa"/>
            <w:tcBorders>
              <w:top w:val="nil"/>
              <w:left w:val="nil"/>
              <w:bottom w:val="nil"/>
              <w:right w:val="nil"/>
            </w:tcBorders>
            <w:shd w:val="clear" w:color="auto" w:fill="auto"/>
            <w:noWrap/>
            <w:vAlign w:val="bottom"/>
            <w:hideMark/>
          </w:tcPr>
          <w:p w14:paraId="7BF3D8E8"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630" w:type="dxa"/>
            <w:tcBorders>
              <w:top w:val="nil"/>
              <w:left w:val="nil"/>
              <w:bottom w:val="nil"/>
              <w:right w:val="nil"/>
            </w:tcBorders>
            <w:shd w:val="clear" w:color="auto" w:fill="auto"/>
            <w:noWrap/>
            <w:vAlign w:val="bottom"/>
            <w:hideMark/>
          </w:tcPr>
          <w:p w14:paraId="54D53D02"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L</w:t>
            </w:r>
          </w:p>
        </w:tc>
        <w:tc>
          <w:tcPr>
            <w:tcW w:w="4680" w:type="dxa"/>
            <w:tcBorders>
              <w:top w:val="nil"/>
              <w:left w:val="nil"/>
              <w:bottom w:val="nil"/>
              <w:right w:val="nil"/>
            </w:tcBorders>
            <w:shd w:val="clear" w:color="auto" w:fill="auto"/>
            <w:noWrap/>
            <w:vAlign w:val="bottom"/>
            <w:hideMark/>
          </w:tcPr>
          <w:p w14:paraId="139251F7" w14:textId="77777777"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nil"/>
              <w:right w:val="nil"/>
            </w:tcBorders>
            <w:shd w:val="clear" w:color="auto" w:fill="auto"/>
            <w:noWrap/>
            <w:vAlign w:val="bottom"/>
            <w:hideMark/>
          </w:tcPr>
          <w:p w14:paraId="6F5F3B35" w14:textId="77777777" w:rsidR="00B56FBE" w:rsidRPr="00B56FBE" w:rsidRDefault="00B56FBE" w:rsidP="0050770E">
            <w:pPr>
              <w:spacing w:before="0" w:after="0"/>
              <w:rPr>
                <w:rFonts w:eastAsia="Times New Roman" w:cs="Times New Roman"/>
                <w:color w:val="000000"/>
                <w:szCs w:val="24"/>
              </w:rPr>
            </w:pPr>
          </w:p>
        </w:tc>
      </w:tr>
      <w:tr w:rsidR="0050770E" w:rsidRPr="00B56FBE" w14:paraId="735695D7" w14:textId="77777777" w:rsidTr="0050770E">
        <w:trPr>
          <w:trHeight w:val="300"/>
        </w:trPr>
        <w:tc>
          <w:tcPr>
            <w:tcW w:w="1589" w:type="dxa"/>
            <w:tcBorders>
              <w:top w:val="nil"/>
              <w:left w:val="nil"/>
              <w:bottom w:val="single" w:sz="4" w:space="0" w:color="auto"/>
              <w:right w:val="nil"/>
            </w:tcBorders>
            <w:shd w:val="clear" w:color="auto" w:fill="auto"/>
            <w:noWrap/>
            <w:vAlign w:val="bottom"/>
            <w:hideMark/>
          </w:tcPr>
          <w:p w14:paraId="503F17FF" w14:textId="3E7F02E5" w:rsidR="00B56FBE" w:rsidRPr="00B56FBE" w:rsidRDefault="00B56FBE" w:rsidP="0050770E">
            <w:pPr>
              <w:spacing w:before="0" w:after="0"/>
              <w:rPr>
                <w:rFonts w:eastAsia="Times New Roman" w:cs="Times New Roman"/>
                <w:b/>
                <w:bCs/>
                <w:color w:val="000000"/>
                <w:szCs w:val="24"/>
              </w:rPr>
            </w:pPr>
          </w:p>
        </w:tc>
        <w:tc>
          <w:tcPr>
            <w:tcW w:w="2206" w:type="dxa"/>
            <w:tcBorders>
              <w:top w:val="nil"/>
              <w:left w:val="nil"/>
              <w:bottom w:val="single" w:sz="4" w:space="0" w:color="auto"/>
              <w:right w:val="nil"/>
            </w:tcBorders>
            <w:shd w:val="clear" w:color="auto" w:fill="auto"/>
            <w:noWrap/>
            <w:vAlign w:val="bottom"/>
            <w:hideMark/>
          </w:tcPr>
          <w:p w14:paraId="1F8866C2" w14:textId="299ECE2E"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i/>
                <w:iCs/>
                <w:color w:val="000000"/>
                <w:szCs w:val="24"/>
              </w:rPr>
              <w:t>Swiftia</w:t>
            </w:r>
            <w:proofErr w:type="spellEnd"/>
            <w:r w:rsidRPr="00B56FBE">
              <w:rPr>
                <w:rFonts w:eastAsia="Times New Roman" w:cs="Times New Roman"/>
                <w:color w:val="000000"/>
                <w:szCs w:val="24"/>
              </w:rPr>
              <w:t xml:space="preserve"> spp.</w:t>
            </w:r>
          </w:p>
        </w:tc>
        <w:tc>
          <w:tcPr>
            <w:tcW w:w="990" w:type="dxa"/>
            <w:tcBorders>
              <w:top w:val="nil"/>
              <w:left w:val="nil"/>
              <w:bottom w:val="single" w:sz="4" w:space="0" w:color="auto"/>
              <w:right w:val="nil"/>
            </w:tcBorders>
            <w:shd w:val="clear" w:color="auto" w:fill="auto"/>
            <w:noWrap/>
            <w:vAlign w:val="bottom"/>
            <w:hideMark/>
          </w:tcPr>
          <w:p w14:paraId="4EDAE124"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H</w:t>
            </w:r>
          </w:p>
        </w:tc>
        <w:tc>
          <w:tcPr>
            <w:tcW w:w="630" w:type="dxa"/>
            <w:tcBorders>
              <w:top w:val="nil"/>
              <w:left w:val="nil"/>
              <w:bottom w:val="single" w:sz="4" w:space="0" w:color="auto"/>
              <w:right w:val="nil"/>
            </w:tcBorders>
            <w:shd w:val="clear" w:color="auto" w:fill="auto"/>
            <w:noWrap/>
            <w:vAlign w:val="bottom"/>
            <w:hideMark/>
          </w:tcPr>
          <w:p w14:paraId="3DFBF28D"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single" w:sz="4" w:space="0" w:color="auto"/>
              <w:right w:val="nil"/>
            </w:tcBorders>
            <w:shd w:val="clear" w:color="auto" w:fill="auto"/>
            <w:noWrap/>
            <w:vAlign w:val="bottom"/>
            <w:hideMark/>
          </w:tcPr>
          <w:p w14:paraId="0594E836" w14:textId="4C587D06" w:rsidR="00B56FBE" w:rsidRPr="00B56FBE" w:rsidRDefault="00B56FBE" w:rsidP="0050770E">
            <w:pPr>
              <w:spacing w:before="0" w:after="0"/>
              <w:rPr>
                <w:rFonts w:eastAsia="Times New Roman" w:cs="Times New Roman"/>
                <w:color w:val="000000"/>
                <w:szCs w:val="24"/>
              </w:rPr>
            </w:pPr>
          </w:p>
        </w:tc>
        <w:tc>
          <w:tcPr>
            <w:tcW w:w="3723" w:type="dxa"/>
            <w:tcBorders>
              <w:top w:val="nil"/>
              <w:left w:val="nil"/>
              <w:bottom w:val="single" w:sz="4" w:space="0" w:color="auto"/>
              <w:right w:val="nil"/>
            </w:tcBorders>
            <w:shd w:val="clear" w:color="auto" w:fill="auto"/>
            <w:noWrap/>
            <w:vAlign w:val="bottom"/>
            <w:hideMark/>
          </w:tcPr>
          <w:p w14:paraId="3C9D230E" w14:textId="79C11F80" w:rsidR="00B56FBE" w:rsidRPr="00B56FBE" w:rsidRDefault="00B56FBE" w:rsidP="0050770E">
            <w:pPr>
              <w:spacing w:before="0" w:after="0"/>
              <w:rPr>
                <w:rFonts w:eastAsia="Times New Roman" w:cs="Times New Roman"/>
                <w:color w:val="000000"/>
                <w:szCs w:val="24"/>
              </w:rPr>
            </w:pPr>
          </w:p>
        </w:tc>
      </w:tr>
      <w:tr w:rsidR="0050770E" w:rsidRPr="00B56FBE" w14:paraId="79D1FE0E" w14:textId="77777777" w:rsidTr="0050770E">
        <w:trPr>
          <w:trHeight w:val="600"/>
        </w:trPr>
        <w:tc>
          <w:tcPr>
            <w:tcW w:w="1589" w:type="dxa"/>
            <w:tcBorders>
              <w:top w:val="nil"/>
              <w:left w:val="nil"/>
              <w:bottom w:val="single" w:sz="4" w:space="0" w:color="auto"/>
              <w:right w:val="nil"/>
            </w:tcBorders>
            <w:shd w:val="clear" w:color="auto" w:fill="auto"/>
            <w:noWrap/>
            <w:vAlign w:val="bottom"/>
            <w:hideMark/>
          </w:tcPr>
          <w:p w14:paraId="5BBF5D6D" w14:textId="77777777" w:rsidR="00B56FBE" w:rsidRPr="00B56FBE" w:rsidRDefault="00B56FBE" w:rsidP="0050770E">
            <w:pPr>
              <w:spacing w:before="0" w:after="0"/>
              <w:rPr>
                <w:rFonts w:eastAsia="Times New Roman" w:cs="Times New Roman"/>
                <w:b/>
                <w:bCs/>
                <w:color w:val="000000"/>
                <w:szCs w:val="24"/>
              </w:rPr>
            </w:pPr>
            <w:r w:rsidRPr="00B56FBE">
              <w:rPr>
                <w:rFonts w:eastAsia="Times New Roman" w:cs="Times New Roman"/>
                <w:b/>
                <w:bCs/>
                <w:color w:val="000000"/>
                <w:szCs w:val="24"/>
              </w:rPr>
              <w:t>Fish</w:t>
            </w:r>
          </w:p>
        </w:tc>
        <w:tc>
          <w:tcPr>
            <w:tcW w:w="2206" w:type="dxa"/>
            <w:tcBorders>
              <w:top w:val="nil"/>
              <w:left w:val="nil"/>
              <w:bottom w:val="single" w:sz="4" w:space="0" w:color="auto"/>
              <w:right w:val="nil"/>
            </w:tcBorders>
            <w:shd w:val="clear" w:color="auto" w:fill="auto"/>
            <w:noWrap/>
            <w:vAlign w:val="bottom"/>
            <w:hideMark/>
          </w:tcPr>
          <w:p w14:paraId="57701668" w14:textId="77777777" w:rsidR="00B56FBE" w:rsidRPr="00B56FBE" w:rsidRDefault="00B56FBE" w:rsidP="0050770E">
            <w:pPr>
              <w:spacing w:before="0" w:after="0"/>
              <w:rPr>
                <w:rFonts w:eastAsia="Times New Roman" w:cs="Times New Roman"/>
                <w:color w:val="000000"/>
                <w:szCs w:val="24"/>
              </w:rPr>
            </w:pPr>
            <w:proofErr w:type="spellStart"/>
            <w:r w:rsidRPr="00B56FBE">
              <w:rPr>
                <w:rFonts w:eastAsia="Times New Roman" w:cs="Times New Roman"/>
                <w:color w:val="000000"/>
                <w:szCs w:val="24"/>
              </w:rPr>
              <w:t>Ophidiidae</w:t>
            </w:r>
            <w:proofErr w:type="spellEnd"/>
          </w:p>
        </w:tc>
        <w:tc>
          <w:tcPr>
            <w:tcW w:w="990" w:type="dxa"/>
            <w:tcBorders>
              <w:top w:val="nil"/>
              <w:left w:val="nil"/>
              <w:bottom w:val="single" w:sz="4" w:space="0" w:color="auto"/>
              <w:right w:val="nil"/>
            </w:tcBorders>
            <w:shd w:val="clear" w:color="auto" w:fill="auto"/>
            <w:noWrap/>
            <w:vAlign w:val="bottom"/>
            <w:hideMark/>
          </w:tcPr>
          <w:p w14:paraId="02187EA2"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630" w:type="dxa"/>
            <w:tcBorders>
              <w:top w:val="nil"/>
              <w:left w:val="nil"/>
              <w:bottom w:val="single" w:sz="4" w:space="0" w:color="auto"/>
              <w:right w:val="nil"/>
            </w:tcBorders>
            <w:shd w:val="clear" w:color="auto" w:fill="auto"/>
            <w:noWrap/>
            <w:vAlign w:val="bottom"/>
            <w:hideMark/>
          </w:tcPr>
          <w:p w14:paraId="00BEC115"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M</w:t>
            </w:r>
          </w:p>
        </w:tc>
        <w:tc>
          <w:tcPr>
            <w:tcW w:w="4680" w:type="dxa"/>
            <w:tcBorders>
              <w:top w:val="nil"/>
              <w:left w:val="nil"/>
              <w:bottom w:val="single" w:sz="4" w:space="0" w:color="auto"/>
              <w:right w:val="nil"/>
            </w:tcBorders>
            <w:shd w:val="clear" w:color="auto" w:fill="auto"/>
            <w:vAlign w:val="bottom"/>
            <w:hideMark/>
          </w:tcPr>
          <w:p w14:paraId="3101E6E6" w14:textId="6FACF8D5"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Small size, likely MOSSFA coverage </w:t>
            </w:r>
            <w:r w:rsidRPr="00B56FBE">
              <w:rPr>
                <w:rFonts w:eastAsia="Times New Roman" w:cs="Times New Roman"/>
                <w:color w:val="000000"/>
                <w:szCs w:val="24"/>
              </w:rPr>
              <w:br/>
              <w:t>of habitat, short life span</w:t>
            </w:r>
            <w:r w:rsidR="002F60F7">
              <w:rPr>
                <w:rFonts w:eastAsia="Times New Roman" w:cs="Times New Roman"/>
                <w:color w:val="000000"/>
                <w:szCs w:val="24"/>
              </w:rPr>
              <w:t>, ability to avoid hydrocarbons, co-varying stressors</w:t>
            </w:r>
          </w:p>
        </w:tc>
        <w:tc>
          <w:tcPr>
            <w:tcW w:w="3723" w:type="dxa"/>
            <w:tcBorders>
              <w:top w:val="nil"/>
              <w:left w:val="nil"/>
              <w:bottom w:val="single" w:sz="4" w:space="0" w:color="auto"/>
              <w:right w:val="nil"/>
            </w:tcBorders>
            <w:shd w:val="clear" w:color="auto" w:fill="auto"/>
            <w:noWrap/>
            <w:vAlign w:val="bottom"/>
            <w:hideMark/>
          </w:tcPr>
          <w:p w14:paraId="3103CCBB" w14:textId="77777777" w:rsidR="00B56FBE" w:rsidRPr="00B56FBE" w:rsidRDefault="00B56FBE" w:rsidP="0050770E">
            <w:pPr>
              <w:spacing w:before="0" w:after="0"/>
              <w:rPr>
                <w:rFonts w:eastAsia="Times New Roman" w:cs="Times New Roman"/>
                <w:color w:val="000000"/>
                <w:szCs w:val="24"/>
              </w:rPr>
            </w:pPr>
            <w:r w:rsidRPr="00B56FBE">
              <w:rPr>
                <w:rFonts w:eastAsia="Times New Roman" w:cs="Times New Roman"/>
                <w:color w:val="000000"/>
                <w:szCs w:val="24"/>
              </w:rPr>
              <w:t xml:space="preserve">Powell et al., 2013; </w:t>
            </w:r>
            <w:proofErr w:type="spellStart"/>
            <w:r w:rsidRPr="00B56FBE">
              <w:rPr>
                <w:rFonts w:eastAsia="Times New Roman" w:cs="Times New Roman"/>
                <w:color w:val="000000"/>
                <w:szCs w:val="24"/>
              </w:rPr>
              <w:t>Limouzy</w:t>
            </w:r>
            <w:proofErr w:type="spellEnd"/>
            <w:r w:rsidRPr="00B56FBE">
              <w:rPr>
                <w:rFonts w:eastAsia="Times New Roman" w:cs="Times New Roman"/>
                <w:color w:val="000000"/>
                <w:szCs w:val="24"/>
              </w:rPr>
              <w:t>-Paris et al., 1994</w:t>
            </w:r>
          </w:p>
        </w:tc>
      </w:tr>
    </w:tbl>
    <w:p w14:paraId="66DD0F74" w14:textId="77777777" w:rsidR="003E6F8E" w:rsidRPr="0091785E" w:rsidRDefault="003E6F8E" w:rsidP="003E6F8E">
      <w:pPr>
        <w:rPr>
          <w:rFonts w:cs="Times New Roman"/>
          <w:szCs w:val="24"/>
        </w:rPr>
      </w:pPr>
    </w:p>
    <w:p w14:paraId="0F3AE1CF" w14:textId="77777777" w:rsidR="0017003C" w:rsidRDefault="0017003C" w:rsidP="0017003C">
      <w:pPr>
        <w:spacing w:before="0" w:after="60" w:line="259" w:lineRule="auto"/>
        <w:jc w:val="both"/>
        <w:rPr>
          <w:b/>
        </w:rPr>
      </w:pPr>
    </w:p>
    <w:p w14:paraId="282D8C9C" w14:textId="77777777" w:rsidR="0017003C" w:rsidRDefault="0017003C" w:rsidP="0017003C">
      <w:pPr>
        <w:spacing w:before="0" w:after="60" w:line="259" w:lineRule="auto"/>
        <w:jc w:val="both"/>
        <w:rPr>
          <w:b/>
        </w:rPr>
        <w:sectPr w:rsidR="0017003C" w:rsidSect="0017003C">
          <w:pgSz w:w="15840" w:h="12240" w:orient="landscape"/>
          <w:pgMar w:top="1282" w:right="1138" w:bottom="1181" w:left="1138" w:header="720" w:footer="720" w:gutter="0"/>
          <w:cols w:space="720"/>
          <w:titlePg/>
          <w:docGrid w:linePitch="360"/>
        </w:sectPr>
      </w:pPr>
    </w:p>
    <w:p w14:paraId="60F577EC" w14:textId="0BE4A36B" w:rsidR="0017003C" w:rsidRPr="00F13749" w:rsidRDefault="0017003C" w:rsidP="0017003C">
      <w:pPr>
        <w:spacing w:before="0" w:after="60" w:line="259" w:lineRule="auto"/>
        <w:jc w:val="both"/>
        <w:rPr>
          <w:u w:val="single"/>
        </w:rPr>
      </w:pPr>
      <w:proofErr w:type="gramStart"/>
      <w:r w:rsidRPr="00F13749">
        <w:rPr>
          <w:b/>
        </w:rPr>
        <w:lastRenderedPageBreak/>
        <w:t>Supplementary Table S</w:t>
      </w:r>
      <w:r>
        <w:rPr>
          <w:b/>
        </w:rPr>
        <w:t>2</w:t>
      </w:r>
      <w:r w:rsidRPr="00F13749">
        <w:rPr>
          <w:b/>
        </w:rPr>
        <w:t>.</w:t>
      </w:r>
      <w:proofErr w:type="gramEnd"/>
      <w:r>
        <w:t xml:space="preserve"> E</w:t>
      </w:r>
      <w:r w:rsidR="002F60F7">
        <w:t xml:space="preserve">ach column represents a </w:t>
      </w:r>
      <w:r>
        <w:t>sediment c</w:t>
      </w:r>
      <w:r w:rsidRPr="0091785E">
        <w:t>ore sample</w:t>
      </w:r>
      <w:r>
        <w:t xml:space="preserve">d for foraminifera </w:t>
      </w:r>
      <w:r w:rsidR="00805649">
        <w:t>(Schwing et al., 2018</w:t>
      </w:r>
      <w:r w:rsidRPr="0091785E">
        <w:t>)</w:t>
      </w:r>
      <w:r>
        <w:t xml:space="preserve">, and </w:t>
      </w:r>
      <w:r w:rsidR="0035246F">
        <w:t xml:space="preserve">they </w:t>
      </w:r>
      <w:r>
        <w:t xml:space="preserve">are labeled with the </w:t>
      </w:r>
      <w:r w:rsidR="0035246F">
        <w:t xml:space="preserve">two-digit </w:t>
      </w:r>
      <w:r>
        <w:t xml:space="preserve">month and year of </w:t>
      </w:r>
      <w:r w:rsidR="0035246F">
        <w:t>collection</w:t>
      </w:r>
      <w:r>
        <w:t>, along with the site ID (</w:t>
      </w:r>
      <w:r w:rsidR="0035246F">
        <w:t>format:</w:t>
      </w:r>
      <w:r>
        <w:t xml:space="preserve"> MMYY-</w:t>
      </w:r>
      <w:proofErr w:type="spellStart"/>
      <w:r>
        <w:t>SampID</w:t>
      </w:r>
      <w:proofErr w:type="spellEnd"/>
      <w:r>
        <w:t>).</w:t>
      </w:r>
      <w:r w:rsidRPr="0091785E">
        <w:t xml:space="preserve"> </w:t>
      </w:r>
      <w:r>
        <w:t xml:space="preserve">Years were estimated from samples’ </w:t>
      </w:r>
      <w:r w:rsidRPr="0091785E">
        <w:t>depth increments (mm)</w:t>
      </w:r>
      <w:r>
        <w:t>, and</w:t>
      </w:r>
      <w:r w:rsidRPr="0091785E">
        <w:t xml:space="preserve"> which were converted to dates </w:t>
      </w:r>
      <w:r w:rsidR="0035246F">
        <w:t xml:space="preserve">using short-lived radioisotope </w:t>
      </w:r>
      <w:r w:rsidRPr="0091785E">
        <w:t xml:space="preserve">sediment-dating methods (Brooks et al., 2015; Larson et al., 2018). </w:t>
      </w:r>
      <w:r>
        <w:t xml:space="preserve">The two samples from 2010 denoted </w:t>
      </w:r>
      <w:r w:rsidR="0035246F">
        <w:t>by</w:t>
      </w:r>
      <w:r>
        <w:t xml:space="preserve"> * were removed for multivariate analyses of “before” and “after” the </w:t>
      </w:r>
      <w:r w:rsidR="0035246F" w:rsidRPr="0035246F">
        <w:t>DWH event</w:t>
      </w:r>
      <w:r>
        <w:t>.</w:t>
      </w:r>
    </w:p>
    <w:tbl>
      <w:tblPr>
        <w:tblW w:w="6840" w:type="dxa"/>
        <w:tblInd w:w="108" w:type="dxa"/>
        <w:tblLayout w:type="fixed"/>
        <w:tblLook w:val="04A0" w:firstRow="1" w:lastRow="0" w:firstColumn="1" w:lastColumn="0" w:noHBand="0" w:noVBand="1"/>
      </w:tblPr>
      <w:tblGrid>
        <w:gridCol w:w="1170"/>
        <w:gridCol w:w="990"/>
        <w:gridCol w:w="990"/>
        <w:gridCol w:w="900"/>
        <w:gridCol w:w="1080"/>
        <w:gridCol w:w="900"/>
        <w:gridCol w:w="810"/>
      </w:tblGrid>
      <w:tr w:rsidR="0017003C" w:rsidRPr="00F13749" w14:paraId="160B3902" w14:textId="77777777" w:rsidTr="008E3ACC">
        <w:trPr>
          <w:trHeight w:val="330"/>
        </w:trPr>
        <w:tc>
          <w:tcPr>
            <w:tcW w:w="1170" w:type="dxa"/>
            <w:tcBorders>
              <w:top w:val="nil"/>
              <w:left w:val="nil"/>
              <w:bottom w:val="single" w:sz="4" w:space="0" w:color="auto"/>
              <w:right w:val="nil"/>
            </w:tcBorders>
            <w:shd w:val="clear" w:color="auto" w:fill="auto"/>
            <w:noWrap/>
            <w:vAlign w:val="bottom"/>
            <w:hideMark/>
          </w:tcPr>
          <w:p w14:paraId="44067BA4" w14:textId="77777777" w:rsidR="0017003C" w:rsidRPr="00F13749" w:rsidRDefault="0017003C" w:rsidP="008E3ACC">
            <w:pPr>
              <w:spacing w:before="0" w:after="0"/>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 </w:t>
            </w:r>
          </w:p>
        </w:tc>
        <w:tc>
          <w:tcPr>
            <w:tcW w:w="4860" w:type="dxa"/>
            <w:gridSpan w:val="5"/>
            <w:tcBorders>
              <w:top w:val="nil"/>
              <w:left w:val="nil"/>
              <w:bottom w:val="single" w:sz="4" w:space="0" w:color="auto"/>
              <w:right w:val="nil"/>
            </w:tcBorders>
            <w:shd w:val="clear" w:color="auto" w:fill="auto"/>
            <w:noWrap/>
            <w:vAlign w:val="bottom"/>
            <w:hideMark/>
          </w:tcPr>
          <w:p w14:paraId="47C2136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Number of Samples Analyzed</w:t>
            </w:r>
          </w:p>
        </w:tc>
        <w:tc>
          <w:tcPr>
            <w:tcW w:w="810" w:type="dxa"/>
            <w:tcBorders>
              <w:top w:val="nil"/>
              <w:left w:val="nil"/>
              <w:bottom w:val="single" w:sz="4" w:space="0" w:color="auto"/>
              <w:right w:val="nil"/>
            </w:tcBorders>
            <w:shd w:val="clear" w:color="auto" w:fill="auto"/>
            <w:noWrap/>
            <w:vAlign w:val="bottom"/>
            <w:hideMark/>
          </w:tcPr>
          <w:p w14:paraId="7B70160F" w14:textId="77777777" w:rsidR="0017003C" w:rsidRPr="00F13749" w:rsidRDefault="0017003C" w:rsidP="008E3ACC">
            <w:pPr>
              <w:spacing w:before="0" w:after="0"/>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 </w:t>
            </w:r>
          </w:p>
        </w:tc>
      </w:tr>
      <w:tr w:rsidR="0017003C" w:rsidRPr="00F13749" w14:paraId="5C96C953" w14:textId="77777777" w:rsidTr="008E3ACC">
        <w:trPr>
          <w:trHeight w:val="345"/>
        </w:trPr>
        <w:tc>
          <w:tcPr>
            <w:tcW w:w="1170" w:type="dxa"/>
            <w:tcBorders>
              <w:top w:val="nil"/>
              <w:left w:val="nil"/>
              <w:bottom w:val="single" w:sz="4" w:space="0" w:color="auto"/>
              <w:right w:val="nil"/>
            </w:tcBorders>
            <w:shd w:val="clear" w:color="auto" w:fill="auto"/>
            <w:noWrap/>
            <w:vAlign w:val="bottom"/>
            <w:hideMark/>
          </w:tcPr>
          <w:p w14:paraId="536C2FA6"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Year</w:t>
            </w:r>
          </w:p>
        </w:tc>
        <w:tc>
          <w:tcPr>
            <w:tcW w:w="990" w:type="dxa"/>
            <w:tcBorders>
              <w:top w:val="nil"/>
              <w:left w:val="nil"/>
              <w:bottom w:val="single" w:sz="4" w:space="0" w:color="auto"/>
              <w:right w:val="nil"/>
            </w:tcBorders>
            <w:shd w:val="clear" w:color="auto" w:fill="auto"/>
            <w:noWrap/>
            <w:vAlign w:val="bottom"/>
            <w:hideMark/>
          </w:tcPr>
          <w:p w14:paraId="786CE0C6"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0814-DSH08</w:t>
            </w:r>
          </w:p>
        </w:tc>
        <w:tc>
          <w:tcPr>
            <w:tcW w:w="990" w:type="dxa"/>
            <w:tcBorders>
              <w:top w:val="nil"/>
              <w:left w:val="nil"/>
              <w:bottom w:val="single" w:sz="4" w:space="0" w:color="auto"/>
              <w:right w:val="nil"/>
            </w:tcBorders>
            <w:shd w:val="clear" w:color="auto" w:fill="auto"/>
            <w:noWrap/>
            <w:vAlign w:val="bottom"/>
            <w:hideMark/>
          </w:tcPr>
          <w:p w14:paraId="03F7F43C"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0814-DSH10</w:t>
            </w:r>
          </w:p>
        </w:tc>
        <w:tc>
          <w:tcPr>
            <w:tcW w:w="900" w:type="dxa"/>
            <w:tcBorders>
              <w:top w:val="nil"/>
              <w:left w:val="nil"/>
              <w:bottom w:val="single" w:sz="4" w:space="0" w:color="auto"/>
              <w:right w:val="nil"/>
            </w:tcBorders>
            <w:shd w:val="clear" w:color="auto" w:fill="auto"/>
            <w:noWrap/>
            <w:vAlign w:val="bottom"/>
            <w:hideMark/>
          </w:tcPr>
          <w:p w14:paraId="5A614F47"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0814-PCB06</w:t>
            </w:r>
          </w:p>
        </w:tc>
        <w:tc>
          <w:tcPr>
            <w:tcW w:w="1080" w:type="dxa"/>
            <w:tcBorders>
              <w:top w:val="nil"/>
              <w:left w:val="nil"/>
              <w:bottom w:val="single" w:sz="4" w:space="0" w:color="auto"/>
              <w:right w:val="nil"/>
            </w:tcBorders>
            <w:shd w:val="clear" w:color="auto" w:fill="auto"/>
            <w:noWrap/>
            <w:vAlign w:val="bottom"/>
            <w:hideMark/>
          </w:tcPr>
          <w:p w14:paraId="622B3A72"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0815-DWH01</w:t>
            </w:r>
          </w:p>
        </w:tc>
        <w:tc>
          <w:tcPr>
            <w:tcW w:w="900" w:type="dxa"/>
            <w:tcBorders>
              <w:top w:val="nil"/>
              <w:left w:val="nil"/>
              <w:bottom w:val="single" w:sz="4" w:space="0" w:color="auto"/>
              <w:right w:val="nil"/>
            </w:tcBorders>
            <w:shd w:val="clear" w:color="auto" w:fill="auto"/>
            <w:noWrap/>
            <w:vAlign w:val="bottom"/>
            <w:hideMark/>
          </w:tcPr>
          <w:p w14:paraId="2F6E1795"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0815-SW01</w:t>
            </w:r>
          </w:p>
        </w:tc>
        <w:tc>
          <w:tcPr>
            <w:tcW w:w="810" w:type="dxa"/>
            <w:tcBorders>
              <w:top w:val="nil"/>
              <w:left w:val="single" w:sz="4" w:space="0" w:color="auto"/>
              <w:bottom w:val="single" w:sz="4" w:space="0" w:color="auto"/>
              <w:right w:val="nil"/>
            </w:tcBorders>
            <w:shd w:val="clear" w:color="auto" w:fill="auto"/>
            <w:noWrap/>
            <w:vAlign w:val="bottom"/>
            <w:hideMark/>
          </w:tcPr>
          <w:p w14:paraId="2D8B85BF"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Total</w:t>
            </w:r>
          </w:p>
        </w:tc>
      </w:tr>
      <w:tr w:rsidR="0017003C" w:rsidRPr="00F13749" w14:paraId="13501D54" w14:textId="77777777" w:rsidTr="008E3ACC">
        <w:trPr>
          <w:trHeight w:val="345"/>
        </w:trPr>
        <w:tc>
          <w:tcPr>
            <w:tcW w:w="1170" w:type="dxa"/>
            <w:tcBorders>
              <w:top w:val="nil"/>
              <w:left w:val="nil"/>
              <w:bottom w:val="nil"/>
              <w:right w:val="nil"/>
            </w:tcBorders>
            <w:shd w:val="clear" w:color="auto" w:fill="auto"/>
            <w:noWrap/>
            <w:vAlign w:val="bottom"/>
            <w:hideMark/>
          </w:tcPr>
          <w:p w14:paraId="1FB6664C"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2015</w:t>
            </w:r>
          </w:p>
        </w:tc>
        <w:tc>
          <w:tcPr>
            <w:tcW w:w="990" w:type="dxa"/>
            <w:tcBorders>
              <w:top w:val="nil"/>
              <w:left w:val="nil"/>
              <w:bottom w:val="nil"/>
              <w:right w:val="nil"/>
            </w:tcBorders>
            <w:shd w:val="clear" w:color="auto" w:fill="auto"/>
            <w:noWrap/>
            <w:vAlign w:val="bottom"/>
            <w:hideMark/>
          </w:tcPr>
          <w:p w14:paraId="337F2FBA"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3156BC4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6782A59F"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1080" w:type="dxa"/>
            <w:tcBorders>
              <w:top w:val="nil"/>
              <w:left w:val="nil"/>
              <w:bottom w:val="nil"/>
              <w:right w:val="nil"/>
            </w:tcBorders>
            <w:shd w:val="clear" w:color="auto" w:fill="auto"/>
            <w:noWrap/>
            <w:vAlign w:val="bottom"/>
            <w:hideMark/>
          </w:tcPr>
          <w:p w14:paraId="1A18A1D3"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2</w:t>
            </w:r>
          </w:p>
        </w:tc>
        <w:tc>
          <w:tcPr>
            <w:tcW w:w="900" w:type="dxa"/>
            <w:tcBorders>
              <w:top w:val="nil"/>
              <w:left w:val="nil"/>
              <w:bottom w:val="nil"/>
              <w:right w:val="nil"/>
            </w:tcBorders>
            <w:shd w:val="clear" w:color="auto" w:fill="auto"/>
            <w:noWrap/>
            <w:vAlign w:val="bottom"/>
            <w:hideMark/>
          </w:tcPr>
          <w:p w14:paraId="3E04E60E"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2</w:t>
            </w:r>
          </w:p>
        </w:tc>
        <w:tc>
          <w:tcPr>
            <w:tcW w:w="810" w:type="dxa"/>
            <w:tcBorders>
              <w:top w:val="nil"/>
              <w:left w:val="single" w:sz="4" w:space="0" w:color="auto"/>
              <w:bottom w:val="nil"/>
              <w:right w:val="nil"/>
            </w:tcBorders>
            <w:shd w:val="clear" w:color="auto" w:fill="auto"/>
            <w:noWrap/>
            <w:vAlign w:val="bottom"/>
            <w:hideMark/>
          </w:tcPr>
          <w:p w14:paraId="5CFA8F16"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5</w:t>
            </w:r>
          </w:p>
        </w:tc>
      </w:tr>
      <w:tr w:rsidR="0017003C" w:rsidRPr="00F13749" w14:paraId="4B33D61F" w14:textId="77777777" w:rsidTr="008E3ACC">
        <w:trPr>
          <w:trHeight w:val="345"/>
        </w:trPr>
        <w:tc>
          <w:tcPr>
            <w:tcW w:w="1170" w:type="dxa"/>
            <w:tcBorders>
              <w:top w:val="nil"/>
              <w:left w:val="nil"/>
              <w:bottom w:val="nil"/>
              <w:right w:val="nil"/>
            </w:tcBorders>
            <w:shd w:val="clear" w:color="auto" w:fill="auto"/>
            <w:noWrap/>
            <w:vAlign w:val="bottom"/>
            <w:hideMark/>
          </w:tcPr>
          <w:p w14:paraId="0381ED4C"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2014</w:t>
            </w:r>
          </w:p>
        </w:tc>
        <w:tc>
          <w:tcPr>
            <w:tcW w:w="990" w:type="dxa"/>
            <w:tcBorders>
              <w:top w:val="nil"/>
              <w:left w:val="nil"/>
              <w:bottom w:val="nil"/>
              <w:right w:val="nil"/>
            </w:tcBorders>
            <w:shd w:val="clear" w:color="auto" w:fill="auto"/>
            <w:noWrap/>
            <w:vAlign w:val="bottom"/>
            <w:hideMark/>
          </w:tcPr>
          <w:p w14:paraId="2A791E8E"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90" w:type="dxa"/>
            <w:tcBorders>
              <w:top w:val="nil"/>
              <w:left w:val="nil"/>
              <w:bottom w:val="nil"/>
              <w:right w:val="nil"/>
            </w:tcBorders>
            <w:shd w:val="clear" w:color="auto" w:fill="auto"/>
            <w:noWrap/>
            <w:vAlign w:val="bottom"/>
            <w:hideMark/>
          </w:tcPr>
          <w:p w14:paraId="0395EBEE"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3</w:t>
            </w:r>
          </w:p>
        </w:tc>
        <w:tc>
          <w:tcPr>
            <w:tcW w:w="900" w:type="dxa"/>
            <w:tcBorders>
              <w:top w:val="nil"/>
              <w:left w:val="nil"/>
              <w:bottom w:val="nil"/>
              <w:right w:val="nil"/>
            </w:tcBorders>
            <w:shd w:val="clear" w:color="auto" w:fill="auto"/>
            <w:noWrap/>
            <w:vAlign w:val="bottom"/>
            <w:hideMark/>
          </w:tcPr>
          <w:p w14:paraId="2988C1BC"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1080" w:type="dxa"/>
            <w:tcBorders>
              <w:top w:val="nil"/>
              <w:left w:val="nil"/>
              <w:bottom w:val="nil"/>
              <w:right w:val="nil"/>
            </w:tcBorders>
            <w:shd w:val="clear" w:color="auto" w:fill="auto"/>
            <w:noWrap/>
            <w:vAlign w:val="bottom"/>
            <w:hideMark/>
          </w:tcPr>
          <w:p w14:paraId="7E7D0C94"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2</w:t>
            </w:r>
          </w:p>
        </w:tc>
        <w:tc>
          <w:tcPr>
            <w:tcW w:w="900" w:type="dxa"/>
            <w:tcBorders>
              <w:top w:val="nil"/>
              <w:left w:val="nil"/>
              <w:bottom w:val="nil"/>
              <w:right w:val="nil"/>
            </w:tcBorders>
            <w:shd w:val="clear" w:color="auto" w:fill="auto"/>
            <w:noWrap/>
            <w:vAlign w:val="bottom"/>
            <w:hideMark/>
          </w:tcPr>
          <w:p w14:paraId="1E588E51"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810" w:type="dxa"/>
            <w:tcBorders>
              <w:top w:val="nil"/>
              <w:left w:val="single" w:sz="4" w:space="0" w:color="auto"/>
              <w:bottom w:val="nil"/>
              <w:right w:val="nil"/>
            </w:tcBorders>
            <w:shd w:val="clear" w:color="auto" w:fill="auto"/>
            <w:noWrap/>
            <w:vAlign w:val="bottom"/>
            <w:hideMark/>
          </w:tcPr>
          <w:p w14:paraId="46587957"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8</w:t>
            </w:r>
          </w:p>
        </w:tc>
      </w:tr>
      <w:tr w:rsidR="0017003C" w:rsidRPr="00F13749" w14:paraId="12A84064" w14:textId="77777777" w:rsidTr="008E3ACC">
        <w:trPr>
          <w:trHeight w:val="345"/>
        </w:trPr>
        <w:tc>
          <w:tcPr>
            <w:tcW w:w="1170" w:type="dxa"/>
            <w:tcBorders>
              <w:top w:val="nil"/>
              <w:left w:val="nil"/>
              <w:bottom w:val="nil"/>
              <w:right w:val="nil"/>
            </w:tcBorders>
            <w:shd w:val="clear" w:color="auto" w:fill="auto"/>
            <w:noWrap/>
            <w:vAlign w:val="bottom"/>
            <w:hideMark/>
          </w:tcPr>
          <w:p w14:paraId="1EAA4319"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2013</w:t>
            </w:r>
          </w:p>
        </w:tc>
        <w:tc>
          <w:tcPr>
            <w:tcW w:w="990" w:type="dxa"/>
            <w:tcBorders>
              <w:top w:val="nil"/>
              <w:left w:val="nil"/>
              <w:bottom w:val="nil"/>
              <w:right w:val="nil"/>
            </w:tcBorders>
            <w:shd w:val="clear" w:color="auto" w:fill="auto"/>
            <w:noWrap/>
            <w:vAlign w:val="bottom"/>
            <w:hideMark/>
          </w:tcPr>
          <w:p w14:paraId="04DCD5C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90" w:type="dxa"/>
            <w:tcBorders>
              <w:top w:val="nil"/>
              <w:left w:val="nil"/>
              <w:bottom w:val="nil"/>
              <w:right w:val="nil"/>
            </w:tcBorders>
            <w:shd w:val="clear" w:color="auto" w:fill="auto"/>
            <w:noWrap/>
            <w:vAlign w:val="bottom"/>
            <w:hideMark/>
          </w:tcPr>
          <w:p w14:paraId="2701CF8B"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2</w:t>
            </w:r>
          </w:p>
        </w:tc>
        <w:tc>
          <w:tcPr>
            <w:tcW w:w="900" w:type="dxa"/>
            <w:tcBorders>
              <w:top w:val="nil"/>
              <w:left w:val="nil"/>
              <w:bottom w:val="nil"/>
              <w:right w:val="nil"/>
            </w:tcBorders>
            <w:shd w:val="clear" w:color="auto" w:fill="auto"/>
            <w:noWrap/>
            <w:vAlign w:val="bottom"/>
            <w:hideMark/>
          </w:tcPr>
          <w:p w14:paraId="0B83CD55"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1080" w:type="dxa"/>
            <w:tcBorders>
              <w:top w:val="nil"/>
              <w:left w:val="nil"/>
              <w:bottom w:val="nil"/>
              <w:right w:val="nil"/>
            </w:tcBorders>
            <w:shd w:val="clear" w:color="auto" w:fill="auto"/>
            <w:noWrap/>
            <w:vAlign w:val="bottom"/>
            <w:hideMark/>
          </w:tcPr>
          <w:p w14:paraId="5A68F471"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00" w:type="dxa"/>
            <w:tcBorders>
              <w:top w:val="nil"/>
              <w:left w:val="nil"/>
              <w:bottom w:val="nil"/>
              <w:right w:val="nil"/>
            </w:tcBorders>
            <w:shd w:val="clear" w:color="auto" w:fill="auto"/>
            <w:noWrap/>
            <w:vAlign w:val="bottom"/>
            <w:hideMark/>
          </w:tcPr>
          <w:p w14:paraId="07768698"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2</w:t>
            </w:r>
          </w:p>
        </w:tc>
        <w:tc>
          <w:tcPr>
            <w:tcW w:w="810" w:type="dxa"/>
            <w:tcBorders>
              <w:top w:val="nil"/>
              <w:left w:val="single" w:sz="4" w:space="0" w:color="auto"/>
              <w:bottom w:val="nil"/>
              <w:right w:val="nil"/>
            </w:tcBorders>
            <w:shd w:val="clear" w:color="auto" w:fill="auto"/>
            <w:noWrap/>
            <w:vAlign w:val="bottom"/>
            <w:hideMark/>
          </w:tcPr>
          <w:p w14:paraId="69162C24"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7</w:t>
            </w:r>
          </w:p>
        </w:tc>
      </w:tr>
      <w:tr w:rsidR="0017003C" w:rsidRPr="00F13749" w14:paraId="7EBEA175" w14:textId="77777777" w:rsidTr="008E3ACC">
        <w:trPr>
          <w:trHeight w:val="345"/>
        </w:trPr>
        <w:tc>
          <w:tcPr>
            <w:tcW w:w="1170" w:type="dxa"/>
            <w:tcBorders>
              <w:top w:val="nil"/>
              <w:left w:val="nil"/>
              <w:bottom w:val="nil"/>
              <w:right w:val="nil"/>
            </w:tcBorders>
            <w:shd w:val="clear" w:color="auto" w:fill="auto"/>
            <w:noWrap/>
            <w:vAlign w:val="bottom"/>
            <w:hideMark/>
          </w:tcPr>
          <w:p w14:paraId="5BBAF19A"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2012</w:t>
            </w:r>
          </w:p>
        </w:tc>
        <w:tc>
          <w:tcPr>
            <w:tcW w:w="990" w:type="dxa"/>
            <w:tcBorders>
              <w:top w:val="nil"/>
              <w:left w:val="nil"/>
              <w:bottom w:val="nil"/>
              <w:right w:val="nil"/>
            </w:tcBorders>
            <w:shd w:val="clear" w:color="auto" w:fill="auto"/>
            <w:noWrap/>
            <w:vAlign w:val="bottom"/>
            <w:hideMark/>
          </w:tcPr>
          <w:p w14:paraId="2DD38068"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2</w:t>
            </w:r>
          </w:p>
        </w:tc>
        <w:tc>
          <w:tcPr>
            <w:tcW w:w="990" w:type="dxa"/>
            <w:tcBorders>
              <w:top w:val="nil"/>
              <w:left w:val="nil"/>
              <w:bottom w:val="nil"/>
              <w:right w:val="nil"/>
            </w:tcBorders>
            <w:shd w:val="clear" w:color="auto" w:fill="auto"/>
            <w:noWrap/>
            <w:vAlign w:val="bottom"/>
            <w:hideMark/>
          </w:tcPr>
          <w:p w14:paraId="25F1D8FE"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00" w:type="dxa"/>
            <w:tcBorders>
              <w:top w:val="nil"/>
              <w:left w:val="nil"/>
              <w:bottom w:val="nil"/>
              <w:right w:val="nil"/>
            </w:tcBorders>
            <w:shd w:val="clear" w:color="auto" w:fill="auto"/>
            <w:noWrap/>
            <w:vAlign w:val="bottom"/>
            <w:hideMark/>
          </w:tcPr>
          <w:p w14:paraId="4A1E5F7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1080" w:type="dxa"/>
            <w:tcBorders>
              <w:top w:val="nil"/>
              <w:left w:val="nil"/>
              <w:bottom w:val="nil"/>
              <w:right w:val="nil"/>
            </w:tcBorders>
            <w:shd w:val="clear" w:color="auto" w:fill="auto"/>
            <w:noWrap/>
            <w:vAlign w:val="bottom"/>
            <w:hideMark/>
          </w:tcPr>
          <w:p w14:paraId="0A4228B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2721847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4BE3D712"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4</w:t>
            </w:r>
          </w:p>
        </w:tc>
      </w:tr>
      <w:tr w:rsidR="0017003C" w:rsidRPr="00F13749" w14:paraId="2FB4F976" w14:textId="77777777" w:rsidTr="008E3ACC">
        <w:trPr>
          <w:trHeight w:val="345"/>
        </w:trPr>
        <w:tc>
          <w:tcPr>
            <w:tcW w:w="1170" w:type="dxa"/>
            <w:tcBorders>
              <w:top w:val="nil"/>
              <w:left w:val="nil"/>
              <w:bottom w:val="nil"/>
              <w:right w:val="nil"/>
            </w:tcBorders>
            <w:shd w:val="clear" w:color="auto" w:fill="auto"/>
            <w:noWrap/>
            <w:vAlign w:val="bottom"/>
            <w:hideMark/>
          </w:tcPr>
          <w:p w14:paraId="7244F020"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2011</w:t>
            </w:r>
          </w:p>
        </w:tc>
        <w:tc>
          <w:tcPr>
            <w:tcW w:w="990" w:type="dxa"/>
            <w:tcBorders>
              <w:top w:val="nil"/>
              <w:left w:val="nil"/>
              <w:bottom w:val="nil"/>
              <w:right w:val="nil"/>
            </w:tcBorders>
            <w:shd w:val="clear" w:color="auto" w:fill="auto"/>
            <w:noWrap/>
            <w:vAlign w:val="bottom"/>
            <w:hideMark/>
          </w:tcPr>
          <w:p w14:paraId="59BCE7BF"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90" w:type="dxa"/>
            <w:tcBorders>
              <w:top w:val="nil"/>
              <w:left w:val="nil"/>
              <w:bottom w:val="nil"/>
              <w:right w:val="nil"/>
            </w:tcBorders>
            <w:shd w:val="clear" w:color="auto" w:fill="auto"/>
            <w:noWrap/>
            <w:vAlign w:val="bottom"/>
            <w:hideMark/>
          </w:tcPr>
          <w:p w14:paraId="3F13686C"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6699CF7F"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35BA3A4A"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445B0C1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73EB94B6"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1</w:t>
            </w:r>
          </w:p>
        </w:tc>
      </w:tr>
      <w:tr w:rsidR="0017003C" w:rsidRPr="00F13749" w14:paraId="6096D354" w14:textId="77777777" w:rsidTr="008E3ACC">
        <w:trPr>
          <w:trHeight w:val="375"/>
        </w:trPr>
        <w:tc>
          <w:tcPr>
            <w:tcW w:w="1170" w:type="dxa"/>
            <w:tcBorders>
              <w:top w:val="nil"/>
              <w:left w:val="nil"/>
              <w:bottom w:val="nil"/>
              <w:right w:val="nil"/>
            </w:tcBorders>
            <w:shd w:val="clear" w:color="auto" w:fill="auto"/>
            <w:noWrap/>
            <w:vAlign w:val="bottom"/>
            <w:hideMark/>
          </w:tcPr>
          <w:p w14:paraId="4CD2FAB5"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2010</w:t>
            </w:r>
          </w:p>
        </w:tc>
        <w:tc>
          <w:tcPr>
            <w:tcW w:w="990" w:type="dxa"/>
            <w:tcBorders>
              <w:top w:val="nil"/>
              <w:left w:val="nil"/>
              <w:bottom w:val="nil"/>
              <w:right w:val="nil"/>
            </w:tcBorders>
            <w:shd w:val="clear" w:color="auto" w:fill="auto"/>
            <w:noWrap/>
            <w:vAlign w:val="bottom"/>
            <w:hideMark/>
          </w:tcPr>
          <w:p w14:paraId="54E8DF9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04D6D55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r w:rsidRPr="00F13749">
              <w:rPr>
                <w:rFonts w:ascii="Palatino Linotype" w:eastAsia="Times New Roman" w:hAnsi="Palatino Linotype" w:cs="Times New Roman"/>
                <w:color w:val="000000"/>
                <w:sz w:val="22"/>
                <w:vertAlign w:val="superscript"/>
              </w:rPr>
              <w:t>*</w:t>
            </w:r>
          </w:p>
        </w:tc>
        <w:tc>
          <w:tcPr>
            <w:tcW w:w="900" w:type="dxa"/>
            <w:tcBorders>
              <w:top w:val="nil"/>
              <w:left w:val="nil"/>
              <w:bottom w:val="nil"/>
              <w:right w:val="nil"/>
            </w:tcBorders>
            <w:shd w:val="clear" w:color="auto" w:fill="auto"/>
            <w:noWrap/>
            <w:vAlign w:val="bottom"/>
            <w:hideMark/>
          </w:tcPr>
          <w:p w14:paraId="40C4100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r w:rsidRPr="00F13749">
              <w:rPr>
                <w:rFonts w:ascii="Palatino Linotype" w:eastAsia="Times New Roman" w:hAnsi="Palatino Linotype" w:cs="Times New Roman"/>
                <w:color w:val="000000"/>
                <w:sz w:val="22"/>
                <w:vertAlign w:val="superscript"/>
              </w:rPr>
              <w:t>*</w:t>
            </w:r>
          </w:p>
        </w:tc>
        <w:tc>
          <w:tcPr>
            <w:tcW w:w="1080" w:type="dxa"/>
            <w:tcBorders>
              <w:top w:val="nil"/>
              <w:left w:val="nil"/>
              <w:bottom w:val="nil"/>
              <w:right w:val="nil"/>
            </w:tcBorders>
            <w:shd w:val="clear" w:color="auto" w:fill="auto"/>
            <w:noWrap/>
            <w:vAlign w:val="bottom"/>
            <w:hideMark/>
          </w:tcPr>
          <w:p w14:paraId="3CA79BB5"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050D4D51"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6A5BD8BE"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2</w:t>
            </w:r>
          </w:p>
        </w:tc>
      </w:tr>
      <w:tr w:rsidR="0017003C" w:rsidRPr="00F13749" w14:paraId="72E70061" w14:textId="77777777" w:rsidTr="008E3ACC">
        <w:trPr>
          <w:trHeight w:val="345"/>
        </w:trPr>
        <w:tc>
          <w:tcPr>
            <w:tcW w:w="1170" w:type="dxa"/>
            <w:tcBorders>
              <w:top w:val="nil"/>
              <w:left w:val="nil"/>
              <w:bottom w:val="nil"/>
              <w:right w:val="nil"/>
            </w:tcBorders>
            <w:shd w:val="clear" w:color="auto" w:fill="auto"/>
            <w:noWrap/>
            <w:vAlign w:val="bottom"/>
            <w:hideMark/>
          </w:tcPr>
          <w:p w14:paraId="15362359"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2009</w:t>
            </w:r>
          </w:p>
        </w:tc>
        <w:tc>
          <w:tcPr>
            <w:tcW w:w="990" w:type="dxa"/>
            <w:tcBorders>
              <w:top w:val="nil"/>
              <w:left w:val="nil"/>
              <w:bottom w:val="nil"/>
              <w:right w:val="nil"/>
            </w:tcBorders>
            <w:shd w:val="clear" w:color="auto" w:fill="auto"/>
            <w:noWrap/>
            <w:vAlign w:val="bottom"/>
            <w:hideMark/>
          </w:tcPr>
          <w:p w14:paraId="58F6BB0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0C7240D5"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162DE8D3"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1080" w:type="dxa"/>
            <w:tcBorders>
              <w:top w:val="nil"/>
              <w:left w:val="nil"/>
              <w:bottom w:val="nil"/>
              <w:right w:val="nil"/>
            </w:tcBorders>
            <w:shd w:val="clear" w:color="auto" w:fill="auto"/>
            <w:noWrap/>
            <w:vAlign w:val="bottom"/>
            <w:hideMark/>
          </w:tcPr>
          <w:p w14:paraId="7A49980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745A394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445458FF"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1</w:t>
            </w:r>
          </w:p>
        </w:tc>
      </w:tr>
      <w:tr w:rsidR="0017003C" w:rsidRPr="00F13749" w14:paraId="07E0974C" w14:textId="77777777" w:rsidTr="008E3ACC">
        <w:trPr>
          <w:trHeight w:val="345"/>
        </w:trPr>
        <w:tc>
          <w:tcPr>
            <w:tcW w:w="1170" w:type="dxa"/>
            <w:tcBorders>
              <w:top w:val="nil"/>
              <w:left w:val="nil"/>
              <w:bottom w:val="nil"/>
              <w:right w:val="nil"/>
            </w:tcBorders>
            <w:shd w:val="clear" w:color="auto" w:fill="auto"/>
            <w:noWrap/>
            <w:vAlign w:val="bottom"/>
            <w:hideMark/>
          </w:tcPr>
          <w:p w14:paraId="23068FF6"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2008</w:t>
            </w:r>
          </w:p>
        </w:tc>
        <w:tc>
          <w:tcPr>
            <w:tcW w:w="990" w:type="dxa"/>
            <w:tcBorders>
              <w:top w:val="nil"/>
              <w:left w:val="nil"/>
              <w:bottom w:val="nil"/>
              <w:right w:val="nil"/>
            </w:tcBorders>
            <w:shd w:val="clear" w:color="auto" w:fill="auto"/>
            <w:noWrap/>
            <w:vAlign w:val="bottom"/>
            <w:hideMark/>
          </w:tcPr>
          <w:p w14:paraId="4DCD9A9F"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63B19FD3"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00" w:type="dxa"/>
            <w:tcBorders>
              <w:top w:val="nil"/>
              <w:left w:val="nil"/>
              <w:bottom w:val="nil"/>
              <w:right w:val="nil"/>
            </w:tcBorders>
            <w:shd w:val="clear" w:color="auto" w:fill="auto"/>
            <w:noWrap/>
            <w:vAlign w:val="bottom"/>
            <w:hideMark/>
          </w:tcPr>
          <w:p w14:paraId="304D483B"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1FD8CC7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00" w:type="dxa"/>
            <w:tcBorders>
              <w:top w:val="nil"/>
              <w:left w:val="nil"/>
              <w:bottom w:val="nil"/>
              <w:right w:val="nil"/>
            </w:tcBorders>
            <w:shd w:val="clear" w:color="auto" w:fill="auto"/>
            <w:noWrap/>
            <w:vAlign w:val="bottom"/>
            <w:hideMark/>
          </w:tcPr>
          <w:p w14:paraId="5B289A3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3FB11788"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2</w:t>
            </w:r>
          </w:p>
        </w:tc>
      </w:tr>
      <w:tr w:rsidR="0017003C" w:rsidRPr="00F13749" w14:paraId="16564B6C" w14:textId="77777777" w:rsidTr="008E3ACC">
        <w:trPr>
          <w:trHeight w:val="345"/>
        </w:trPr>
        <w:tc>
          <w:tcPr>
            <w:tcW w:w="1170" w:type="dxa"/>
            <w:tcBorders>
              <w:top w:val="nil"/>
              <w:left w:val="nil"/>
              <w:bottom w:val="nil"/>
              <w:right w:val="nil"/>
            </w:tcBorders>
            <w:shd w:val="clear" w:color="auto" w:fill="auto"/>
            <w:noWrap/>
            <w:vAlign w:val="bottom"/>
            <w:hideMark/>
          </w:tcPr>
          <w:p w14:paraId="4E18FEBF"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2007</w:t>
            </w:r>
          </w:p>
        </w:tc>
        <w:tc>
          <w:tcPr>
            <w:tcW w:w="990" w:type="dxa"/>
            <w:tcBorders>
              <w:top w:val="nil"/>
              <w:left w:val="nil"/>
              <w:bottom w:val="nil"/>
              <w:right w:val="nil"/>
            </w:tcBorders>
            <w:shd w:val="clear" w:color="auto" w:fill="auto"/>
            <w:noWrap/>
            <w:vAlign w:val="bottom"/>
            <w:hideMark/>
          </w:tcPr>
          <w:p w14:paraId="2FF1D1CF"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6B0AC5AB"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174E184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2A06FA18"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68B5466E"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810" w:type="dxa"/>
            <w:tcBorders>
              <w:top w:val="nil"/>
              <w:left w:val="single" w:sz="4" w:space="0" w:color="auto"/>
              <w:bottom w:val="nil"/>
              <w:right w:val="nil"/>
            </w:tcBorders>
            <w:shd w:val="clear" w:color="auto" w:fill="auto"/>
            <w:noWrap/>
            <w:vAlign w:val="bottom"/>
            <w:hideMark/>
          </w:tcPr>
          <w:p w14:paraId="0D5BD064"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1</w:t>
            </w:r>
          </w:p>
        </w:tc>
      </w:tr>
      <w:tr w:rsidR="0017003C" w:rsidRPr="00F13749" w14:paraId="279CAF03" w14:textId="77777777" w:rsidTr="008E3ACC">
        <w:trPr>
          <w:trHeight w:val="345"/>
        </w:trPr>
        <w:tc>
          <w:tcPr>
            <w:tcW w:w="1170" w:type="dxa"/>
            <w:tcBorders>
              <w:top w:val="nil"/>
              <w:left w:val="nil"/>
              <w:bottom w:val="nil"/>
              <w:right w:val="nil"/>
            </w:tcBorders>
            <w:shd w:val="clear" w:color="auto" w:fill="auto"/>
            <w:noWrap/>
            <w:vAlign w:val="bottom"/>
            <w:hideMark/>
          </w:tcPr>
          <w:p w14:paraId="07981F77"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2006</w:t>
            </w:r>
          </w:p>
        </w:tc>
        <w:tc>
          <w:tcPr>
            <w:tcW w:w="990" w:type="dxa"/>
            <w:tcBorders>
              <w:top w:val="nil"/>
              <w:left w:val="nil"/>
              <w:bottom w:val="nil"/>
              <w:right w:val="nil"/>
            </w:tcBorders>
            <w:shd w:val="clear" w:color="auto" w:fill="auto"/>
            <w:noWrap/>
            <w:vAlign w:val="bottom"/>
            <w:hideMark/>
          </w:tcPr>
          <w:p w14:paraId="71FBD8AB"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65B3FA0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448CAE2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6401B115"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2FF36532"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277DFE97"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w:t>
            </w:r>
          </w:p>
        </w:tc>
      </w:tr>
      <w:tr w:rsidR="0017003C" w:rsidRPr="00F13749" w14:paraId="30744C15" w14:textId="77777777" w:rsidTr="008E3ACC">
        <w:trPr>
          <w:trHeight w:val="345"/>
        </w:trPr>
        <w:tc>
          <w:tcPr>
            <w:tcW w:w="1170" w:type="dxa"/>
            <w:tcBorders>
              <w:top w:val="nil"/>
              <w:left w:val="nil"/>
              <w:bottom w:val="nil"/>
              <w:right w:val="nil"/>
            </w:tcBorders>
            <w:shd w:val="clear" w:color="auto" w:fill="auto"/>
            <w:noWrap/>
            <w:vAlign w:val="bottom"/>
            <w:hideMark/>
          </w:tcPr>
          <w:p w14:paraId="40F2DCDB"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2005</w:t>
            </w:r>
          </w:p>
        </w:tc>
        <w:tc>
          <w:tcPr>
            <w:tcW w:w="990" w:type="dxa"/>
            <w:tcBorders>
              <w:top w:val="nil"/>
              <w:left w:val="nil"/>
              <w:bottom w:val="nil"/>
              <w:right w:val="nil"/>
            </w:tcBorders>
            <w:shd w:val="clear" w:color="auto" w:fill="auto"/>
            <w:noWrap/>
            <w:vAlign w:val="bottom"/>
            <w:hideMark/>
          </w:tcPr>
          <w:p w14:paraId="400FA46F"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90" w:type="dxa"/>
            <w:tcBorders>
              <w:top w:val="nil"/>
              <w:left w:val="nil"/>
              <w:bottom w:val="nil"/>
              <w:right w:val="nil"/>
            </w:tcBorders>
            <w:shd w:val="clear" w:color="auto" w:fill="auto"/>
            <w:noWrap/>
            <w:vAlign w:val="bottom"/>
            <w:hideMark/>
          </w:tcPr>
          <w:p w14:paraId="33241F3A"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00" w:type="dxa"/>
            <w:tcBorders>
              <w:top w:val="nil"/>
              <w:left w:val="nil"/>
              <w:bottom w:val="nil"/>
              <w:right w:val="nil"/>
            </w:tcBorders>
            <w:shd w:val="clear" w:color="auto" w:fill="auto"/>
            <w:noWrap/>
            <w:vAlign w:val="bottom"/>
            <w:hideMark/>
          </w:tcPr>
          <w:p w14:paraId="0BCEB2F0"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13B363E0"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640B552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810" w:type="dxa"/>
            <w:tcBorders>
              <w:top w:val="nil"/>
              <w:left w:val="single" w:sz="4" w:space="0" w:color="auto"/>
              <w:bottom w:val="nil"/>
              <w:right w:val="nil"/>
            </w:tcBorders>
            <w:shd w:val="clear" w:color="auto" w:fill="auto"/>
            <w:noWrap/>
            <w:vAlign w:val="bottom"/>
            <w:hideMark/>
          </w:tcPr>
          <w:p w14:paraId="21CF8028"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3</w:t>
            </w:r>
          </w:p>
        </w:tc>
      </w:tr>
      <w:tr w:rsidR="0017003C" w:rsidRPr="00F13749" w14:paraId="7F516399" w14:textId="77777777" w:rsidTr="008E3ACC">
        <w:trPr>
          <w:trHeight w:val="345"/>
        </w:trPr>
        <w:tc>
          <w:tcPr>
            <w:tcW w:w="1170" w:type="dxa"/>
            <w:tcBorders>
              <w:top w:val="nil"/>
              <w:left w:val="nil"/>
              <w:bottom w:val="nil"/>
              <w:right w:val="nil"/>
            </w:tcBorders>
            <w:shd w:val="clear" w:color="auto" w:fill="auto"/>
            <w:noWrap/>
            <w:vAlign w:val="bottom"/>
            <w:hideMark/>
          </w:tcPr>
          <w:p w14:paraId="78979B64"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2004</w:t>
            </w:r>
          </w:p>
        </w:tc>
        <w:tc>
          <w:tcPr>
            <w:tcW w:w="990" w:type="dxa"/>
            <w:tcBorders>
              <w:top w:val="nil"/>
              <w:left w:val="nil"/>
              <w:bottom w:val="nil"/>
              <w:right w:val="nil"/>
            </w:tcBorders>
            <w:shd w:val="clear" w:color="auto" w:fill="auto"/>
            <w:noWrap/>
            <w:vAlign w:val="bottom"/>
            <w:hideMark/>
          </w:tcPr>
          <w:p w14:paraId="6B313C65"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5AE6CC4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633794AF"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664FF60F"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249F7A4A"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15231E62"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w:t>
            </w:r>
          </w:p>
        </w:tc>
      </w:tr>
      <w:tr w:rsidR="0017003C" w:rsidRPr="00F13749" w14:paraId="50E90B3B" w14:textId="77777777" w:rsidTr="008E3ACC">
        <w:trPr>
          <w:trHeight w:val="345"/>
        </w:trPr>
        <w:tc>
          <w:tcPr>
            <w:tcW w:w="1170" w:type="dxa"/>
            <w:tcBorders>
              <w:top w:val="nil"/>
              <w:left w:val="nil"/>
              <w:bottom w:val="nil"/>
              <w:right w:val="nil"/>
            </w:tcBorders>
            <w:shd w:val="clear" w:color="auto" w:fill="auto"/>
            <w:noWrap/>
            <w:vAlign w:val="bottom"/>
            <w:hideMark/>
          </w:tcPr>
          <w:p w14:paraId="7066E827"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2003</w:t>
            </w:r>
          </w:p>
        </w:tc>
        <w:tc>
          <w:tcPr>
            <w:tcW w:w="990" w:type="dxa"/>
            <w:tcBorders>
              <w:top w:val="nil"/>
              <w:left w:val="nil"/>
              <w:bottom w:val="nil"/>
              <w:right w:val="nil"/>
            </w:tcBorders>
            <w:shd w:val="clear" w:color="auto" w:fill="auto"/>
            <w:noWrap/>
            <w:vAlign w:val="bottom"/>
            <w:hideMark/>
          </w:tcPr>
          <w:p w14:paraId="36E51EDF"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0EDE30D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7D04B485"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388E3B4B"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43857228"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71792E10"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w:t>
            </w:r>
          </w:p>
        </w:tc>
      </w:tr>
      <w:tr w:rsidR="0017003C" w:rsidRPr="00F13749" w14:paraId="3A143485" w14:textId="77777777" w:rsidTr="008E3ACC">
        <w:trPr>
          <w:trHeight w:val="345"/>
        </w:trPr>
        <w:tc>
          <w:tcPr>
            <w:tcW w:w="1170" w:type="dxa"/>
            <w:tcBorders>
              <w:top w:val="nil"/>
              <w:left w:val="nil"/>
              <w:bottom w:val="nil"/>
              <w:right w:val="nil"/>
            </w:tcBorders>
            <w:shd w:val="clear" w:color="auto" w:fill="auto"/>
            <w:noWrap/>
            <w:vAlign w:val="bottom"/>
            <w:hideMark/>
          </w:tcPr>
          <w:p w14:paraId="1760B42C"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2002</w:t>
            </w:r>
          </w:p>
        </w:tc>
        <w:tc>
          <w:tcPr>
            <w:tcW w:w="990" w:type="dxa"/>
            <w:tcBorders>
              <w:top w:val="nil"/>
              <w:left w:val="nil"/>
              <w:bottom w:val="nil"/>
              <w:right w:val="nil"/>
            </w:tcBorders>
            <w:shd w:val="clear" w:color="auto" w:fill="auto"/>
            <w:noWrap/>
            <w:vAlign w:val="bottom"/>
            <w:hideMark/>
          </w:tcPr>
          <w:p w14:paraId="73ECB860"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5B6A242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11F9A79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319F00E8"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3BF28ED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635E7750"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w:t>
            </w:r>
          </w:p>
        </w:tc>
      </w:tr>
      <w:tr w:rsidR="0017003C" w:rsidRPr="00F13749" w14:paraId="0DBAA54D" w14:textId="77777777" w:rsidTr="008E3ACC">
        <w:trPr>
          <w:trHeight w:val="345"/>
        </w:trPr>
        <w:tc>
          <w:tcPr>
            <w:tcW w:w="1170" w:type="dxa"/>
            <w:tcBorders>
              <w:top w:val="nil"/>
              <w:left w:val="nil"/>
              <w:bottom w:val="nil"/>
              <w:right w:val="nil"/>
            </w:tcBorders>
            <w:shd w:val="clear" w:color="auto" w:fill="auto"/>
            <w:noWrap/>
            <w:vAlign w:val="bottom"/>
            <w:hideMark/>
          </w:tcPr>
          <w:p w14:paraId="342FA0D8"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2001</w:t>
            </w:r>
          </w:p>
        </w:tc>
        <w:tc>
          <w:tcPr>
            <w:tcW w:w="990" w:type="dxa"/>
            <w:tcBorders>
              <w:top w:val="nil"/>
              <w:left w:val="nil"/>
              <w:bottom w:val="nil"/>
              <w:right w:val="nil"/>
            </w:tcBorders>
            <w:shd w:val="clear" w:color="auto" w:fill="auto"/>
            <w:noWrap/>
            <w:vAlign w:val="bottom"/>
            <w:hideMark/>
          </w:tcPr>
          <w:p w14:paraId="223A3FBC"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2FABCACB"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6C8F89C3"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1080" w:type="dxa"/>
            <w:tcBorders>
              <w:top w:val="nil"/>
              <w:left w:val="nil"/>
              <w:bottom w:val="nil"/>
              <w:right w:val="nil"/>
            </w:tcBorders>
            <w:shd w:val="clear" w:color="auto" w:fill="auto"/>
            <w:noWrap/>
            <w:vAlign w:val="bottom"/>
            <w:hideMark/>
          </w:tcPr>
          <w:p w14:paraId="59A4EAA2"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26CA3F2A"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37E600D4"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1</w:t>
            </w:r>
          </w:p>
        </w:tc>
      </w:tr>
      <w:tr w:rsidR="0017003C" w:rsidRPr="00F13749" w14:paraId="74C9A6C4" w14:textId="77777777" w:rsidTr="008E3ACC">
        <w:trPr>
          <w:trHeight w:val="345"/>
        </w:trPr>
        <w:tc>
          <w:tcPr>
            <w:tcW w:w="1170" w:type="dxa"/>
            <w:tcBorders>
              <w:top w:val="nil"/>
              <w:left w:val="nil"/>
              <w:bottom w:val="nil"/>
              <w:right w:val="nil"/>
            </w:tcBorders>
            <w:shd w:val="clear" w:color="auto" w:fill="auto"/>
            <w:noWrap/>
            <w:vAlign w:val="bottom"/>
            <w:hideMark/>
          </w:tcPr>
          <w:p w14:paraId="4C643E1C"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2000</w:t>
            </w:r>
          </w:p>
        </w:tc>
        <w:tc>
          <w:tcPr>
            <w:tcW w:w="990" w:type="dxa"/>
            <w:tcBorders>
              <w:top w:val="nil"/>
              <w:left w:val="nil"/>
              <w:bottom w:val="nil"/>
              <w:right w:val="nil"/>
            </w:tcBorders>
            <w:shd w:val="clear" w:color="auto" w:fill="auto"/>
            <w:noWrap/>
            <w:vAlign w:val="bottom"/>
            <w:hideMark/>
          </w:tcPr>
          <w:p w14:paraId="3CAF886C"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90" w:type="dxa"/>
            <w:tcBorders>
              <w:top w:val="nil"/>
              <w:left w:val="nil"/>
              <w:bottom w:val="nil"/>
              <w:right w:val="nil"/>
            </w:tcBorders>
            <w:shd w:val="clear" w:color="auto" w:fill="auto"/>
            <w:noWrap/>
            <w:vAlign w:val="bottom"/>
            <w:hideMark/>
          </w:tcPr>
          <w:p w14:paraId="35115F51"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7682763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05FE53B5"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08DE08EB"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810" w:type="dxa"/>
            <w:tcBorders>
              <w:top w:val="nil"/>
              <w:left w:val="single" w:sz="4" w:space="0" w:color="auto"/>
              <w:bottom w:val="nil"/>
              <w:right w:val="nil"/>
            </w:tcBorders>
            <w:shd w:val="clear" w:color="auto" w:fill="auto"/>
            <w:noWrap/>
            <w:vAlign w:val="bottom"/>
            <w:hideMark/>
          </w:tcPr>
          <w:p w14:paraId="4908E1C2"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2</w:t>
            </w:r>
          </w:p>
        </w:tc>
      </w:tr>
      <w:tr w:rsidR="0017003C" w:rsidRPr="00F13749" w14:paraId="3FF35625" w14:textId="77777777" w:rsidTr="008E3ACC">
        <w:trPr>
          <w:trHeight w:val="20"/>
        </w:trPr>
        <w:tc>
          <w:tcPr>
            <w:tcW w:w="1170" w:type="dxa"/>
            <w:tcBorders>
              <w:top w:val="nil"/>
              <w:left w:val="nil"/>
              <w:bottom w:val="nil"/>
              <w:right w:val="nil"/>
            </w:tcBorders>
            <w:shd w:val="clear" w:color="000000" w:fill="E7E6E6"/>
            <w:noWrap/>
            <w:vAlign w:val="bottom"/>
            <w:hideMark/>
          </w:tcPr>
          <w:p w14:paraId="770F9E7E"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 </w:t>
            </w:r>
          </w:p>
        </w:tc>
        <w:tc>
          <w:tcPr>
            <w:tcW w:w="990" w:type="dxa"/>
            <w:tcBorders>
              <w:top w:val="nil"/>
              <w:left w:val="nil"/>
              <w:bottom w:val="nil"/>
              <w:right w:val="nil"/>
            </w:tcBorders>
            <w:shd w:val="clear" w:color="000000" w:fill="E7E6E6"/>
            <w:noWrap/>
            <w:vAlign w:val="bottom"/>
          </w:tcPr>
          <w:p w14:paraId="2D403A31"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990" w:type="dxa"/>
            <w:tcBorders>
              <w:top w:val="nil"/>
              <w:left w:val="nil"/>
              <w:bottom w:val="nil"/>
              <w:right w:val="nil"/>
            </w:tcBorders>
            <w:shd w:val="clear" w:color="000000" w:fill="E7E6E6"/>
            <w:noWrap/>
            <w:vAlign w:val="bottom"/>
          </w:tcPr>
          <w:p w14:paraId="14052B5E"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900" w:type="dxa"/>
            <w:tcBorders>
              <w:top w:val="nil"/>
              <w:left w:val="nil"/>
              <w:bottom w:val="nil"/>
              <w:right w:val="nil"/>
            </w:tcBorders>
            <w:shd w:val="clear" w:color="000000" w:fill="E7E6E6"/>
            <w:noWrap/>
            <w:vAlign w:val="bottom"/>
          </w:tcPr>
          <w:p w14:paraId="255D662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1080" w:type="dxa"/>
            <w:tcBorders>
              <w:top w:val="nil"/>
              <w:left w:val="nil"/>
              <w:bottom w:val="nil"/>
              <w:right w:val="nil"/>
            </w:tcBorders>
            <w:shd w:val="clear" w:color="000000" w:fill="E7E6E6"/>
            <w:noWrap/>
            <w:vAlign w:val="bottom"/>
          </w:tcPr>
          <w:p w14:paraId="0B24B811"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900" w:type="dxa"/>
            <w:tcBorders>
              <w:top w:val="nil"/>
              <w:left w:val="nil"/>
              <w:bottom w:val="nil"/>
              <w:right w:val="nil"/>
            </w:tcBorders>
            <w:shd w:val="clear" w:color="000000" w:fill="E7E6E6"/>
            <w:noWrap/>
            <w:vAlign w:val="bottom"/>
          </w:tcPr>
          <w:p w14:paraId="1AB62C1C"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810" w:type="dxa"/>
            <w:tcBorders>
              <w:top w:val="nil"/>
              <w:left w:val="single" w:sz="4" w:space="0" w:color="auto"/>
              <w:bottom w:val="nil"/>
              <w:right w:val="nil"/>
            </w:tcBorders>
            <w:shd w:val="clear" w:color="000000" w:fill="E7E6E6"/>
            <w:noWrap/>
            <w:vAlign w:val="bottom"/>
            <w:hideMark/>
          </w:tcPr>
          <w:p w14:paraId="59C6F008"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p>
        </w:tc>
      </w:tr>
      <w:tr w:rsidR="0017003C" w:rsidRPr="00F13749" w14:paraId="4BC5B748" w14:textId="77777777" w:rsidTr="008E3ACC">
        <w:trPr>
          <w:trHeight w:val="345"/>
        </w:trPr>
        <w:tc>
          <w:tcPr>
            <w:tcW w:w="1170" w:type="dxa"/>
            <w:tcBorders>
              <w:top w:val="nil"/>
              <w:left w:val="nil"/>
              <w:bottom w:val="nil"/>
              <w:right w:val="nil"/>
            </w:tcBorders>
            <w:shd w:val="clear" w:color="auto" w:fill="auto"/>
            <w:noWrap/>
            <w:vAlign w:val="bottom"/>
            <w:hideMark/>
          </w:tcPr>
          <w:p w14:paraId="753CB137"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1994</w:t>
            </w:r>
          </w:p>
        </w:tc>
        <w:tc>
          <w:tcPr>
            <w:tcW w:w="990" w:type="dxa"/>
            <w:tcBorders>
              <w:top w:val="nil"/>
              <w:left w:val="nil"/>
              <w:bottom w:val="nil"/>
              <w:right w:val="nil"/>
            </w:tcBorders>
            <w:shd w:val="clear" w:color="auto" w:fill="auto"/>
            <w:noWrap/>
            <w:vAlign w:val="bottom"/>
            <w:hideMark/>
          </w:tcPr>
          <w:p w14:paraId="34677AC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90" w:type="dxa"/>
            <w:tcBorders>
              <w:top w:val="nil"/>
              <w:left w:val="nil"/>
              <w:bottom w:val="nil"/>
              <w:right w:val="nil"/>
            </w:tcBorders>
            <w:shd w:val="clear" w:color="auto" w:fill="auto"/>
            <w:noWrap/>
            <w:vAlign w:val="bottom"/>
            <w:hideMark/>
          </w:tcPr>
          <w:p w14:paraId="00DDD813"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59B6F1B8"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5A640F1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4BA4A6B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069CE339"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1</w:t>
            </w:r>
          </w:p>
        </w:tc>
      </w:tr>
      <w:tr w:rsidR="0017003C" w:rsidRPr="00F13749" w14:paraId="0DC89B9A" w14:textId="77777777" w:rsidTr="008E3ACC">
        <w:trPr>
          <w:trHeight w:val="105"/>
        </w:trPr>
        <w:tc>
          <w:tcPr>
            <w:tcW w:w="1170" w:type="dxa"/>
            <w:tcBorders>
              <w:top w:val="nil"/>
              <w:left w:val="nil"/>
              <w:bottom w:val="nil"/>
              <w:right w:val="nil"/>
            </w:tcBorders>
            <w:shd w:val="clear" w:color="000000" w:fill="E7E6E6"/>
            <w:noWrap/>
            <w:vAlign w:val="bottom"/>
            <w:hideMark/>
          </w:tcPr>
          <w:p w14:paraId="7B151A1F"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 </w:t>
            </w:r>
          </w:p>
        </w:tc>
        <w:tc>
          <w:tcPr>
            <w:tcW w:w="990" w:type="dxa"/>
            <w:tcBorders>
              <w:top w:val="nil"/>
              <w:left w:val="nil"/>
              <w:bottom w:val="nil"/>
              <w:right w:val="nil"/>
            </w:tcBorders>
            <w:shd w:val="clear" w:color="000000" w:fill="E7E6E6"/>
            <w:noWrap/>
            <w:vAlign w:val="bottom"/>
          </w:tcPr>
          <w:p w14:paraId="739816B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990" w:type="dxa"/>
            <w:tcBorders>
              <w:top w:val="nil"/>
              <w:left w:val="nil"/>
              <w:bottom w:val="nil"/>
              <w:right w:val="nil"/>
            </w:tcBorders>
            <w:shd w:val="clear" w:color="000000" w:fill="E7E6E6"/>
            <w:noWrap/>
            <w:vAlign w:val="bottom"/>
          </w:tcPr>
          <w:p w14:paraId="2CAC434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900" w:type="dxa"/>
            <w:tcBorders>
              <w:top w:val="nil"/>
              <w:left w:val="nil"/>
              <w:bottom w:val="nil"/>
              <w:right w:val="nil"/>
            </w:tcBorders>
            <w:shd w:val="clear" w:color="000000" w:fill="E7E6E6"/>
            <w:noWrap/>
            <w:vAlign w:val="bottom"/>
          </w:tcPr>
          <w:p w14:paraId="679D9158"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1080" w:type="dxa"/>
            <w:tcBorders>
              <w:top w:val="nil"/>
              <w:left w:val="nil"/>
              <w:bottom w:val="nil"/>
              <w:right w:val="nil"/>
            </w:tcBorders>
            <w:shd w:val="clear" w:color="000000" w:fill="E7E6E6"/>
            <w:noWrap/>
            <w:vAlign w:val="bottom"/>
          </w:tcPr>
          <w:p w14:paraId="22DDD0A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900" w:type="dxa"/>
            <w:tcBorders>
              <w:top w:val="nil"/>
              <w:left w:val="nil"/>
              <w:bottom w:val="nil"/>
              <w:right w:val="nil"/>
            </w:tcBorders>
            <w:shd w:val="clear" w:color="000000" w:fill="E7E6E6"/>
            <w:noWrap/>
            <w:vAlign w:val="bottom"/>
          </w:tcPr>
          <w:p w14:paraId="329AA841"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810" w:type="dxa"/>
            <w:tcBorders>
              <w:top w:val="nil"/>
              <w:left w:val="single" w:sz="4" w:space="0" w:color="auto"/>
              <w:bottom w:val="nil"/>
              <w:right w:val="nil"/>
            </w:tcBorders>
            <w:shd w:val="clear" w:color="000000" w:fill="E7E6E6"/>
            <w:noWrap/>
            <w:vAlign w:val="bottom"/>
          </w:tcPr>
          <w:p w14:paraId="72359CAD"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p>
        </w:tc>
      </w:tr>
      <w:tr w:rsidR="0017003C" w:rsidRPr="00F13749" w14:paraId="30D9D00F" w14:textId="77777777" w:rsidTr="008E3ACC">
        <w:trPr>
          <w:trHeight w:val="345"/>
        </w:trPr>
        <w:tc>
          <w:tcPr>
            <w:tcW w:w="1170" w:type="dxa"/>
            <w:tcBorders>
              <w:top w:val="nil"/>
              <w:left w:val="nil"/>
              <w:bottom w:val="nil"/>
              <w:right w:val="nil"/>
            </w:tcBorders>
            <w:shd w:val="clear" w:color="auto" w:fill="auto"/>
            <w:noWrap/>
            <w:vAlign w:val="bottom"/>
            <w:hideMark/>
          </w:tcPr>
          <w:p w14:paraId="64061512"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1991</w:t>
            </w:r>
          </w:p>
        </w:tc>
        <w:tc>
          <w:tcPr>
            <w:tcW w:w="990" w:type="dxa"/>
            <w:tcBorders>
              <w:top w:val="nil"/>
              <w:left w:val="nil"/>
              <w:bottom w:val="nil"/>
              <w:right w:val="nil"/>
            </w:tcBorders>
            <w:shd w:val="clear" w:color="auto" w:fill="auto"/>
            <w:noWrap/>
            <w:vAlign w:val="bottom"/>
            <w:hideMark/>
          </w:tcPr>
          <w:p w14:paraId="5863413C"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72CA71A3"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5B76680F"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1080" w:type="dxa"/>
            <w:tcBorders>
              <w:top w:val="nil"/>
              <w:left w:val="nil"/>
              <w:bottom w:val="nil"/>
              <w:right w:val="nil"/>
            </w:tcBorders>
            <w:shd w:val="clear" w:color="auto" w:fill="auto"/>
            <w:noWrap/>
            <w:vAlign w:val="bottom"/>
            <w:hideMark/>
          </w:tcPr>
          <w:p w14:paraId="6882EC60"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01B3126B"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4DD649CB"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1</w:t>
            </w:r>
          </w:p>
        </w:tc>
      </w:tr>
      <w:tr w:rsidR="0017003C" w:rsidRPr="00F13749" w14:paraId="7861A364" w14:textId="77777777" w:rsidTr="008E3ACC">
        <w:trPr>
          <w:trHeight w:val="105"/>
        </w:trPr>
        <w:tc>
          <w:tcPr>
            <w:tcW w:w="1170" w:type="dxa"/>
            <w:tcBorders>
              <w:top w:val="nil"/>
              <w:left w:val="nil"/>
              <w:bottom w:val="nil"/>
              <w:right w:val="nil"/>
            </w:tcBorders>
            <w:shd w:val="clear" w:color="000000" w:fill="E7E6E6"/>
            <w:noWrap/>
            <w:vAlign w:val="bottom"/>
            <w:hideMark/>
          </w:tcPr>
          <w:p w14:paraId="2F0F9BBA"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 </w:t>
            </w:r>
          </w:p>
        </w:tc>
        <w:tc>
          <w:tcPr>
            <w:tcW w:w="990" w:type="dxa"/>
            <w:tcBorders>
              <w:top w:val="nil"/>
              <w:left w:val="nil"/>
              <w:bottom w:val="nil"/>
              <w:right w:val="nil"/>
            </w:tcBorders>
            <w:shd w:val="clear" w:color="000000" w:fill="E7E6E6"/>
            <w:noWrap/>
            <w:vAlign w:val="bottom"/>
          </w:tcPr>
          <w:p w14:paraId="04D604F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990" w:type="dxa"/>
            <w:tcBorders>
              <w:top w:val="nil"/>
              <w:left w:val="nil"/>
              <w:bottom w:val="nil"/>
              <w:right w:val="nil"/>
            </w:tcBorders>
            <w:shd w:val="clear" w:color="000000" w:fill="E7E6E6"/>
            <w:noWrap/>
            <w:vAlign w:val="bottom"/>
          </w:tcPr>
          <w:p w14:paraId="21893BC4"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900" w:type="dxa"/>
            <w:tcBorders>
              <w:top w:val="nil"/>
              <w:left w:val="nil"/>
              <w:bottom w:val="nil"/>
              <w:right w:val="nil"/>
            </w:tcBorders>
            <w:shd w:val="clear" w:color="000000" w:fill="E7E6E6"/>
            <w:noWrap/>
            <w:vAlign w:val="bottom"/>
          </w:tcPr>
          <w:p w14:paraId="28C6A55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1080" w:type="dxa"/>
            <w:tcBorders>
              <w:top w:val="nil"/>
              <w:left w:val="nil"/>
              <w:bottom w:val="nil"/>
              <w:right w:val="nil"/>
            </w:tcBorders>
            <w:shd w:val="clear" w:color="000000" w:fill="E7E6E6"/>
            <w:noWrap/>
            <w:vAlign w:val="bottom"/>
          </w:tcPr>
          <w:p w14:paraId="67C20452"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900" w:type="dxa"/>
            <w:tcBorders>
              <w:top w:val="nil"/>
              <w:left w:val="nil"/>
              <w:bottom w:val="nil"/>
              <w:right w:val="nil"/>
            </w:tcBorders>
            <w:shd w:val="clear" w:color="000000" w:fill="E7E6E6"/>
            <w:noWrap/>
            <w:vAlign w:val="bottom"/>
          </w:tcPr>
          <w:p w14:paraId="192CB873" w14:textId="77777777" w:rsidR="0017003C" w:rsidRPr="00F13749" w:rsidRDefault="0017003C" w:rsidP="008E3ACC">
            <w:pPr>
              <w:spacing w:before="0" w:after="0"/>
              <w:jc w:val="center"/>
              <w:rPr>
                <w:rFonts w:ascii="Palatino Linotype" w:eastAsia="Times New Roman" w:hAnsi="Palatino Linotype" w:cs="Times New Roman"/>
                <w:color w:val="000000"/>
                <w:sz w:val="22"/>
              </w:rPr>
            </w:pPr>
          </w:p>
        </w:tc>
        <w:tc>
          <w:tcPr>
            <w:tcW w:w="810" w:type="dxa"/>
            <w:tcBorders>
              <w:top w:val="nil"/>
              <w:left w:val="single" w:sz="4" w:space="0" w:color="auto"/>
              <w:bottom w:val="nil"/>
              <w:right w:val="nil"/>
            </w:tcBorders>
            <w:shd w:val="clear" w:color="000000" w:fill="E7E6E6"/>
            <w:noWrap/>
            <w:vAlign w:val="bottom"/>
          </w:tcPr>
          <w:p w14:paraId="63ACD483"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p>
        </w:tc>
      </w:tr>
      <w:tr w:rsidR="0017003C" w:rsidRPr="00F13749" w14:paraId="2A7717DF" w14:textId="77777777" w:rsidTr="008E3ACC">
        <w:trPr>
          <w:trHeight w:val="345"/>
        </w:trPr>
        <w:tc>
          <w:tcPr>
            <w:tcW w:w="1170" w:type="dxa"/>
            <w:tcBorders>
              <w:top w:val="nil"/>
              <w:left w:val="nil"/>
              <w:bottom w:val="nil"/>
              <w:right w:val="nil"/>
            </w:tcBorders>
            <w:shd w:val="clear" w:color="auto" w:fill="auto"/>
            <w:noWrap/>
            <w:vAlign w:val="bottom"/>
            <w:hideMark/>
          </w:tcPr>
          <w:p w14:paraId="54C6328E"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1985</w:t>
            </w:r>
          </w:p>
        </w:tc>
        <w:tc>
          <w:tcPr>
            <w:tcW w:w="990" w:type="dxa"/>
            <w:tcBorders>
              <w:top w:val="nil"/>
              <w:left w:val="nil"/>
              <w:bottom w:val="nil"/>
              <w:right w:val="nil"/>
            </w:tcBorders>
            <w:shd w:val="clear" w:color="auto" w:fill="auto"/>
            <w:noWrap/>
            <w:vAlign w:val="bottom"/>
            <w:hideMark/>
          </w:tcPr>
          <w:p w14:paraId="528E5BE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3A68C9D2"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61133E6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auto" w:fill="auto"/>
            <w:noWrap/>
            <w:vAlign w:val="bottom"/>
            <w:hideMark/>
          </w:tcPr>
          <w:p w14:paraId="3A4DC95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00" w:type="dxa"/>
            <w:tcBorders>
              <w:top w:val="nil"/>
              <w:left w:val="nil"/>
              <w:bottom w:val="nil"/>
              <w:right w:val="nil"/>
            </w:tcBorders>
            <w:shd w:val="clear" w:color="auto" w:fill="auto"/>
            <w:noWrap/>
            <w:vAlign w:val="bottom"/>
            <w:hideMark/>
          </w:tcPr>
          <w:p w14:paraId="5531D2D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73735454"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1</w:t>
            </w:r>
          </w:p>
        </w:tc>
      </w:tr>
      <w:tr w:rsidR="0017003C" w:rsidRPr="00F13749" w14:paraId="60BB62BF" w14:textId="77777777" w:rsidTr="008E3ACC">
        <w:trPr>
          <w:trHeight w:val="105"/>
        </w:trPr>
        <w:tc>
          <w:tcPr>
            <w:tcW w:w="1170" w:type="dxa"/>
            <w:tcBorders>
              <w:top w:val="nil"/>
              <w:left w:val="nil"/>
              <w:bottom w:val="nil"/>
              <w:right w:val="nil"/>
            </w:tcBorders>
            <w:shd w:val="clear" w:color="000000" w:fill="E7E6E6"/>
            <w:noWrap/>
            <w:vAlign w:val="bottom"/>
            <w:hideMark/>
          </w:tcPr>
          <w:p w14:paraId="35DB9B81"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 </w:t>
            </w:r>
          </w:p>
        </w:tc>
        <w:tc>
          <w:tcPr>
            <w:tcW w:w="990" w:type="dxa"/>
            <w:tcBorders>
              <w:top w:val="nil"/>
              <w:left w:val="nil"/>
              <w:bottom w:val="nil"/>
              <w:right w:val="nil"/>
            </w:tcBorders>
            <w:shd w:val="clear" w:color="000000" w:fill="E7E6E6"/>
            <w:noWrap/>
            <w:vAlign w:val="bottom"/>
            <w:hideMark/>
          </w:tcPr>
          <w:p w14:paraId="44E9875E"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000000" w:fill="E7E6E6"/>
            <w:noWrap/>
            <w:vAlign w:val="bottom"/>
            <w:hideMark/>
          </w:tcPr>
          <w:p w14:paraId="4DFB0361"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000000" w:fill="E7E6E6"/>
            <w:noWrap/>
            <w:vAlign w:val="bottom"/>
            <w:hideMark/>
          </w:tcPr>
          <w:p w14:paraId="31BD7F1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000000" w:fill="E7E6E6"/>
            <w:noWrap/>
            <w:vAlign w:val="bottom"/>
            <w:hideMark/>
          </w:tcPr>
          <w:p w14:paraId="4DC1BA46"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000000" w:fill="E7E6E6"/>
            <w:noWrap/>
            <w:vAlign w:val="bottom"/>
            <w:hideMark/>
          </w:tcPr>
          <w:p w14:paraId="1C13E141"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000000" w:fill="E7E6E6"/>
            <w:noWrap/>
            <w:vAlign w:val="bottom"/>
            <w:hideMark/>
          </w:tcPr>
          <w:p w14:paraId="41B53B94"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w:t>
            </w:r>
          </w:p>
        </w:tc>
      </w:tr>
      <w:tr w:rsidR="0017003C" w:rsidRPr="00F13749" w14:paraId="38BC437B" w14:textId="77777777" w:rsidTr="008E3ACC">
        <w:trPr>
          <w:trHeight w:val="345"/>
        </w:trPr>
        <w:tc>
          <w:tcPr>
            <w:tcW w:w="1170" w:type="dxa"/>
            <w:tcBorders>
              <w:top w:val="nil"/>
              <w:left w:val="nil"/>
              <w:bottom w:val="nil"/>
              <w:right w:val="nil"/>
            </w:tcBorders>
            <w:shd w:val="clear" w:color="auto" w:fill="auto"/>
            <w:noWrap/>
            <w:vAlign w:val="bottom"/>
            <w:hideMark/>
          </w:tcPr>
          <w:p w14:paraId="0FC82C41"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1981</w:t>
            </w:r>
          </w:p>
        </w:tc>
        <w:tc>
          <w:tcPr>
            <w:tcW w:w="990" w:type="dxa"/>
            <w:tcBorders>
              <w:top w:val="nil"/>
              <w:left w:val="nil"/>
              <w:bottom w:val="nil"/>
              <w:right w:val="nil"/>
            </w:tcBorders>
            <w:shd w:val="clear" w:color="auto" w:fill="auto"/>
            <w:noWrap/>
            <w:vAlign w:val="bottom"/>
            <w:hideMark/>
          </w:tcPr>
          <w:p w14:paraId="0D567E8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auto" w:fill="auto"/>
            <w:noWrap/>
            <w:vAlign w:val="bottom"/>
            <w:hideMark/>
          </w:tcPr>
          <w:p w14:paraId="4A419EE5"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52798F75"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1080" w:type="dxa"/>
            <w:tcBorders>
              <w:top w:val="nil"/>
              <w:left w:val="nil"/>
              <w:bottom w:val="nil"/>
              <w:right w:val="nil"/>
            </w:tcBorders>
            <w:shd w:val="clear" w:color="auto" w:fill="auto"/>
            <w:noWrap/>
            <w:vAlign w:val="bottom"/>
            <w:hideMark/>
          </w:tcPr>
          <w:p w14:paraId="1C81544C"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auto" w:fill="auto"/>
            <w:noWrap/>
            <w:vAlign w:val="bottom"/>
            <w:hideMark/>
          </w:tcPr>
          <w:p w14:paraId="288BA474"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auto" w:fill="auto"/>
            <w:noWrap/>
            <w:vAlign w:val="bottom"/>
            <w:hideMark/>
          </w:tcPr>
          <w:p w14:paraId="1030BC80"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1</w:t>
            </w:r>
          </w:p>
        </w:tc>
      </w:tr>
      <w:tr w:rsidR="0017003C" w:rsidRPr="00F13749" w14:paraId="753E3EA0" w14:textId="77777777" w:rsidTr="008E3ACC">
        <w:trPr>
          <w:trHeight w:val="105"/>
        </w:trPr>
        <w:tc>
          <w:tcPr>
            <w:tcW w:w="1170" w:type="dxa"/>
            <w:tcBorders>
              <w:top w:val="nil"/>
              <w:left w:val="nil"/>
              <w:bottom w:val="nil"/>
              <w:right w:val="nil"/>
            </w:tcBorders>
            <w:shd w:val="clear" w:color="000000" w:fill="E7E6E6"/>
            <w:noWrap/>
            <w:vAlign w:val="bottom"/>
            <w:hideMark/>
          </w:tcPr>
          <w:p w14:paraId="29759C61"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 </w:t>
            </w:r>
          </w:p>
        </w:tc>
        <w:tc>
          <w:tcPr>
            <w:tcW w:w="990" w:type="dxa"/>
            <w:tcBorders>
              <w:top w:val="nil"/>
              <w:left w:val="nil"/>
              <w:bottom w:val="nil"/>
              <w:right w:val="nil"/>
            </w:tcBorders>
            <w:shd w:val="clear" w:color="000000" w:fill="E7E6E6"/>
            <w:noWrap/>
            <w:vAlign w:val="bottom"/>
            <w:hideMark/>
          </w:tcPr>
          <w:p w14:paraId="1FFCEEC9"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nil"/>
              <w:right w:val="nil"/>
            </w:tcBorders>
            <w:shd w:val="clear" w:color="000000" w:fill="E7E6E6"/>
            <w:noWrap/>
            <w:vAlign w:val="bottom"/>
            <w:hideMark/>
          </w:tcPr>
          <w:p w14:paraId="45615BA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000000" w:fill="E7E6E6"/>
            <w:noWrap/>
            <w:vAlign w:val="bottom"/>
            <w:hideMark/>
          </w:tcPr>
          <w:p w14:paraId="4306E0B4"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nil"/>
              <w:right w:val="nil"/>
            </w:tcBorders>
            <w:shd w:val="clear" w:color="000000" w:fill="E7E6E6"/>
            <w:noWrap/>
            <w:vAlign w:val="bottom"/>
            <w:hideMark/>
          </w:tcPr>
          <w:p w14:paraId="79E71F98"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nil"/>
              <w:right w:val="nil"/>
            </w:tcBorders>
            <w:shd w:val="clear" w:color="000000" w:fill="E7E6E6"/>
            <w:noWrap/>
            <w:vAlign w:val="bottom"/>
            <w:hideMark/>
          </w:tcPr>
          <w:p w14:paraId="32B411F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nil"/>
              <w:right w:val="nil"/>
            </w:tcBorders>
            <w:shd w:val="clear" w:color="000000" w:fill="E7E6E6"/>
            <w:noWrap/>
            <w:vAlign w:val="bottom"/>
            <w:hideMark/>
          </w:tcPr>
          <w:p w14:paraId="4122F5D8"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0</w:t>
            </w:r>
          </w:p>
        </w:tc>
      </w:tr>
      <w:tr w:rsidR="0017003C" w:rsidRPr="00F13749" w14:paraId="2D3D35D1" w14:textId="77777777" w:rsidTr="008E3ACC">
        <w:trPr>
          <w:trHeight w:val="345"/>
        </w:trPr>
        <w:tc>
          <w:tcPr>
            <w:tcW w:w="1170" w:type="dxa"/>
            <w:tcBorders>
              <w:top w:val="nil"/>
              <w:left w:val="nil"/>
              <w:bottom w:val="single" w:sz="4" w:space="0" w:color="auto"/>
              <w:right w:val="nil"/>
            </w:tcBorders>
            <w:shd w:val="clear" w:color="auto" w:fill="auto"/>
            <w:noWrap/>
            <w:vAlign w:val="bottom"/>
            <w:hideMark/>
          </w:tcPr>
          <w:p w14:paraId="6FF57430" w14:textId="77777777" w:rsidR="0017003C" w:rsidRPr="00F13749" w:rsidRDefault="0017003C" w:rsidP="008E3ACC">
            <w:pPr>
              <w:spacing w:before="0" w:after="0"/>
              <w:jc w:val="center"/>
              <w:rPr>
                <w:rFonts w:ascii="Palatino Linotype" w:eastAsia="Times New Roman" w:hAnsi="Palatino Linotype" w:cs="Times New Roman"/>
                <w:i/>
                <w:iCs/>
                <w:color w:val="000000"/>
                <w:sz w:val="22"/>
              </w:rPr>
            </w:pPr>
            <w:r w:rsidRPr="00F13749">
              <w:rPr>
                <w:rFonts w:ascii="Palatino Linotype" w:eastAsia="Times New Roman" w:hAnsi="Palatino Linotype" w:cs="Times New Roman"/>
                <w:i/>
                <w:iCs/>
                <w:color w:val="000000"/>
                <w:sz w:val="22"/>
              </w:rPr>
              <w:t>1977</w:t>
            </w:r>
          </w:p>
        </w:tc>
        <w:tc>
          <w:tcPr>
            <w:tcW w:w="990" w:type="dxa"/>
            <w:tcBorders>
              <w:top w:val="nil"/>
              <w:left w:val="nil"/>
              <w:bottom w:val="single" w:sz="4" w:space="0" w:color="auto"/>
              <w:right w:val="nil"/>
            </w:tcBorders>
            <w:shd w:val="clear" w:color="auto" w:fill="auto"/>
            <w:noWrap/>
            <w:vAlign w:val="bottom"/>
            <w:hideMark/>
          </w:tcPr>
          <w:p w14:paraId="36773D3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90" w:type="dxa"/>
            <w:tcBorders>
              <w:top w:val="nil"/>
              <w:left w:val="nil"/>
              <w:bottom w:val="single" w:sz="4" w:space="0" w:color="auto"/>
              <w:right w:val="nil"/>
            </w:tcBorders>
            <w:shd w:val="clear" w:color="auto" w:fill="auto"/>
            <w:noWrap/>
            <w:vAlign w:val="bottom"/>
            <w:hideMark/>
          </w:tcPr>
          <w:p w14:paraId="1774307D"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900" w:type="dxa"/>
            <w:tcBorders>
              <w:top w:val="nil"/>
              <w:left w:val="nil"/>
              <w:bottom w:val="single" w:sz="4" w:space="0" w:color="auto"/>
              <w:right w:val="nil"/>
            </w:tcBorders>
            <w:shd w:val="clear" w:color="auto" w:fill="auto"/>
            <w:noWrap/>
            <w:vAlign w:val="bottom"/>
            <w:hideMark/>
          </w:tcPr>
          <w:p w14:paraId="5F74E627"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1080" w:type="dxa"/>
            <w:tcBorders>
              <w:top w:val="nil"/>
              <w:left w:val="nil"/>
              <w:bottom w:val="single" w:sz="4" w:space="0" w:color="auto"/>
              <w:right w:val="nil"/>
            </w:tcBorders>
            <w:shd w:val="clear" w:color="auto" w:fill="auto"/>
            <w:noWrap/>
            <w:vAlign w:val="bottom"/>
            <w:hideMark/>
          </w:tcPr>
          <w:p w14:paraId="22AE4F98"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1</w:t>
            </w:r>
          </w:p>
        </w:tc>
        <w:tc>
          <w:tcPr>
            <w:tcW w:w="900" w:type="dxa"/>
            <w:tcBorders>
              <w:top w:val="nil"/>
              <w:left w:val="nil"/>
              <w:bottom w:val="single" w:sz="4" w:space="0" w:color="auto"/>
              <w:right w:val="nil"/>
            </w:tcBorders>
            <w:shd w:val="clear" w:color="auto" w:fill="auto"/>
            <w:noWrap/>
            <w:vAlign w:val="bottom"/>
            <w:hideMark/>
          </w:tcPr>
          <w:p w14:paraId="14304380" w14:textId="77777777" w:rsidR="0017003C" w:rsidRPr="00F13749" w:rsidRDefault="0017003C" w:rsidP="008E3ACC">
            <w:pPr>
              <w:spacing w:before="0" w:after="0"/>
              <w:jc w:val="center"/>
              <w:rPr>
                <w:rFonts w:ascii="Palatino Linotype" w:eastAsia="Times New Roman" w:hAnsi="Palatino Linotype" w:cs="Times New Roman"/>
                <w:color w:val="000000"/>
                <w:sz w:val="22"/>
              </w:rPr>
            </w:pPr>
            <w:r w:rsidRPr="00F13749">
              <w:rPr>
                <w:rFonts w:ascii="Palatino Linotype" w:eastAsia="Times New Roman" w:hAnsi="Palatino Linotype" w:cs="Times New Roman"/>
                <w:color w:val="000000"/>
                <w:sz w:val="22"/>
              </w:rPr>
              <w:t>-</w:t>
            </w:r>
          </w:p>
        </w:tc>
        <w:tc>
          <w:tcPr>
            <w:tcW w:w="810" w:type="dxa"/>
            <w:tcBorders>
              <w:top w:val="nil"/>
              <w:left w:val="single" w:sz="4" w:space="0" w:color="auto"/>
              <w:bottom w:val="single" w:sz="4" w:space="0" w:color="auto"/>
              <w:right w:val="nil"/>
            </w:tcBorders>
            <w:shd w:val="clear" w:color="auto" w:fill="auto"/>
            <w:noWrap/>
            <w:vAlign w:val="bottom"/>
            <w:hideMark/>
          </w:tcPr>
          <w:p w14:paraId="1A9A51B4"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1</w:t>
            </w:r>
          </w:p>
        </w:tc>
      </w:tr>
      <w:tr w:rsidR="0017003C" w:rsidRPr="00F13749" w14:paraId="4ED42BA2" w14:textId="77777777" w:rsidTr="008E3ACC">
        <w:trPr>
          <w:trHeight w:val="345"/>
        </w:trPr>
        <w:tc>
          <w:tcPr>
            <w:tcW w:w="1170" w:type="dxa"/>
            <w:tcBorders>
              <w:top w:val="nil"/>
              <w:left w:val="nil"/>
              <w:bottom w:val="single" w:sz="4" w:space="0" w:color="auto"/>
              <w:right w:val="nil"/>
            </w:tcBorders>
            <w:shd w:val="clear" w:color="auto" w:fill="auto"/>
            <w:noWrap/>
            <w:vAlign w:val="bottom"/>
            <w:hideMark/>
          </w:tcPr>
          <w:p w14:paraId="20465B16"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 xml:space="preserve">Total </w:t>
            </w:r>
          </w:p>
        </w:tc>
        <w:tc>
          <w:tcPr>
            <w:tcW w:w="990" w:type="dxa"/>
            <w:tcBorders>
              <w:top w:val="nil"/>
              <w:left w:val="nil"/>
              <w:bottom w:val="single" w:sz="4" w:space="0" w:color="auto"/>
              <w:right w:val="nil"/>
            </w:tcBorders>
            <w:shd w:val="clear" w:color="auto" w:fill="auto"/>
            <w:noWrap/>
            <w:vAlign w:val="bottom"/>
            <w:hideMark/>
          </w:tcPr>
          <w:p w14:paraId="46210B65"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8</w:t>
            </w:r>
          </w:p>
        </w:tc>
        <w:tc>
          <w:tcPr>
            <w:tcW w:w="990" w:type="dxa"/>
            <w:tcBorders>
              <w:top w:val="nil"/>
              <w:left w:val="nil"/>
              <w:bottom w:val="single" w:sz="4" w:space="0" w:color="auto"/>
              <w:right w:val="nil"/>
            </w:tcBorders>
            <w:shd w:val="clear" w:color="auto" w:fill="auto"/>
            <w:noWrap/>
            <w:vAlign w:val="bottom"/>
            <w:hideMark/>
          </w:tcPr>
          <w:p w14:paraId="7CBF0891"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9</w:t>
            </w:r>
          </w:p>
        </w:tc>
        <w:tc>
          <w:tcPr>
            <w:tcW w:w="900" w:type="dxa"/>
            <w:tcBorders>
              <w:top w:val="nil"/>
              <w:left w:val="nil"/>
              <w:bottom w:val="single" w:sz="4" w:space="0" w:color="auto"/>
              <w:right w:val="nil"/>
            </w:tcBorders>
            <w:shd w:val="clear" w:color="auto" w:fill="auto"/>
            <w:noWrap/>
            <w:vAlign w:val="bottom"/>
            <w:hideMark/>
          </w:tcPr>
          <w:p w14:paraId="47B88B93"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9</w:t>
            </w:r>
          </w:p>
        </w:tc>
        <w:tc>
          <w:tcPr>
            <w:tcW w:w="1080" w:type="dxa"/>
            <w:tcBorders>
              <w:top w:val="nil"/>
              <w:left w:val="nil"/>
              <w:bottom w:val="single" w:sz="4" w:space="0" w:color="auto"/>
              <w:right w:val="nil"/>
            </w:tcBorders>
            <w:shd w:val="clear" w:color="auto" w:fill="auto"/>
            <w:noWrap/>
            <w:vAlign w:val="bottom"/>
            <w:hideMark/>
          </w:tcPr>
          <w:p w14:paraId="0DCF6BA2"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8</w:t>
            </w:r>
          </w:p>
        </w:tc>
        <w:tc>
          <w:tcPr>
            <w:tcW w:w="900" w:type="dxa"/>
            <w:tcBorders>
              <w:top w:val="nil"/>
              <w:left w:val="nil"/>
              <w:bottom w:val="single" w:sz="4" w:space="0" w:color="auto"/>
              <w:right w:val="nil"/>
            </w:tcBorders>
            <w:shd w:val="clear" w:color="auto" w:fill="auto"/>
            <w:noWrap/>
            <w:vAlign w:val="bottom"/>
            <w:hideMark/>
          </w:tcPr>
          <w:p w14:paraId="6960E889"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8</w:t>
            </w:r>
          </w:p>
        </w:tc>
        <w:tc>
          <w:tcPr>
            <w:tcW w:w="810" w:type="dxa"/>
            <w:tcBorders>
              <w:top w:val="nil"/>
              <w:left w:val="single" w:sz="4" w:space="0" w:color="auto"/>
              <w:bottom w:val="single" w:sz="4" w:space="0" w:color="auto"/>
              <w:right w:val="nil"/>
            </w:tcBorders>
            <w:shd w:val="clear" w:color="auto" w:fill="auto"/>
            <w:noWrap/>
            <w:vAlign w:val="bottom"/>
            <w:hideMark/>
          </w:tcPr>
          <w:p w14:paraId="45C5C2EF" w14:textId="77777777" w:rsidR="0017003C" w:rsidRPr="00F13749" w:rsidRDefault="0017003C" w:rsidP="008E3ACC">
            <w:pPr>
              <w:spacing w:before="0" w:after="0"/>
              <w:jc w:val="center"/>
              <w:rPr>
                <w:rFonts w:ascii="Palatino Linotype" w:eastAsia="Times New Roman" w:hAnsi="Palatino Linotype" w:cs="Times New Roman"/>
                <w:b/>
                <w:bCs/>
                <w:color w:val="000000"/>
                <w:sz w:val="22"/>
              </w:rPr>
            </w:pPr>
            <w:r w:rsidRPr="00F13749">
              <w:rPr>
                <w:rFonts w:ascii="Palatino Linotype" w:eastAsia="Times New Roman" w:hAnsi="Palatino Linotype" w:cs="Times New Roman"/>
                <w:b/>
                <w:bCs/>
                <w:color w:val="000000"/>
                <w:sz w:val="22"/>
              </w:rPr>
              <w:t>42</w:t>
            </w:r>
          </w:p>
        </w:tc>
      </w:tr>
    </w:tbl>
    <w:p w14:paraId="1F483F82" w14:textId="77777777" w:rsidR="0017003C" w:rsidRDefault="0017003C" w:rsidP="0017003C">
      <w:pPr>
        <w:pStyle w:val="Heading1"/>
        <w:numPr>
          <w:ilvl w:val="0"/>
          <w:numId w:val="0"/>
        </w:numPr>
        <w:ind w:left="567" w:hanging="567"/>
      </w:pPr>
    </w:p>
    <w:p w14:paraId="278F4F91" w14:textId="18F6B55C" w:rsidR="004A397A" w:rsidRDefault="004A397A" w:rsidP="00504E16">
      <w:pPr>
        <w:pStyle w:val="Heading1"/>
        <w:keepNext/>
        <w:numPr>
          <w:ilvl w:val="0"/>
          <w:numId w:val="0"/>
        </w:numPr>
        <w:spacing w:before="0" w:after="120"/>
        <w:jc w:val="both"/>
        <w:rPr>
          <w:b w:val="0"/>
        </w:rPr>
      </w:pPr>
      <w:r>
        <w:lastRenderedPageBreak/>
        <w:t>Supplementary Table S3:</w:t>
      </w:r>
      <w:r>
        <w:rPr>
          <w:b w:val="0"/>
        </w:rPr>
        <w:t xml:space="preserve"> Indicator Values (</w:t>
      </w:r>
      <w:proofErr w:type="spellStart"/>
      <w:r>
        <w:rPr>
          <w:b w:val="0"/>
        </w:rPr>
        <w:t>IndVal</w:t>
      </w:r>
      <w:proofErr w:type="spellEnd"/>
      <w:r>
        <w:rPr>
          <w:b w:val="0"/>
        </w:rPr>
        <w:t xml:space="preserve">) for the top </w:t>
      </w:r>
      <w:proofErr w:type="gramStart"/>
      <w:r>
        <w:rPr>
          <w:b w:val="0"/>
        </w:rPr>
        <w:t>20</w:t>
      </w:r>
      <w:r w:rsidR="00805649">
        <w:rPr>
          <w:b w:val="0"/>
        </w:rPr>
        <w:t xml:space="preserve"> benthic</w:t>
      </w:r>
      <w:proofErr w:type="gramEnd"/>
      <w:r w:rsidR="00805649">
        <w:rPr>
          <w:b w:val="0"/>
        </w:rPr>
        <w:t xml:space="preserve"> foraminifera</w:t>
      </w:r>
      <w:r>
        <w:rPr>
          <w:b w:val="0"/>
        </w:rPr>
        <w:t xml:space="preserve"> taxa selected to represent the time periods before and after the DWH event.</w:t>
      </w:r>
      <w:r w:rsidR="00745645">
        <w:rPr>
          <w:b w:val="0"/>
        </w:rPr>
        <w:t xml:space="preserve"> Indicator values range from 0-100, and are interpreted as percentages where </w:t>
      </w:r>
      <w:proofErr w:type="spellStart"/>
      <w:r w:rsidR="00745645">
        <w:rPr>
          <w:b w:val="0"/>
        </w:rPr>
        <w:t>IndVal</w:t>
      </w:r>
      <w:proofErr w:type="spellEnd"/>
      <w:r w:rsidR="00745645">
        <w:rPr>
          <w:b w:val="0"/>
        </w:rPr>
        <w:t xml:space="preserve"> = 100 represents a “perfect” indicator for a </w:t>
      </w:r>
      <w:r w:rsidR="0095079F">
        <w:rPr>
          <w:b w:val="0"/>
        </w:rPr>
        <w:t>particular factor level</w:t>
      </w:r>
      <w:r w:rsidR="00745645">
        <w:rPr>
          <w:b w:val="0"/>
        </w:rPr>
        <w:t>.</w:t>
      </w:r>
    </w:p>
    <w:tbl>
      <w:tblPr>
        <w:tblW w:w="6870" w:type="dxa"/>
        <w:tblInd w:w="108" w:type="dxa"/>
        <w:tblLook w:val="04A0" w:firstRow="1" w:lastRow="0" w:firstColumn="1" w:lastColumn="0" w:noHBand="0" w:noVBand="1"/>
      </w:tblPr>
      <w:tblGrid>
        <w:gridCol w:w="2970"/>
        <w:gridCol w:w="1580"/>
        <w:gridCol w:w="1120"/>
        <w:gridCol w:w="1200"/>
      </w:tblGrid>
      <w:tr w:rsidR="00745645" w:rsidRPr="00745645" w14:paraId="346E7070" w14:textId="77777777" w:rsidTr="00504E16">
        <w:trPr>
          <w:trHeight w:val="310"/>
        </w:trPr>
        <w:tc>
          <w:tcPr>
            <w:tcW w:w="2970" w:type="dxa"/>
            <w:tcBorders>
              <w:top w:val="single" w:sz="4" w:space="0" w:color="auto"/>
              <w:left w:val="nil"/>
              <w:bottom w:val="single" w:sz="4" w:space="0" w:color="auto"/>
              <w:right w:val="nil"/>
            </w:tcBorders>
            <w:shd w:val="clear" w:color="auto" w:fill="auto"/>
            <w:noWrap/>
            <w:vAlign w:val="center"/>
            <w:hideMark/>
          </w:tcPr>
          <w:p w14:paraId="2F92DC36" w14:textId="77777777" w:rsidR="00745645" w:rsidRPr="00745645" w:rsidRDefault="00745645" w:rsidP="00504E16">
            <w:pPr>
              <w:spacing w:before="0" w:after="0"/>
              <w:jc w:val="right"/>
              <w:rPr>
                <w:rFonts w:ascii="Palatino Linotype" w:eastAsia="Times New Roman" w:hAnsi="Palatino Linotype" w:cs="Calibri"/>
                <w:b/>
                <w:bCs/>
                <w:color w:val="000000"/>
                <w:sz w:val="22"/>
              </w:rPr>
            </w:pPr>
            <w:r w:rsidRPr="00745645">
              <w:rPr>
                <w:rFonts w:ascii="Palatino Linotype" w:eastAsia="Times New Roman" w:hAnsi="Palatino Linotype" w:cs="Calibri"/>
                <w:b/>
                <w:bCs/>
                <w:color w:val="000000"/>
                <w:sz w:val="22"/>
              </w:rPr>
              <w:t>Representative Taxa</w:t>
            </w:r>
          </w:p>
        </w:tc>
        <w:tc>
          <w:tcPr>
            <w:tcW w:w="1580" w:type="dxa"/>
            <w:tcBorders>
              <w:top w:val="single" w:sz="4" w:space="0" w:color="auto"/>
              <w:left w:val="nil"/>
              <w:bottom w:val="single" w:sz="4" w:space="0" w:color="auto"/>
              <w:right w:val="nil"/>
            </w:tcBorders>
            <w:shd w:val="clear" w:color="auto" w:fill="auto"/>
            <w:noWrap/>
            <w:vAlign w:val="center"/>
            <w:hideMark/>
          </w:tcPr>
          <w:p w14:paraId="3016CF39" w14:textId="77777777" w:rsidR="00745645" w:rsidRPr="00745645" w:rsidRDefault="00745645" w:rsidP="00504E16">
            <w:pPr>
              <w:spacing w:before="0" w:after="0"/>
              <w:jc w:val="right"/>
              <w:rPr>
                <w:rFonts w:ascii="Palatino Linotype" w:eastAsia="Times New Roman" w:hAnsi="Palatino Linotype" w:cs="Calibri"/>
                <w:b/>
                <w:bCs/>
                <w:color w:val="000000"/>
                <w:sz w:val="22"/>
              </w:rPr>
            </w:pPr>
            <w:proofErr w:type="spellStart"/>
            <w:r w:rsidRPr="00745645">
              <w:rPr>
                <w:rFonts w:ascii="Palatino Linotype" w:eastAsia="Times New Roman" w:hAnsi="Palatino Linotype" w:cs="Calibri"/>
                <w:b/>
                <w:bCs/>
                <w:color w:val="000000"/>
                <w:sz w:val="22"/>
              </w:rPr>
              <w:t>IndVal</w:t>
            </w:r>
            <w:proofErr w:type="spellEnd"/>
            <w:r w:rsidRPr="00745645">
              <w:rPr>
                <w:rFonts w:ascii="Palatino Linotype" w:eastAsia="Times New Roman" w:hAnsi="Palatino Linotype" w:cs="Calibri"/>
                <w:b/>
                <w:bCs/>
                <w:color w:val="000000"/>
                <w:sz w:val="22"/>
              </w:rPr>
              <w:t xml:space="preserve">     </w:t>
            </w:r>
          </w:p>
        </w:tc>
        <w:tc>
          <w:tcPr>
            <w:tcW w:w="1120" w:type="dxa"/>
            <w:tcBorders>
              <w:top w:val="single" w:sz="4" w:space="0" w:color="auto"/>
              <w:left w:val="nil"/>
              <w:bottom w:val="single" w:sz="4" w:space="0" w:color="auto"/>
              <w:right w:val="nil"/>
            </w:tcBorders>
            <w:shd w:val="clear" w:color="auto" w:fill="auto"/>
            <w:noWrap/>
            <w:vAlign w:val="center"/>
            <w:hideMark/>
          </w:tcPr>
          <w:p w14:paraId="76187BBF" w14:textId="77777777" w:rsidR="00745645" w:rsidRPr="00745645" w:rsidRDefault="00745645" w:rsidP="00504E16">
            <w:pPr>
              <w:spacing w:before="0" w:after="0"/>
              <w:jc w:val="right"/>
              <w:rPr>
                <w:rFonts w:ascii="Palatino Linotype" w:eastAsia="Times New Roman" w:hAnsi="Palatino Linotype" w:cs="Calibri"/>
                <w:b/>
                <w:bCs/>
                <w:color w:val="000000"/>
                <w:sz w:val="22"/>
              </w:rPr>
            </w:pPr>
            <w:proofErr w:type="gramStart"/>
            <w:r w:rsidRPr="00745645">
              <w:rPr>
                <w:rFonts w:ascii="Palatino Linotype" w:eastAsia="Times New Roman" w:hAnsi="Palatino Linotype" w:cs="Calibri"/>
                <w:b/>
                <w:bCs/>
                <w:i/>
                <w:iCs/>
                <w:color w:val="000000"/>
                <w:sz w:val="22"/>
              </w:rPr>
              <w:t>p</w:t>
            </w:r>
            <w:proofErr w:type="gramEnd"/>
            <w:r w:rsidRPr="00745645">
              <w:rPr>
                <w:rFonts w:ascii="Palatino Linotype" w:eastAsia="Times New Roman" w:hAnsi="Palatino Linotype" w:cs="Calibri"/>
                <w:b/>
                <w:bCs/>
                <w:color w:val="000000"/>
                <w:sz w:val="22"/>
              </w:rPr>
              <w:t>-Value</w:t>
            </w:r>
          </w:p>
        </w:tc>
        <w:tc>
          <w:tcPr>
            <w:tcW w:w="1200" w:type="dxa"/>
            <w:tcBorders>
              <w:top w:val="single" w:sz="4" w:space="0" w:color="auto"/>
              <w:left w:val="nil"/>
              <w:bottom w:val="single" w:sz="4" w:space="0" w:color="auto"/>
              <w:right w:val="nil"/>
            </w:tcBorders>
            <w:shd w:val="clear" w:color="auto" w:fill="auto"/>
            <w:noWrap/>
            <w:vAlign w:val="center"/>
            <w:hideMark/>
          </w:tcPr>
          <w:p w14:paraId="24503783" w14:textId="77777777" w:rsidR="00745645" w:rsidRPr="00745645" w:rsidRDefault="00745645" w:rsidP="00504E16">
            <w:pPr>
              <w:spacing w:before="0" w:after="0"/>
              <w:jc w:val="right"/>
              <w:rPr>
                <w:rFonts w:ascii="Palatino Linotype" w:eastAsia="Times New Roman" w:hAnsi="Palatino Linotype" w:cs="Calibri"/>
                <w:b/>
                <w:bCs/>
                <w:color w:val="000000"/>
                <w:sz w:val="22"/>
              </w:rPr>
            </w:pPr>
            <w:r w:rsidRPr="00745645">
              <w:rPr>
                <w:rFonts w:ascii="Palatino Linotype" w:eastAsia="Times New Roman" w:hAnsi="Palatino Linotype" w:cs="Calibri"/>
                <w:b/>
                <w:bCs/>
                <w:color w:val="000000"/>
                <w:sz w:val="22"/>
              </w:rPr>
              <w:t>Group</w:t>
            </w:r>
          </w:p>
        </w:tc>
      </w:tr>
      <w:tr w:rsidR="00745645" w:rsidRPr="00745645" w14:paraId="53677853" w14:textId="77777777" w:rsidTr="00504E16">
        <w:trPr>
          <w:trHeight w:val="310"/>
        </w:trPr>
        <w:tc>
          <w:tcPr>
            <w:tcW w:w="2970" w:type="dxa"/>
            <w:tcBorders>
              <w:top w:val="nil"/>
              <w:left w:val="nil"/>
              <w:bottom w:val="nil"/>
              <w:right w:val="nil"/>
            </w:tcBorders>
            <w:shd w:val="clear" w:color="auto" w:fill="auto"/>
            <w:noWrap/>
            <w:vAlign w:val="center"/>
            <w:hideMark/>
          </w:tcPr>
          <w:p w14:paraId="0BDC35FB"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 xml:space="preserve">'Cibicidoides </w:t>
            </w:r>
            <w:proofErr w:type="spellStart"/>
            <w:proofErr w:type="gramStart"/>
            <w:r w:rsidRPr="00745645">
              <w:rPr>
                <w:rFonts w:ascii="Palatino Linotype" w:eastAsia="Times New Roman" w:hAnsi="Palatino Linotype" w:cs="Calibri"/>
                <w:i/>
                <w:iCs/>
                <w:color w:val="000000"/>
                <w:sz w:val="22"/>
              </w:rPr>
              <w:t>pachyderma</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1A0FA7FE"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62.2</w:t>
            </w:r>
          </w:p>
        </w:tc>
        <w:tc>
          <w:tcPr>
            <w:tcW w:w="1120" w:type="dxa"/>
            <w:tcBorders>
              <w:top w:val="nil"/>
              <w:left w:val="nil"/>
              <w:bottom w:val="nil"/>
              <w:right w:val="nil"/>
            </w:tcBorders>
            <w:shd w:val="clear" w:color="auto" w:fill="auto"/>
            <w:noWrap/>
            <w:vAlign w:val="center"/>
            <w:hideMark/>
          </w:tcPr>
          <w:p w14:paraId="65AC6B86"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0.0031</w:t>
            </w:r>
          </w:p>
        </w:tc>
        <w:tc>
          <w:tcPr>
            <w:tcW w:w="1200" w:type="dxa"/>
            <w:tcBorders>
              <w:top w:val="nil"/>
              <w:left w:val="nil"/>
              <w:bottom w:val="nil"/>
              <w:right w:val="nil"/>
            </w:tcBorders>
            <w:shd w:val="clear" w:color="auto" w:fill="auto"/>
            <w:noWrap/>
            <w:vAlign w:val="center"/>
            <w:hideMark/>
          </w:tcPr>
          <w:p w14:paraId="22A5F2FC"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6BA0779C" w14:textId="77777777" w:rsidTr="00504E16">
        <w:trPr>
          <w:trHeight w:val="310"/>
        </w:trPr>
        <w:tc>
          <w:tcPr>
            <w:tcW w:w="2970" w:type="dxa"/>
            <w:tcBorders>
              <w:top w:val="nil"/>
              <w:left w:val="nil"/>
              <w:bottom w:val="nil"/>
              <w:right w:val="nil"/>
            </w:tcBorders>
            <w:shd w:val="clear" w:color="auto" w:fill="auto"/>
            <w:noWrap/>
            <w:vAlign w:val="center"/>
            <w:hideMark/>
          </w:tcPr>
          <w:p w14:paraId="437FECA2"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Chilostomella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oolina</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1DA5CC95"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61.0</w:t>
            </w:r>
          </w:p>
        </w:tc>
        <w:tc>
          <w:tcPr>
            <w:tcW w:w="1120" w:type="dxa"/>
            <w:tcBorders>
              <w:top w:val="nil"/>
              <w:left w:val="nil"/>
              <w:bottom w:val="nil"/>
              <w:right w:val="nil"/>
            </w:tcBorders>
            <w:shd w:val="clear" w:color="auto" w:fill="auto"/>
            <w:noWrap/>
            <w:vAlign w:val="center"/>
            <w:hideMark/>
          </w:tcPr>
          <w:p w14:paraId="7CA63FC6"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0.0020</w:t>
            </w:r>
          </w:p>
        </w:tc>
        <w:tc>
          <w:tcPr>
            <w:tcW w:w="1200" w:type="dxa"/>
            <w:tcBorders>
              <w:top w:val="nil"/>
              <w:left w:val="nil"/>
              <w:bottom w:val="nil"/>
              <w:right w:val="nil"/>
            </w:tcBorders>
            <w:shd w:val="clear" w:color="auto" w:fill="auto"/>
            <w:noWrap/>
            <w:vAlign w:val="center"/>
            <w:hideMark/>
          </w:tcPr>
          <w:p w14:paraId="10E9925B"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4F790F6D" w14:textId="77777777" w:rsidTr="00504E16">
        <w:trPr>
          <w:trHeight w:val="310"/>
        </w:trPr>
        <w:tc>
          <w:tcPr>
            <w:tcW w:w="2970" w:type="dxa"/>
            <w:tcBorders>
              <w:top w:val="nil"/>
              <w:left w:val="nil"/>
              <w:bottom w:val="nil"/>
              <w:right w:val="nil"/>
            </w:tcBorders>
            <w:shd w:val="clear" w:color="auto" w:fill="auto"/>
            <w:noWrap/>
            <w:vAlign w:val="center"/>
            <w:hideMark/>
          </w:tcPr>
          <w:p w14:paraId="0619919D"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Osangularia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culter</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1DF3E3EB"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59.7</w:t>
            </w:r>
          </w:p>
        </w:tc>
        <w:tc>
          <w:tcPr>
            <w:tcW w:w="1120" w:type="dxa"/>
            <w:tcBorders>
              <w:top w:val="nil"/>
              <w:left w:val="nil"/>
              <w:bottom w:val="nil"/>
              <w:right w:val="nil"/>
            </w:tcBorders>
            <w:shd w:val="clear" w:color="auto" w:fill="auto"/>
            <w:noWrap/>
            <w:vAlign w:val="center"/>
            <w:hideMark/>
          </w:tcPr>
          <w:p w14:paraId="307B6478"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0.0078</w:t>
            </w:r>
          </w:p>
        </w:tc>
        <w:tc>
          <w:tcPr>
            <w:tcW w:w="1200" w:type="dxa"/>
            <w:tcBorders>
              <w:top w:val="nil"/>
              <w:left w:val="nil"/>
              <w:bottom w:val="nil"/>
              <w:right w:val="nil"/>
            </w:tcBorders>
            <w:shd w:val="clear" w:color="auto" w:fill="auto"/>
            <w:noWrap/>
            <w:vAlign w:val="center"/>
            <w:hideMark/>
          </w:tcPr>
          <w:p w14:paraId="08CA2EFB"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3472A34C" w14:textId="77777777" w:rsidTr="00504E16">
        <w:trPr>
          <w:trHeight w:val="310"/>
        </w:trPr>
        <w:tc>
          <w:tcPr>
            <w:tcW w:w="2970" w:type="dxa"/>
            <w:tcBorders>
              <w:top w:val="nil"/>
              <w:left w:val="nil"/>
              <w:bottom w:val="nil"/>
              <w:right w:val="nil"/>
            </w:tcBorders>
            <w:shd w:val="clear" w:color="auto" w:fill="auto"/>
            <w:noWrap/>
            <w:vAlign w:val="center"/>
            <w:hideMark/>
          </w:tcPr>
          <w:p w14:paraId="7251A3EF"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Bulimina</w:t>
            </w:r>
            <w:proofErr w:type="spellEnd"/>
            <w:r w:rsidRPr="00745645">
              <w:rPr>
                <w:rFonts w:ascii="Palatino Linotype" w:eastAsia="Times New Roman" w:hAnsi="Palatino Linotype" w:cs="Calibri"/>
                <w:i/>
                <w:iCs/>
                <w:color w:val="000000"/>
                <w:sz w:val="22"/>
              </w:rPr>
              <w:t xml:space="preserve"> </w:t>
            </w:r>
            <w:proofErr w:type="spellStart"/>
            <w:r w:rsidRPr="00745645">
              <w:rPr>
                <w:rFonts w:ascii="Palatino Linotype" w:eastAsia="Times New Roman" w:hAnsi="Palatino Linotype" w:cs="Calibri"/>
                <w:i/>
                <w:iCs/>
                <w:color w:val="000000"/>
                <w:sz w:val="22"/>
              </w:rPr>
              <w:t>striata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mexicana</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410AF1C6"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57.3</w:t>
            </w:r>
          </w:p>
        </w:tc>
        <w:tc>
          <w:tcPr>
            <w:tcW w:w="1120" w:type="dxa"/>
            <w:tcBorders>
              <w:top w:val="nil"/>
              <w:left w:val="nil"/>
              <w:bottom w:val="nil"/>
              <w:right w:val="nil"/>
            </w:tcBorders>
            <w:shd w:val="clear" w:color="auto" w:fill="auto"/>
            <w:noWrap/>
            <w:vAlign w:val="center"/>
            <w:hideMark/>
          </w:tcPr>
          <w:p w14:paraId="5BEA0CC6"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0.0273</w:t>
            </w:r>
          </w:p>
        </w:tc>
        <w:tc>
          <w:tcPr>
            <w:tcW w:w="1200" w:type="dxa"/>
            <w:tcBorders>
              <w:top w:val="nil"/>
              <w:left w:val="nil"/>
              <w:bottom w:val="nil"/>
              <w:right w:val="nil"/>
            </w:tcBorders>
            <w:shd w:val="clear" w:color="auto" w:fill="auto"/>
            <w:noWrap/>
            <w:vAlign w:val="center"/>
            <w:hideMark/>
          </w:tcPr>
          <w:p w14:paraId="3CF8EB96"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1A8E3877" w14:textId="77777777" w:rsidTr="00504E16">
        <w:trPr>
          <w:trHeight w:val="310"/>
        </w:trPr>
        <w:tc>
          <w:tcPr>
            <w:tcW w:w="2970" w:type="dxa"/>
            <w:tcBorders>
              <w:top w:val="nil"/>
              <w:left w:val="nil"/>
              <w:bottom w:val="nil"/>
              <w:right w:val="nil"/>
            </w:tcBorders>
            <w:shd w:val="clear" w:color="auto" w:fill="auto"/>
            <w:noWrap/>
            <w:vAlign w:val="center"/>
            <w:hideMark/>
          </w:tcPr>
          <w:p w14:paraId="2CEF713A"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Bolivina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lowmani</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78D79702"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55.6</w:t>
            </w:r>
          </w:p>
        </w:tc>
        <w:tc>
          <w:tcPr>
            <w:tcW w:w="1120" w:type="dxa"/>
            <w:tcBorders>
              <w:top w:val="nil"/>
              <w:left w:val="nil"/>
              <w:bottom w:val="nil"/>
              <w:right w:val="nil"/>
            </w:tcBorders>
            <w:shd w:val="clear" w:color="auto" w:fill="auto"/>
            <w:noWrap/>
            <w:vAlign w:val="center"/>
            <w:hideMark/>
          </w:tcPr>
          <w:p w14:paraId="01C918DF"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0.0017</w:t>
            </w:r>
          </w:p>
        </w:tc>
        <w:tc>
          <w:tcPr>
            <w:tcW w:w="1200" w:type="dxa"/>
            <w:tcBorders>
              <w:top w:val="nil"/>
              <w:left w:val="nil"/>
              <w:bottom w:val="nil"/>
              <w:right w:val="nil"/>
            </w:tcBorders>
            <w:shd w:val="clear" w:color="auto" w:fill="auto"/>
            <w:noWrap/>
            <w:vAlign w:val="center"/>
            <w:hideMark/>
          </w:tcPr>
          <w:p w14:paraId="1ACBE148"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217FE6FA" w14:textId="77777777" w:rsidTr="00504E16">
        <w:trPr>
          <w:trHeight w:val="310"/>
        </w:trPr>
        <w:tc>
          <w:tcPr>
            <w:tcW w:w="2970" w:type="dxa"/>
            <w:tcBorders>
              <w:top w:val="nil"/>
              <w:left w:val="nil"/>
              <w:bottom w:val="nil"/>
              <w:right w:val="nil"/>
            </w:tcBorders>
            <w:shd w:val="clear" w:color="auto" w:fill="auto"/>
            <w:noWrap/>
            <w:vAlign w:val="center"/>
            <w:hideMark/>
          </w:tcPr>
          <w:p w14:paraId="5D18E546"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Lenticulina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convergens</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1F20A98A"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55.0</w:t>
            </w:r>
          </w:p>
        </w:tc>
        <w:tc>
          <w:tcPr>
            <w:tcW w:w="1120" w:type="dxa"/>
            <w:tcBorders>
              <w:top w:val="nil"/>
              <w:left w:val="nil"/>
              <w:bottom w:val="nil"/>
              <w:right w:val="nil"/>
            </w:tcBorders>
            <w:shd w:val="clear" w:color="auto" w:fill="auto"/>
            <w:noWrap/>
            <w:vAlign w:val="center"/>
            <w:hideMark/>
          </w:tcPr>
          <w:p w14:paraId="4314D751"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0.0015</w:t>
            </w:r>
          </w:p>
        </w:tc>
        <w:tc>
          <w:tcPr>
            <w:tcW w:w="1200" w:type="dxa"/>
            <w:tcBorders>
              <w:top w:val="nil"/>
              <w:left w:val="nil"/>
              <w:bottom w:val="nil"/>
              <w:right w:val="nil"/>
            </w:tcBorders>
            <w:shd w:val="clear" w:color="auto" w:fill="auto"/>
            <w:noWrap/>
            <w:vAlign w:val="center"/>
            <w:hideMark/>
          </w:tcPr>
          <w:p w14:paraId="11952382"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70963E0D" w14:textId="77777777" w:rsidTr="00504E16">
        <w:trPr>
          <w:trHeight w:val="310"/>
        </w:trPr>
        <w:tc>
          <w:tcPr>
            <w:tcW w:w="2970" w:type="dxa"/>
            <w:tcBorders>
              <w:top w:val="nil"/>
              <w:left w:val="nil"/>
              <w:bottom w:val="nil"/>
              <w:right w:val="nil"/>
            </w:tcBorders>
            <w:shd w:val="clear" w:color="auto" w:fill="auto"/>
            <w:noWrap/>
            <w:vAlign w:val="center"/>
            <w:hideMark/>
          </w:tcPr>
          <w:p w14:paraId="42CCD9DD"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Cassidulina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reniforme</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47CED358"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54.9</w:t>
            </w:r>
          </w:p>
        </w:tc>
        <w:tc>
          <w:tcPr>
            <w:tcW w:w="1120" w:type="dxa"/>
            <w:tcBorders>
              <w:top w:val="nil"/>
              <w:left w:val="nil"/>
              <w:bottom w:val="nil"/>
              <w:right w:val="nil"/>
            </w:tcBorders>
            <w:shd w:val="clear" w:color="auto" w:fill="auto"/>
            <w:noWrap/>
            <w:vAlign w:val="center"/>
            <w:hideMark/>
          </w:tcPr>
          <w:p w14:paraId="648EAB90"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0.0108</w:t>
            </w:r>
          </w:p>
        </w:tc>
        <w:tc>
          <w:tcPr>
            <w:tcW w:w="1200" w:type="dxa"/>
            <w:tcBorders>
              <w:top w:val="nil"/>
              <w:left w:val="nil"/>
              <w:bottom w:val="nil"/>
              <w:right w:val="nil"/>
            </w:tcBorders>
            <w:shd w:val="clear" w:color="auto" w:fill="auto"/>
            <w:noWrap/>
            <w:vAlign w:val="center"/>
            <w:hideMark/>
          </w:tcPr>
          <w:p w14:paraId="50588FEC"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3103E72D" w14:textId="77777777" w:rsidTr="00504E16">
        <w:trPr>
          <w:trHeight w:val="310"/>
        </w:trPr>
        <w:tc>
          <w:tcPr>
            <w:tcW w:w="2970" w:type="dxa"/>
            <w:tcBorders>
              <w:top w:val="nil"/>
              <w:left w:val="nil"/>
              <w:bottom w:val="nil"/>
              <w:right w:val="nil"/>
            </w:tcBorders>
            <w:shd w:val="clear" w:color="auto" w:fill="auto"/>
            <w:noWrap/>
            <w:vAlign w:val="center"/>
            <w:hideMark/>
          </w:tcPr>
          <w:p w14:paraId="4ED77973"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Oridorsalis</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tenerus</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3B5B0D04"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54.7</w:t>
            </w:r>
          </w:p>
        </w:tc>
        <w:tc>
          <w:tcPr>
            <w:tcW w:w="1120" w:type="dxa"/>
            <w:tcBorders>
              <w:top w:val="nil"/>
              <w:left w:val="nil"/>
              <w:bottom w:val="nil"/>
              <w:right w:val="nil"/>
            </w:tcBorders>
            <w:shd w:val="clear" w:color="auto" w:fill="auto"/>
            <w:noWrap/>
            <w:vAlign w:val="center"/>
            <w:hideMark/>
          </w:tcPr>
          <w:p w14:paraId="2F0F1CEF"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0.0119</w:t>
            </w:r>
          </w:p>
        </w:tc>
        <w:tc>
          <w:tcPr>
            <w:tcW w:w="1200" w:type="dxa"/>
            <w:tcBorders>
              <w:top w:val="nil"/>
              <w:left w:val="nil"/>
              <w:bottom w:val="nil"/>
              <w:right w:val="nil"/>
            </w:tcBorders>
            <w:shd w:val="clear" w:color="auto" w:fill="auto"/>
            <w:noWrap/>
            <w:vAlign w:val="center"/>
            <w:hideMark/>
          </w:tcPr>
          <w:p w14:paraId="71D5C56D"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4E594F1A" w14:textId="77777777" w:rsidTr="00504E16">
        <w:trPr>
          <w:trHeight w:val="310"/>
        </w:trPr>
        <w:tc>
          <w:tcPr>
            <w:tcW w:w="2970" w:type="dxa"/>
            <w:tcBorders>
              <w:top w:val="nil"/>
              <w:left w:val="nil"/>
              <w:bottom w:val="nil"/>
              <w:right w:val="nil"/>
            </w:tcBorders>
            <w:shd w:val="clear" w:color="auto" w:fill="auto"/>
            <w:noWrap/>
            <w:vAlign w:val="center"/>
            <w:hideMark/>
          </w:tcPr>
          <w:p w14:paraId="7DC8777F"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Nuttalides</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rugosus</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0E9D2E4A"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53.1</w:t>
            </w:r>
          </w:p>
        </w:tc>
        <w:tc>
          <w:tcPr>
            <w:tcW w:w="1120" w:type="dxa"/>
            <w:tcBorders>
              <w:top w:val="nil"/>
              <w:left w:val="nil"/>
              <w:bottom w:val="nil"/>
              <w:right w:val="nil"/>
            </w:tcBorders>
            <w:shd w:val="clear" w:color="auto" w:fill="auto"/>
            <w:noWrap/>
            <w:vAlign w:val="center"/>
            <w:hideMark/>
          </w:tcPr>
          <w:p w14:paraId="3F0576C5"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0.0121</w:t>
            </w:r>
          </w:p>
        </w:tc>
        <w:tc>
          <w:tcPr>
            <w:tcW w:w="1200" w:type="dxa"/>
            <w:tcBorders>
              <w:top w:val="nil"/>
              <w:left w:val="nil"/>
              <w:bottom w:val="nil"/>
              <w:right w:val="nil"/>
            </w:tcBorders>
            <w:shd w:val="clear" w:color="auto" w:fill="auto"/>
            <w:noWrap/>
            <w:vAlign w:val="center"/>
            <w:hideMark/>
          </w:tcPr>
          <w:p w14:paraId="4FAA2BA6"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1A29A2CC" w14:textId="77777777" w:rsidTr="00504E16">
        <w:trPr>
          <w:trHeight w:val="310"/>
        </w:trPr>
        <w:tc>
          <w:tcPr>
            <w:tcW w:w="2970" w:type="dxa"/>
            <w:tcBorders>
              <w:top w:val="nil"/>
              <w:left w:val="nil"/>
              <w:bottom w:val="nil"/>
              <w:right w:val="nil"/>
            </w:tcBorders>
            <w:shd w:val="clear" w:color="auto" w:fill="auto"/>
            <w:noWrap/>
            <w:vAlign w:val="center"/>
            <w:hideMark/>
          </w:tcPr>
          <w:p w14:paraId="533C8371"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Laticarinina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pauperata</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538B6E93"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42.8</w:t>
            </w:r>
          </w:p>
        </w:tc>
        <w:tc>
          <w:tcPr>
            <w:tcW w:w="1120" w:type="dxa"/>
            <w:tcBorders>
              <w:top w:val="nil"/>
              <w:left w:val="nil"/>
              <w:bottom w:val="nil"/>
              <w:right w:val="nil"/>
            </w:tcBorders>
            <w:shd w:val="clear" w:color="auto" w:fill="auto"/>
            <w:noWrap/>
            <w:vAlign w:val="center"/>
            <w:hideMark/>
          </w:tcPr>
          <w:p w14:paraId="271DE627"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0.0426</w:t>
            </w:r>
          </w:p>
        </w:tc>
        <w:tc>
          <w:tcPr>
            <w:tcW w:w="1200" w:type="dxa"/>
            <w:tcBorders>
              <w:top w:val="nil"/>
              <w:left w:val="nil"/>
              <w:bottom w:val="nil"/>
              <w:right w:val="nil"/>
            </w:tcBorders>
            <w:shd w:val="clear" w:color="auto" w:fill="auto"/>
            <w:noWrap/>
            <w:vAlign w:val="center"/>
            <w:hideMark/>
          </w:tcPr>
          <w:p w14:paraId="41133D76"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2AFE6331" w14:textId="77777777" w:rsidTr="00504E16">
        <w:trPr>
          <w:trHeight w:val="310"/>
        </w:trPr>
        <w:tc>
          <w:tcPr>
            <w:tcW w:w="2970" w:type="dxa"/>
            <w:tcBorders>
              <w:top w:val="nil"/>
              <w:left w:val="nil"/>
              <w:bottom w:val="nil"/>
              <w:right w:val="nil"/>
            </w:tcBorders>
            <w:shd w:val="clear" w:color="auto" w:fill="auto"/>
            <w:noWrap/>
            <w:vAlign w:val="center"/>
            <w:hideMark/>
          </w:tcPr>
          <w:p w14:paraId="4A573829"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Sigmoilopsis</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schlumbergeri</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auto"/>
            <w:noWrap/>
            <w:vAlign w:val="center"/>
            <w:hideMark/>
          </w:tcPr>
          <w:p w14:paraId="0F1264C0"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36.1</w:t>
            </w:r>
          </w:p>
        </w:tc>
        <w:tc>
          <w:tcPr>
            <w:tcW w:w="1120" w:type="dxa"/>
            <w:tcBorders>
              <w:top w:val="nil"/>
              <w:left w:val="nil"/>
              <w:bottom w:val="nil"/>
              <w:right w:val="nil"/>
            </w:tcBorders>
            <w:shd w:val="clear" w:color="auto" w:fill="auto"/>
            <w:noWrap/>
            <w:vAlign w:val="center"/>
            <w:hideMark/>
          </w:tcPr>
          <w:p w14:paraId="4FAFC3C9"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0.0175</w:t>
            </w:r>
          </w:p>
        </w:tc>
        <w:tc>
          <w:tcPr>
            <w:tcW w:w="1200" w:type="dxa"/>
            <w:tcBorders>
              <w:top w:val="nil"/>
              <w:left w:val="nil"/>
              <w:bottom w:val="nil"/>
              <w:right w:val="nil"/>
            </w:tcBorders>
            <w:shd w:val="clear" w:color="auto" w:fill="auto"/>
            <w:noWrap/>
            <w:vAlign w:val="center"/>
            <w:hideMark/>
          </w:tcPr>
          <w:p w14:paraId="24F6CC0A"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074036BF" w14:textId="77777777" w:rsidTr="00504E16">
        <w:trPr>
          <w:trHeight w:val="310"/>
        </w:trPr>
        <w:tc>
          <w:tcPr>
            <w:tcW w:w="2970" w:type="dxa"/>
            <w:tcBorders>
              <w:top w:val="nil"/>
              <w:left w:val="nil"/>
              <w:bottom w:val="single" w:sz="4" w:space="0" w:color="auto"/>
              <w:right w:val="nil"/>
            </w:tcBorders>
            <w:shd w:val="clear" w:color="auto" w:fill="auto"/>
            <w:noWrap/>
            <w:vAlign w:val="center"/>
            <w:hideMark/>
          </w:tcPr>
          <w:p w14:paraId="7C30142E"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Bolivina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barbata</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single" w:sz="4" w:space="0" w:color="auto"/>
              <w:right w:val="nil"/>
            </w:tcBorders>
            <w:shd w:val="clear" w:color="auto" w:fill="auto"/>
            <w:noWrap/>
            <w:vAlign w:val="center"/>
            <w:hideMark/>
          </w:tcPr>
          <w:p w14:paraId="5B83308E"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20.0</w:t>
            </w:r>
          </w:p>
        </w:tc>
        <w:tc>
          <w:tcPr>
            <w:tcW w:w="1120" w:type="dxa"/>
            <w:tcBorders>
              <w:top w:val="nil"/>
              <w:left w:val="nil"/>
              <w:bottom w:val="single" w:sz="4" w:space="0" w:color="auto"/>
              <w:right w:val="nil"/>
            </w:tcBorders>
            <w:shd w:val="clear" w:color="auto" w:fill="auto"/>
            <w:noWrap/>
            <w:vAlign w:val="center"/>
            <w:hideMark/>
          </w:tcPr>
          <w:p w14:paraId="52EA9D90"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0.0463</w:t>
            </w:r>
          </w:p>
        </w:tc>
        <w:tc>
          <w:tcPr>
            <w:tcW w:w="1200" w:type="dxa"/>
            <w:tcBorders>
              <w:top w:val="nil"/>
              <w:left w:val="nil"/>
              <w:bottom w:val="single" w:sz="4" w:space="0" w:color="auto"/>
              <w:right w:val="nil"/>
            </w:tcBorders>
            <w:shd w:val="clear" w:color="auto" w:fill="auto"/>
            <w:noWrap/>
            <w:vAlign w:val="center"/>
            <w:hideMark/>
          </w:tcPr>
          <w:p w14:paraId="0DAB7F52"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Before</w:t>
            </w:r>
          </w:p>
        </w:tc>
      </w:tr>
      <w:tr w:rsidR="00745645" w:rsidRPr="00745645" w14:paraId="357A3A47" w14:textId="77777777" w:rsidTr="00433506">
        <w:trPr>
          <w:trHeight w:val="310"/>
        </w:trPr>
        <w:tc>
          <w:tcPr>
            <w:tcW w:w="2970" w:type="dxa"/>
            <w:tcBorders>
              <w:top w:val="nil"/>
              <w:left w:val="nil"/>
              <w:bottom w:val="nil"/>
              <w:right w:val="nil"/>
            </w:tcBorders>
            <w:shd w:val="clear" w:color="auto" w:fill="F2F2F2" w:themeFill="background1" w:themeFillShade="F2"/>
            <w:noWrap/>
            <w:vAlign w:val="center"/>
            <w:hideMark/>
          </w:tcPr>
          <w:p w14:paraId="4580FB94"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Cribrostomoides</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subglobosum</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F2F2F2" w:themeFill="background1" w:themeFillShade="F2"/>
            <w:noWrap/>
            <w:vAlign w:val="center"/>
            <w:hideMark/>
          </w:tcPr>
          <w:p w14:paraId="00402D78"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63.1</w:t>
            </w:r>
          </w:p>
        </w:tc>
        <w:tc>
          <w:tcPr>
            <w:tcW w:w="1120" w:type="dxa"/>
            <w:tcBorders>
              <w:top w:val="nil"/>
              <w:left w:val="nil"/>
              <w:bottom w:val="nil"/>
              <w:right w:val="nil"/>
            </w:tcBorders>
            <w:shd w:val="clear" w:color="auto" w:fill="F2F2F2" w:themeFill="background1" w:themeFillShade="F2"/>
            <w:noWrap/>
            <w:vAlign w:val="center"/>
            <w:hideMark/>
          </w:tcPr>
          <w:p w14:paraId="391CF9C2"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0.0038</w:t>
            </w:r>
          </w:p>
        </w:tc>
        <w:tc>
          <w:tcPr>
            <w:tcW w:w="1200" w:type="dxa"/>
            <w:tcBorders>
              <w:top w:val="nil"/>
              <w:left w:val="nil"/>
              <w:bottom w:val="nil"/>
              <w:right w:val="nil"/>
            </w:tcBorders>
            <w:shd w:val="clear" w:color="auto" w:fill="F2F2F2" w:themeFill="background1" w:themeFillShade="F2"/>
            <w:noWrap/>
            <w:vAlign w:val="center"/>
            <w:hideMark/>
          </w:tcPr>
          <w:p w14:paraId="27A664EA"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After</w:t>
            </w:r>
          </w:p>
        </w:tc>
      </w:tr>
      <w:tr w:rsidR="00745645" w:rsidRPr="00745645" w14:paraId="35D26E7A" w14:textId="77777777" w:rsidTr="00433506">
        <w:trPr>
          <w:trHeight w:val="310"/>
        </w:trPr>
        <w:tc>
          <w:tcPr>
            <w:tcW w:w="2970" w:type="dxa"/>
            <w:tcBorders>
              <w:top w:val="nil"/>
              <w:left w:val="nil"/>
              <w:bottom w:val="nil"/>
              <w:right w:val="nil"/>
            </w:tcBorders>
            <w:shd w:val="clear" w:color="auto" w:fill="F2F2F2" w:themeFill="background1" w:themeFillShade="F2"/>
            <w:noWrap/>
            <w:vAlign w:val="center"/>
            <w:hideMark/>
          </w:tcPr>
          <w:p w14:paraId="2D1A8465"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Subreophax</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monile</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F2F2F2" w:themeFill="background1" w:themeFillShade="F2"/>
            <w:noWrap/>
            <w:vAlign w:val="center"/>
            <w:hideMark/>
          </w:tcPr>
          <w:p w14:paraId="6D55DEEB"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58.7</w:t>
            </w:r>
          </w:p>
        </w:tc>
        <w:tc>
          <w:tcPr>
            <w:tcW w:w="1120" w:type="dxa"/>
            <w:tcBorders>
              <w:top w:val="nil"/>
              <w:left w:val="nil"/>
              <w:bottom w:val="nil"/>
              <w:right w:val="nil"/>
            </w:tcBorders>
            <w:shd w:val="clear" w:color="auto" w:fill="F2F2F2" w:themeFill="background1" w:themeFillShade="F2"/>
            <w:noWrap/>
            <w:vAlign w:val="center"/>
            <w:hideMark/>
          </w:tcPr>
          <w:p w14:paraId="1255E179"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0.0106</w:t>
            </w:r>
          </w:p>
        </w:tc>
        <w:tc>
          <w:tcPr>
            <w:tcW w:w="1200" w:type="dxa"/>
            <w:tcBorders>
              <w:top w:val="nil"/>
              <w:left w:val="nil"/>
              <w:bottom w:val="nil"/>
              <w:right w:val="nil"/>
            </w:tcBorders>
            <w:shd w:val="clear" w:color="auto" w:fill="F2F2F2" w:themeFill="background1" w:themeFillShade="F2"/>
            <w:noWrap/>
            <w:vAlign w:val="center"/>
            <w:hideMark/>
          </w:tcPr>
          <w:p w14:paraId="03B79B6E"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After</w:t>
            </w:r>
          </w:p>
        </w:tc>
      </w:tr>
      <w:tr w:rsidR="00745645" w:rsidRPr="00745645" w14:paraId="691F979E" w14:textId="77777777" w:rsidTr="00433506">
        <w:trPr>
          <w:trHeight w:val="310"/>
        </w:trPr>
        <w:tc>
          <w:tcPr>
            <w:tcW w:w="2970" w:type="dxa"/>
            <w:tcBorders>
              <w:top w:val="nil"/>
              <w:left w:val="nil"/>
              <w:bottom w:val="nil"/>
              <w:right w:val="nil"/>
            </w:tcBorders>
            <w:shd w:val="clear" w:color="auto" w:fill="F2F2F2" w:themeFill="background1" w:themeFillShade="F2"/>
            <w:noWrap/>
            <w:vAlign w:val="center"/>
            <w:hideMark/>
          </w:tcPr>
          <w:p w14:paraId="64E51BE7"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Veleroninoides</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wiesneri</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F2F2F2" w:themeFill="background1" w:themeFillShade="F2"/>
            <w:noWrap/>
            <w:vAlign w:val="center"/>
            <w:hideMark/>
          </w:tcPr>
          <w:p w14:paraId="446C681A"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56.6</w:t>
            </w:r>
          </w:p>
        </w:tc>
        <w:tc>
          <w:tcPr>
            <w:tcW w:w="1120" w:type="dxa"/>
            <w:tcBorders>
              <w:top w:val="nil"/>
              <w:left w:val="nil"/>
              <w:bottom w:val="nil"/>
              <w:right w:val="nil"/>
            </w:tcBorders>
            <w:shd w:val="clear" w:color="auto" w:fill="F2F2F2" w:themeFill="background1" w:themeFillShade="F2"/>
            <w:noWrap/>
            <w:vAlign w:val="center"/>
            <w:hideMark/>
          </w:tcPr>
          <w:p w14:paraId="0DE2789A"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0.0252</w:t>
            </w:r>
          </w:p>
        </w:tc>
        <w:tc>
          <w:tcPr>
            <w:tcW w:w="1200" w:type="dxa"/>
            <w:tcBorders>
              <w:top w:val="nil"/>
              <w:left w:val="nil"/>
              <w:bottom w:val="nil"/>
              <w:right w:val="nil"/>
            </w:tcBorders>
            <w:shd w:val="clear" w:color="auto" w:fill="F2F2F2" w:themeFill="background1" w:themeFillShade="F2"/>
            <w:noWrap/>
            <w:vAlign w:val="center"/>
            <w:hideMark/>
          </w:tcPr>
          <w:p w14:paraId="4439668A"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After</w:t>
            </w:r>
          </w:p>
        </w:tc>
      </w:tr>
      <w:tr w:rsidR="00745645" w:rsidRPr="00745645" w14:paraId="310DB23A" w14:textId="77777777" w:rsidTr="00433506">
        <w:trPr>
          <w:trHeight w:val="310"/>
        </w:trPr>
        <w:tc>
          <w:tcPr>
            <w:tcW w:w="2970" w:type="dxa"/>
            <w:tcBorders>
              <w:top w:val="nil"/>
              <w:left w:val="nil"/>
              <w:bottom w:val="nil"/>
              <w:right w:val="nil"/>
            </w:tcBorders>
            <w:shd w:val="clear" w:color="auto" w:fill="F2F2F2" w:themeFill="background1" w:themeFillShade="F2"/>
            <w:noWrap/>
            <w:vAlign w:val="center"/>
            <w:hideMark/>
          </w:tcPr>
          <w:p w14:paraId="7C088048"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Trochammina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ochracea</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F2F2F2" w:themeFill="background1" w:themeFillShade="F2"/>
            <w:noWrap/>
            <w:vAlign w:val="center"/>
            <w:hideMark/>
          </w:tcPr>
          <w:p w14:paraId="6D2E3BF8"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53.4</w:t>
            </w:r>
          </w:p>
        </w:tc>
        <w:tc>
          <w:tcPr>
            <w:tcW w:w="1120" w:type="dxa"/>
            <w:tcBorders>
              <w:top w:val="nil"/>
              <w:left w:val="nil"/>
              <w:bottom w:val="nil"/>
              <w:right w:val="nil"/>
            </w:tcBorders>
            <w:shd w:val="clear" w:color="auto" w:fill="F2F2F2" w:themeFill="background1" w:themeFillShade="F2"/>
            <w:noWrap/>
            <w:vAlign w:val="center"/>
            <w:hideMark/>
          </w:tcPr>
          <w:p w14:paraId="21BF9600"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0.0089</w:t>
            </w:r>
          </w:p>
        </w:tc>
        <w:tc>
          <w:tcPr>
            <w:tcW w:w="1200" w:type="dxa"/>
            <w:tcBorders>
              <w:top w:val="nil"/>
              <w:left w:val="nil"/>
              <w:bottom w:val="nil"/>
              <w:right w:val="nil"/>
            </w:tcBorders>
            <w:shd w:val="clear" w:color="auto" w:fill="F2F2F2" w:themeFill="background1" w:themeFillShade="F2"/>
            <w:noWrap/>
            <w:vAlign w:val="center"/>
            <w:hideMark/>
          </w:tcPr>
          <w:p w14:paraId="4DEA500C"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After</w:t>
            </w:r>
          </w:p>
        </w:tc>
      </w:tr>
      <w:tr w:rsidR="00745645" w:rsidRPr="00745645" w14:paraId="25593C2E" w14:textId="77777777" w:rsidTr="00433506">
        <w:trPr>
          <w:trHeight w:val="310"/>
        </w:trPr>
        <w:tc>
          <w:tcPr>
            <w:tcW w:w="2970" w:type="dxa"/>
            <w:tcBorders>
              <w:top w:val="nil"/>
              <w:left w:val="nil"/>
              <w:bottom w:val="nil"/>
              <w:right w:val="nil"/>
            </w:tcBorders>
            <w:shd w:val="clear" w:color="auto" w:fill="F2F2F2" w:themeFill="background1" w:themeFillShade="F2"/>
            <w:noWrap/>
            <w:vAlign w:val="center"/>
            <w:hideMark/>
          </w:tcPr>
          <w:p w14:paraId="757B3B0D"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Testulosiphon</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indivisus</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F2F2F2" w:themeFill="background1" w:themeFillShade="F2"/>
            <w:noWrap/>
            <w:vAlign w:val="center"/>
            <w:hideMark/>
          </w:tcPr>
          <w:p w14:paraId="139555B7"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44.3</w:t>
            </w:r>
          </w:p>
        </w:tc>
        <w:tc>
          <w:tcPr>
            <w:tcW w:w="1120" w:type="dxa"/>
            <w:tcBorders>
              <w:top w:val="nil"/>
              <w:left w:val="nil"/>
              <w:bottom w:val="nil"/>
              <w:right w:val="nil"/>
            </w:tcBorders>
            <w:shd w:val="clear" w:color="auto" w:fill="F2F2F2" w:themeFill="background1" w:themeFillShade="F2"/>
            <w:noWrap/>
            <w:vAlign w:val="center"/>
            <w:hideMark/>
          </w:tcPr>
          <w:p w14:paraId="630607D9"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0.0461</w:t>
            </w:r>
          </w:p>
        </w:tc>
        <w:tc>
          <w:tcPr>
            <w:tcW w:w="1200" w:type="dxa"/>
            <w:tcBorders>
              <w:top w:val="nil"/>
              <w:left w:val="nil"/>
              <w:bottom w:val="nil"/>
              <w:right w:val="nil"/>
            </w:tcBorders>
            <w:shd w:val="clear" w:color="auto" w:fill="F2F2F2" w:themeFill="background1" w:themeFillShade="F2"/>
            <w:noWrap/>
            <w:vAlign w:val="center"/>
            <w:hideMark/>
          </w:tcPr>
          <w:p w14:paraId="7967FCC6"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After</w:t>
            </w:r>
          </w:p>
        </w:tc>
      </w:tr>
      <w:tr w:rsidR="00745645" w:rsidRPr="00745645" w14:paraId="0B7CD8CD" w14:textId="77777777" w:rsidTr="00433506">
        <w:trPr>
          <w:trHeight w:val="310"/>
        </w:trPr>
        <w:tc>
          <w:tcPr>
            <w:tcW w:w="2970" w:type="dxa"/>
            <w:tcBorders>
              <w:top w:val="nil"/>
              <w:left w:val="nil"/>
              <w:bottom w:val="nil"/>
              <w:right w:val="nil"/>
            </w:tcBorders>
            <w:shd w:val="clear" w:color="auto" w:fill="F2F2F2" w:themeFill="background1" w:themeFillShade="F2"/>
            <w:noWrap/>
            <w:vAlign w:val="center"/>
            <w:hideMark/>
          </w:tcPr>
          <w:p w14:paraId="6B667B1D"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Rhizammina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algaeformis</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F2F2F2" w:themeFill="background1" w:themeFillShade="F2"/>
            <w:noWrap/>
            <w:vAlign w:val="center"/>
            <w:hideMark/>
          </w:tcPr>
          <w:p w14:paraId="558DEF89"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42.5</w:t>
            </w:r>
          </w:p>
        </w:tc>
        <w:tc>
          <w:tcPr>
            <w:tcW w:w="1120" w:type="dxa"/>
            <w:tcBorders>
              <w:top w:val="nil"/>
              <w:left w:val="nil"/>
              <w:bottom w:val="nil"/>
              <w:right w:val="nil"/>
            </w:tcBorders>
            <w:shd w:val="clear" w:color="auto" w:fill="F2F2F2" w:themeFill="background1" w:themeFillShade="F2"/>
            <w:noWrap/>
            <w:vAlign w:val="center"/>
            <w:hideMark/>
          </w:tcPr>
          <w:p w14:paraId="412B391B"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0.0229</w:t>
            </w:r>
          </w:p>
        </w:tc>
        <w:tc>
          <w:tcPr>
            <w:tcW w:w="1200" w:type="dxa"/>
            <w:tcBorders>
              <w:top w:val="nil"/>
              <w:left w:val="nil"/>
              <w:bottom w:val="nil"/>
              <w:right w:val="nil"/>
            </w:tcBorders>
            <w:shd w:val="clear" w:color="auto" w:fill="F2F2F2" w:themeFill="background1" w:themeFillShade="F2"/>
            <w:noWrap/>
            <w:vAlign w:val="center"/>
            <w:hideMark/>
          </w:tcPr>
          <w:p w14:paraId="323A8E96"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After</w:t>
            </w:r>
          </w:p>
        </w:tc>
      </w:tr>
      <w:tr w:rsidR="00745645" w:rsidRPr="00745645" w14:paraId="69642996" w14:textId="77777777" w:rsidTr="00433506">
        <w:trPr>
          <w:trHeight w:val="310"/>
        </w:trPr>
        <w:tc>
          <w:tcPr>
            <w:tcW w:w="2970" w:type="dxa"/>
            <w:tcBorders>
              <w:top w:val="nil"/>
              <w:left w:val="nil"/>
              <w:bottom w:val="nil"/>
              <w:right w:val="nil"/>
            </w:tcBorders>
            <w:shd w:val="clear" w:color="auto" w:fill="F2F2F2" w:themeFill="background1" w:themeFillShade="F2"/>
            <w:noWrap/>
            <w:vAlign w:val="center"/>
            <w:hideMark/>
          </w:tcPr>
          <w:p w14:paraId="4F95EED0"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Adercotryma</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glomerata</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nil"/>
              <w:right w:val="nil"/>
            </w:tcBorders>
            <w:shd w:val="clear" w:color="auto" w:fill="F2F2F2" w:themeFill="background1" w:themeFillShade="F2"/>
            <w:noWrap/>
            <w:vAlign w:val="center"/>
            <w:hideMark/>
          </w:tcPr>
          <w:p w14:paraId="45F78032"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40.9</w:t>
            </w:r>
          </w:p>
        </w:tc>
        <w:tc>
          <w:tcPr>
            <w:tcW w:w="1120" w:type="dxa"/>
            <w:tcBorders>
              <w:top w:val="nil"/>
              <w:left w:val="nil"/>
              <w:bottom w:val="nil"/>
              <w:right w:val="nil"/>
            </w:tcBorders>
            <w:shd w:val="clear" w:color="auto" w:fill="F2F2F2" w:themeFill="background1" w:themeFillShade="F2"/>
            <w:noWrap/>
            <w:vAlign w:val="center"/>
            <w:hideMark/>
          </w:tcPr>
          <w:p w14:paraId="42FDE7D0"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0.0260</w:t>
            </w:r>
          </w:p>
        </w:tc>
        <w:tc>
          <w:tcPr>
            <w:tcW w:w="1200" w:type="dxa"/>
            <w:tcBorders>
              <w:top w:val="nil"/>
              <w:left w:val="nil"/>
              <w:bottom w:val="nil"/>
              <w:right w:val="nil"/>
            </w:tcBorders>
            <w:shd w:val="clear" w:color="auto" w:fill="F2F2F2" w:themeFill="background1" w:themeFillShade="F2"/>
            <w:noWrap/>
            <w:vAlign w:val="center"/>
            <w:hideMark/>
          </w:tcPr>
          <w:p w14:paraId="21B2F4C0"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After</w:t>
            </w:r>
          </w:p>
        </w:tc>
      </w:tr>
      <w:tr w:rsidR="00745645" w:rsidRPr="00745645" w14:paraId="35D6D242" w14:textId="77777777" w:rsidTr="00433506">
        <w:trPr>
          <w:trHeight w:val="310"/>
        </w:trPr>
        <w:tc>
          <w:tcPr>
            <w:tcW w:w="2970" w:type="dxa"/>
            <w:tcBorders>
              <w:top w:val="nil"/>
              <w:left w:val="nil"/>
              <w:bottom w:val="single" w:sz="4" w:space="0" w:color="auto"/>
              <w:right w:val="nil"/>
            </w:tcBorders>
            <w:shd w:val="clear" w:color="auto" w:fill="F2F2F2" w:themeFill="background1" w:themeFillShade="F2"/>
            <w:noWrap/>
            <w:vAlign w:val="center"/>
            <w:hideMark/>
          </w:tcPr>
          <w:p w14:paraId="429C5667" w14:textId="77777777" w:rsidR="00745645" w:rsidRPr="00745645" w:rsidRDefault="00745645" w:rsidP="00504E16">
            <w:pPr>
              <w:spacing w:before="0" w:after="0"/>
              <w:jc w:val="right"/>
              <w:rPr>
                <w:rFonts w:ascii="Palatino Linotype" w:eastAsia="Times New Roman" w:hAnsi="Palatino Linotype" w:cs="Calibri"/>
                <w:i/>
                <w:iCs/>
                <w:color w:val="000000"/>
                <w:sz w:val="22"/>
              </w:rPr>
            </w:pPr>
            <w:r w:rsidRPr="00745645">
              <w:rPr>
                <w:rFonts w:ascii="Palatino Linotype" w:eastAsia="Times New Roman" w:hAnsi="Palatino Linotype" w:cs="Calibri"/>
                <w:i/>
                <w:iCs/>
                <w:color w:val="000000"/>
                <w:sz w:val="22"/>
              </w:rPr>
              <w:t>'</w:t>
            </w:r>
            <w:proofErr w:type="spellStart"/>
            <w:r w:rsidRPr="00745645">
              <w:rPr>
                <w:rFonts w:ascii="Palatino Linotype" w:eastAsia="Times New Roman" w:hAnsi="Palatino Linotype" w:cs="Calibri"/>
                <w:i/>
                <w:iCs/>
                <w:color w:val="000000"/>
                <w:sz w:val="22"/>
              </w:rPr>
              <w:t>Reophax</w:t>
            </w:r>
            <w:proofErr w:type="spellEnd"/>
            <w:r w:rsidRPr="00745645">
              <w:rPr>
                <w:rFonts w:ascii="Palatino Linotype" w:eastAsia="Times New Roman" w:hAnsi="Palatino Linotype" w:cs="Calibri"/>
                <w:i/>
                <w:iCs/>
                <w:color w:val="000000"/>
                <w:sz w:val="22"/>
              </w:rPr>
              <w:t xml:space="preserve"> </w:t>
            </w:r>
            <w:proofErr w:type="spellStart"/>
            <w:proofErr w:type="gramStart"/>
            <w:r w:rsidRPr="00745645">
              <w:rPr>
                <w:rFonts w:ascii="Palatino Linotype" w:eastAsia="Times New Roman" w:hAnsi="Palatino Linotype" w:cs="Calibri"/>
                <w:i/>
                <w:iCs/>
                <w:color w:val="000000"/>
                <w:sz w:val="22"/>
              </w:rPr>
              <w:t>scorpiurus</w:t>
            </w:r>
            <w:proofErr w:type="spellEnd"/>
            <w:r w:rsidRPr="00745645">
              <w:rPr>
                <w:rFonts w:ascii="Palatino Linotype" w:eastAsia="Times New Roman" w:hAnsi="Palatino Linotype" w:cs="Calibri"/>
                <w:i/>
                <w:iCs/>
                <w:color w:val="000000"/>
                <w:sz w:val="22"/>
              </w:rPr>
              <w:t xml:space="preserve">'             </w:t>
            </w:r>
            <w:proofErr w:type="gramEnd"/>
          </w:p>
        </w:tc>
        <w:tc>
          <w:tcPr>
            <w:tcW w:w="1580" w:type="dxa"/>
            <w:tcBorders>
              <w:top w:val="nil"/>
              <w:left w:val="nil"/>
              <w:bottom w:val="single" w:sz="4" w:space="0" w:color="auto"/>
              <w:right w:val="nil"/>
            </w:tcBorders>
            <w:shd w:val="clear" w:color="auto" w:fill="F2F2F2" w:themeFill="background1" w:themeFillShade="F2"/>
            <w:noWrap/>
            <w:vAlign w:val="center"/>
            <w:hideMark/>
          </w:tcPr>
          <w:p w14:paraId="02AB9160"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31.5</w:t>
            </w:r>
          </w:p>
        </w:tc>
        <w:tc>
          <w:tcPr>
            <w:tcW w:w="1120" w:type="dxa"/>
            <w:tcBorders>
              <w:top w:val="nil"/>
              <w:left w:val="nil"/>
              <w:bottom w:val="single" w:sz="4" w:space="0" w:color="auto"/>
              <w:right w:val="nil"/>
            </w:tcBorders>
            <w:shd w:val="clear" w:color="auto" w:fill="F2F2F2" w:themeFill="background1" w:themeFillShade="F2"/>
            <w:noWrap/>
            <w:vAlign w:val="center"/>
            <w:hideMark/>
          </w:tcPr>
          <w:p w14:paraId="0AF4CF31"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0.0485</w:t>
            </w:r>
          </w:p>
        </w:tc>
        <w:tc>
          <w:tcPr>
            <w:tcW w:w="1200" w:type="dxa"/>
            <w:tcBorders>
              <w:top w:val="nil"/>
              <w:left w:val="nil"/>
              <w:bottom w:val="single" w:sz="4" w:space="0" w:color="auto"/>
              <w:right w:val="nil"/>
            </w:tcBorders>
            <w:shd w:val="clear" w:color="auto" w:fill="F2F2F2" w:themeFill="background1" w:themeFillShade="F2"/>
            <w:noWrap/>
            <w:vAlign w:val="center"/>
            <w:hideMark/>
          </w:tcPr>
          <w:p w14:paraId="6CBD50EF" w14:textId="77777777" w:rsidR="00745645" w:rsidRPr="00745645" w:rsidRDefault="00745645" w:rsidP="00504E16">
            <w:pPr>
              <w:spacing w:before="0" w:after="0"/>
              <w:jc w:val="right"/>
              <w:rPr>
                <w:rFonts w:ascii="Palatino Linotype" w:eastAsia="Times New Roman" w:hAnsi="Palatino Linotype" w:cs="Calibri"/>
                <w:color w:val="000000"/>
                <w:sz w:val="22"/>
              </w:rPr>
            </w:pPr>
            <w:r w:rsidRPr="00745645">
              <w:rPr>
                <w:rFonts w:ascii="Palatino Linotype" w:eastAsia="Times New Roman" w:hAnsi="Palatino Linotype" w:cs="Calibri"/>
                <w:color w:val="000000"/>
                <w:sz w:val="22"/>
              </w:rPr>
              <w:t>After</w:t>
            </w:r>
          </w:p>
        </w:tc>
      </w:tr>
    </w:tbl>
    <w:p w14:paraId="4BF596CF" w14:textId="49D6458C" w:rsidR="00504E16" w:rsidRDefault="00504E16" w:rsidP="0035246F">
      <w:pPr>
        <w:spacing w:before="0" w:after="120"/>
        <w:jc w:val="both"/>
        <w:rPr>
          <w:b/>
        </w:rPr>
      </w:pPr>
      <w:proofErr w:type="gramStart"/>
      <w:r w:rsidRPr="00504E16">
        <w:rPr>
          <w:b/>
        </w:rPr>
        <w:t>Supplementary Table S4</w:t>
      </w:r>
      <w:r>
        <w:rPr>
          <w:b/>
        </w:rPr>
        <w:t>.</w:t>
      </w:r>
      <w:proofErr w:type="gramEnd"/>
      <w:r w:rsidRPr="00504E16">
        <w:rPr>
          <w:b/>
        </w:rPr>
        <w:t xml:space="preserve"> </w:t>
      </w:r>
      <w:r w:rsidRPr="00504E16">
        <w:t>Indicator Values (</w:t>
      </w:r>
      <w:proofErr w:type="spellStart"/>
      <w:r w:rsidRPr="00504E16">
        <w:t>IndVal</w:t>
      </w:r>
      <w:proofErr w:type="spellEnd"/>
      <w:r w:rsidRPr="00504E16">
        <w:t xml:space="preserve">) for the top </w:t>
      </w:r>
      <w:proofErr w:type="gramStart"/>
      <w:r>
        <w:t xml:space="preserve">11 </w:t>
      </w:r>
      <w:r w:rsidR="00805649">
        <w:t>megafauna</w:t>
      </w:r>
      <w:proofErr w:type="gramEnd"/>
      <w:r w:rsidR="00805649">
        <w:t xml:space="preserve"> </w:t>
      </w:r>
      <w:r w:rsidRPr="00504E16">
        <w:t xml:space="preserve">taxa selected to represent the </w:t>
      </w:r>
      <w:r w:rsidR="00805649">
        <w:t>sampling periods 2010 (Valentine and Benfield, 2013) and 20</w:t>
      </w:r>
      <w:r>
        <w:t>17</w:t>
      </w:r>
      <w:r w:rsidR="00805649">
        <w:t xml:space="preserve"> (McClain et al., 2019)</w:t>
      </w:r>
      <w:r w:rsidRPr="00504E16">
        <w:t xml:space="preserve">. Indicator values range from 0-100, and are interpreted as percentages where </w:t>
      </w:r>
      <w:proofErr w:type="spellStart"/>
      <w:r w:rsidRPr="00504E16">
        <w:t>IndVal</w:t>
      </w:r>
      <w:proofErr w:type="spellEnd"/>
      <w:r w:rsidRPr="00504E16">
        <w:t xml:space="preserve"> = 100 represents a “perfect” indicator for a particular factor level.</w:t>
      </w:r>
    </w:p>
    <w:tbl>
      <w:tblPr>
        <w:tblW w:w="5816" w:type="dxa"/>
        <w:tblInd w:w="108" w:type="dxa"/>
        <w:tblLook w:val="04A0" w:firstRow="1" w:lastRow="0" w:firstColumn="1" w:lastColumn="0" w:noHBand="0" w:noVBand="1"/>
      </w:tblPr>
      <w:tblGrid>
        <w:gridCol w:w="2920"/>
        <w:gridCol w:w="1100"/>
        <w:gridCol w:w="1020"/>
        <w:gridCol w:w="876"/>
      </w:tblGrid>
      <w:tr w:rsidR="00504E16" w:rsidRPr="00504E16" w14:paraId="25F1F3A1" w14:textId="77777777" w:rsidTr="00504E16">
        <w:trPr>
          <w:trHeight w:val="310"/>
        </w:trPr>
        <w:tc>
          <w:tcPr>
            <w:tcW w:w="2920" w:type="dxa"/>
            <w:tcBorders>
              <w:top w:val="single" w:sz="4" w:space="0" w:color="auto"/>
              <w:left w:val="nil"/>
              <w:bottom w:val="single" w:sz="4" w:space="0" w:color="auto"/>
              <w:right w:val="nil"/>
            </w:tcBorders>
            <w:shd w:val="clear" w:color="auto" w:fill="auto"/>
            <w:noWrap/>
            <w:vAlign w:val="center"/>
            <w:hideMark/>
          </w:tcPr>
          <w:p w14:paraId="08B0CCEF" w14:textId="77777777" w:rsidR="00504E16" w:rsidRPr="00504E16" w:rsidRDefault="00504E16" w:rsidP="00504E16">
            <w:pPr>
              <w:spacing w:before="0" w:after="0"/>
              <w:jc w:val="right"/>
              <w:rPr>
                <w:rFonts w:ascii="Palatino Linotype" w:eastAsia="Times New Roman" w:hAnsi="Palatino Linotype" w:cs="Times New Roman"/>
                <w:b/>
                <w:bCs/>
                <w:color w:val="000000"/>
                <w:sz w:val="22"/>
              </w:rPr>
            </w:pPr>
            <w:r w:rsidRPr="00504E16">
              <w:rPr>
                <w:rFonts w:ascii="Palatino Linotype" w:eastAsia="Times New Roman" w:hAnsi="Palatino Linotype" w:cs="Times New Roman"/>
                <w:b/>
                <w:bCs/>
                <w:color w:val="000000"/>
                <w:sz w:val="22"/>
              </w:rPr>
              <w:t>Representative Taxa</w:t>
            </w:r>
          </w:p>
        </w:tc>
        <w:tc>
          <w:tcPr>
            <w:tcW w:w="1100" w:type="dxa"/>
            <w:tcBorders>
              <w:top w:val="single" w:sz="4" w:space="0" w:color="auto"/>
              <w:left w:val="nil"/>
              <w:bottom w:val="single" w:sz="4" w:space="0" w:color="auto"/>
              <w:right w:val="nil"/>
            </w:tcBorders>
            <w:shd w:val="clear" w:color="auto" w:fill="auto"/>
            <w:noWrap/>
            <w:vAlign w:val="center"/>
            <w:hideMark/>
          </w:tcPr>
          <w:p w14:paraId="01B2A8FF" w14:textId="77777777" w:rsidR="00504E16" w:rsidRPr="00504E16" w:rsidRDefault="00504E16" w:rsidP="00504E16">
            <w:pPr>
              <w:spacing w:before="0" w:after="0"/>
              <w:jc w:val="right"/>
              <w:rPr>
                <w:rFonts w:ascii="Palatino Linotype" w:eastAsia="Times New Roman" w:hAnsi="Palatino Linotype" w:cs="Times New Roman"/>
                <w:b/>
                <w:bCs/>
                <w:color w:val="000000"/>
                <w:sz w:val="22"/>
              </w:rPr>
            </w:pPr>
            <w:proofErr w:type="spellStart"/>
            <w:r w:rsidRPr="00504E16">
              <w:rPr>
                <w:rFonts w:ascii="Palatino Linotype" w:eastAsia="Times New Roman" w:hAnsi="Palatino Linotype" w:cs="Times New Roman"/>
                <w:b/>
                <w:bCs/>
                <w:color w:val="000000"/>
                <w:sz w:val="22"/>
              </w:rPr>
              <w:t>IndVal</w:t>
            </w:r>
            <w:proofErr w:type="spellEnd"/>
          </w:p>
        </w:tc>
        <w:tc>
          <w:tcPr>
            <w:tcW w:w="1020" w:type="dxa"/>
            <w:tcBorders>
              <w:top w:val="single" w:sz="4" w:space="0" w:color="auto"/>
              <w:left w:val="nil"/>
              <w:bottom w:val="single" w:sz="4" w:space="0" w:color="auto"/>
              <w:right w:val="nil"/>
            </w:tcBorders>
            <w:shd w:val="clear" w:color="auto" w:fill="auto"/>
            <w:noWrap/>
            <w:vAlign w:val="center"/>
            <w:hideMark/>
          </w:tcPr>
          <w:p w14:paraId="3E09ECA5" w14:textId="77777777" w:rsidR="00504E16" w:rsidRPr="00504E16" w:rsidRDefault="00504E16" w:rsidP="00504E16">
            <w:pPr>
              <w:spacing w:before="0" w:after="0"/>
              <w:jc w:val="right"/>
              <w:rPr>
                <w:rFonts w:ascii="Palatino Linotype" w:eastAsia="Times New Roman" w:hAnsi="Palatino Linotype" w:cs="Times New Roman"/>
                <w:b/>
                <w:bCs/>
                <w:color w:val="000000"/>
                <w:sz w:val="22"/>
              </w:rPr>
            </w:pPr>
            <w:proofErr w:type="gramStart"/>
            <w:r w:rsidRPr="00504E16">
              <w:rPr>
                <w:rFonts w:ascii="Palatino Linotype" w:eastAsia="Times New Roman" w:hAnsi="Palatino Linotype" w:cs="Times New Roman"/>
                <w:b/>
                <w:bCs/>
                <w:i/>
                <w:iCs/>
                <w:color w:val="000000"/>
                <w:sz w:val="22"/>
              </w:rPr>
              <w:t>p</w:t>
            </w:r>
            <w:proofErr w:type="gramEnd"/>
            <w:r w:rsidRPr="00504E16">
              <w:rPr>
                <w:rFonts w:ascii="Palatino Linotype" w:eastAsia="Times New Roman" w:hAnsi="Palatino Linotype" w:cs="Times New Roman"/>
                <w:b/>
                <w:bCs/>
                <w:color w:val="000000"/>
                <w:sz w:val="22"/>
              </w:rPr>
              <w:t>-Value</w:t>
            </w:r>
          </w:p>
        </w:tc>
        <w:tc>
          <w:tcPr>
            <w:tcW w:w="776" w:type="dxa"/>
            <w:tcBorders>
              <w:top w:val="single" w:sz="4" w:space="0" w:color="auto"/>
              <w:left w:val="nil"/>
              <w:bottom w:val="single" w:sz="4" w:space="0" w:color="auto"/>
              <w:right w:val="nil"/>
            </w:tcBorders>
            <w:shd w:val="clear" w:color="auto" w:fill="auto"/>
            <w:noWrap/>
            <w:vAlign w:val="center"/>
            <w:hideMark/>
          </w:tcPr>
          <w:p w14:paraId="1DC83DA7" w14:textId="77777777" w:rsidR="00504E16" w:rsidRPr="00504E16" w:rsidRDefault="00504E16" w:rsidP="00504E16">
            <w:pPr>
              <w:spacing w:before="0" w:after="0"/>
              <w:jc w:val="right"/>
              <w:rPr>
                <w:rFonts w:ascii="Palatino Linotype" w:eastAsia="Times New Roman" w:hAnsi="Palatino Linotype" w:cs="Times New Roman"/>
                <w:b/>
                <w:bCs/>
                <w:color w:val="000000"/>
                <w:sz w:val="22"/>
              </w:rPr>
            </w:pPr>
            <w:r w:rsidRPr="00504E16">
              <w:rPr>
                <w:rFonts w:ascii="Palatino Linotype" w:eastAsia="Times New Roman" w:hAnsi="Palatino Linotype" w:cs="Times New Roman"/>
                <w:b/>
                <w:bCs/>
                <w:color w:val="000000"/>
                <w:sz w:val="22"/>
              </w:rPr>
              <w:t>Group</w:t>
            </w:r>
          </w:p>
        </w:tc>
      </w:tr>
      <w:tr w:rsidR="00504E16" w:rsidRPr="00504E16" w14:paraId="2121E9AD" w14:textId="77777777" w:rsidTr="00504E16">
        <w:trPr>
          <w:trHeight w:val="310"/>
        </w:trPr>
        <w:tc>
          <w:tcPr>
            <w:tcW w:w="2920" w:type="dxa"/>
            <w:tcBorders>
              <w:top w:val="nil"/>
              <w:left w:val="nil"/>
              <w:bottom w:val="nil"/>
              <w:right w:val="nil"/>
            </w:tcBorders>
            <w:shd w:val="clear" w:color="auto" w:fill="auto"/>
            <w:noWrap/>
            <w:vAlign w:val="center"/>
            <w:hideMark/>
          </w:tcPr>
          <w:p w14:paraId="4E1C37A9" w14:textId="77777777" w:rsidR="00504E16" w:rsidRPr="00504E16" w:rsidRDefault="00504E16" w:rsidP="00504E16">
            <w:pPr>
              <w:spacing w:before="0" w:after="0"/>
              <w:jc w:val="right"/>
              <w:rPr>
                <w:rFonts w:eastAsia="Times New Roman" w:cs="Times New Roman"/>
                <w:i/>
                <w:color w:val="000000"/>
                <w:szCs w:val="24"/>
              </w:rPr>
            </w:pPr>
            <w:r w:rsidRPr="00504E16">
              <w:rPr>
                <w:rFonts w:eastAsia="Times New Roman" w:cs="Times New Roman"/>
                <w:i/>
                <w:color w:val="000000"/>
                <w:szCs w:val="24"/>
              </w:rPr>
              <w:t>'</w:t>
            </w:r>
            <w:proofErr w:type="spellStart"/>
            <w:r w:rsidRPr="00504E16">
              <w:rPr>
                <w:rFonts w:eastAsia="Times New Roman" w:cs="Times New Roman"/>
                <w:i/>
                <w:color w:val="000000"/>
                <w:szCs w:val="24"/>
              </w:rPr>
              <w:t>Asteroidea_spp</w:t>
            </w:r>
            <w:proofErr w:type="spellEnd"/>
            <w:r w:rsidRPr="00504E16">
              <w:rPr>
                <w:rFonts w:eastAsia="Times New Roman" w:cs="Times New Roman"/>
                <w:i/>
                <w:color w:val="000000"/>
                <w:szCs w:val="24"/>
              </w:rPr>
              <w:t>'</w:t>
            </w:r>
          </w:p>
        </w:tc>
        <w:tc>
          <w:tcPr>
            <w:tcW w:w="1100" w:type="dxa"/>
            <w:tcBorders>
              <w:top w:val="nil"/>
              <w:left w:val="nil"/>
              <w:bottom w:val="nil"/>
              <w:right w:val="nil"/>
            </w:tcBorders>
            <w:shd w:val="clear" w:color="auto" w:fill="auto"/>
            <w:noWrap/>
            <w:vAlign w:val="center"/>
            <w:hideMark/>
          </w:tcPr>
          <w:p w14:paraId="2B9035DF"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57.9</w:t>
            </w:r>
          </w:p>
        </w:tc>
        <w:tc>
          <w:tcPr>
            <w:tcW w:w="1020" w:type="dxa"/>
            <w:tcBorders>
              <w:top w:val="nil"/>
              <w:left w:val="nil"/>
              <w:bottom w:val="nil"/>
              <w:right w:val="nil"/>
            </w:tcBorders>
            <w:shd w:val="clear" w:color="auto" w:fill="auto"/>
            <w:noWrap/>
            <w:vAlign w:val="center"/>
            <w:hideMark/>
          </w:tcPr>
          <w:p w14:paraId="566F7FEE"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0.0001</w:t>
            </w:r>
          </w:p>
        </w:tc>
        <w:tc>
          <w:tcPr>
            <w:tcW w:w="776" w:type="dxa"/>
            <w:tcBorders>
              <w:top w:val="nil"/>
              <w:left w:val="nil"/>
              <w:bottom w:val="nil"/>
              <w:right w:val="nil"/>
            </w:tcBorders>
            <w:shd w:val="clear" w:color="auto" w:fill="auto"/>
            <w:noWrap/>
            <w:vAlign w:val="center"/>
            <w:hideMark/>
          </w:tcPr>
          <w:p w14:paraId="0E8BB816"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2010</w:t>
            </w:r>
          </w:p>
        </w:tc>
      </w:tr>
      <w:tr w:rsidR="00504E16" w:rsidRPr="00504E16" w14:paraId="088E115E" w14:textId="77777777" w:rsidTr="00504E16">
        <w:trPr>
          <w:trHeight w:val="310"/>
        </w:trPr>
        <w:tc>
          <w:tcPr>
            <w:tcW w:w="2920" w:type="dxa"/>
            <w:tcBorders>
              <w:top w:val="nil"/>
              <w:left w:val="nil"/>
              <w:bottom w:val="nil"/>
              <w:right w:val="nil"/>
            </w:tcBorders>
            <w:shd w:val="clear" w:color="auto" w:fill="auto"/>
            <w:noWrap/>
            <w:vAlign w:val="center"/>
            <w:hideMark/>
          </w:tcPr>
          <w:p w14:paraId="2D0E68D7" w14:textId="77777777" w:rsidR="00504E16" w:rsidRPr="00504E16" w:rsidRDefault="00504E16" w:rsidP="00504E16">
            <w:pPr>
              <w:spacing w:before="0" w:after="0"/>
              <w:jc w:val="right"/>
              <w:rPr>
                <w:rFonts w:eastAsia="Times New Roman" w:cs="Times New Roman"/>
                <w:i/>
                <w:color w:val="000000"/>
                <w:szCs w:val="24"/>
              </w:rPr>
            </w:pPr>
            <w:r w:rsidRPr="00504E16">
              <w:rPr>
                <w:rFonts w:eastAsia="Times New Roman" w:cs="Times New Roman"/>
                <w:i/>
                <w:color w:val="000000"/>
                <w:szCs w:val="24"/>
              </w:rPr>
              <w:t>'</w:t>
            </w:r>
            <w:proofErr w:type="spellStart"/>
            <w:r w:rsidRPr="00504E16">
              <w:rPr>
                <w:rFonts w:eastAsia="Times New Roman" w:cs="Times New Roman"/>
                <w:i/>
                <w:color w:val="000000"/>
                <w:szCs w:val="24"/>
              </w:rPr>
              <w:t>Nematocarcinus_rotundus</w:t>
            </w:r>
            <w:proofErr w:type="spellEnd"/>
            <w:r w:rsidRPr="00504E16">
              <w:rPr>
                <w:rFonts w:eastAsia="Times New Roman" w:cs="Times New Roman"/>
                <w:i/>
                <w:color w:val="000000"/>
                <w:szCs w:val="24"/>
              </w:rPr>
              <w:t>'</w:t>
            </w:r>
          </w:p>
        </w:tc>
        <w:tc>
          <w:tcPr>
            <w:tcW w:w="1100" w:type="dxa"/>
            <w:tcBorders>
              <w:top w:val="nil"/>
              <w:left w:val="nil"/>
              <w:bottom w:val="nil"/>
              <w:right w:val="nil"/>
            </w:tcBorders>
            <w:shd w:val="clear" w:color="auto" w:fill="auto"/>
            <w:noWrap/>
            <w:vAlign w:val="center"/>
            <w:hideMark/>
          </w:tcPr>
          <w:p w14:paraId="1CD8D587"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47.4</w:t>
            </w:r>
          </w:p>
        </w:tc>
        <w:tc>
          <w:tcPr>
            <w:tcW w:w="1020" w:type="dxa"/>
            <w:tcBorders>
              <w:top w:val="nil"/>
              <w:left w:val="nil"/>
              <w:bottom w:val="nil"/>
              <w:right w:val="nil"/>
            </w:tcBorders>
            <w:shd w:val="clear" w:color="auto" w:fill="auto"/>
            <w:noWrap/>
            <w:vAlign w:val="center"/>
            <w:hideMark/>
          </w:tcPr>
          <w:p w14:paraId="45845237"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0.0010</w:t>
            </w:r>
          </w:p>
        </w:tc>
        <w:tc>
          <w:tcPr>
            <w:tcW w:w="776" w:type="dxa"/>
            <w:tcBorders>
              <w:top w:val="nil"/>
              <w:left w:val="nil"/>
              <w:bottom w:val="nil"/>
              <w:right w:val="nil"/>
            </w:tcBorders>
            <w:shd w:val="clear" w:color="auto" w:fill="auto"/>
            <w:noWrap/>
            <w:vAlign w:val="center"/>
            <w:hideMark/>
          </w:tcPr>
          <w:p w14:paraId="0052EE56"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2010</w:t>
            </w:r>
          </w:p>
        </w:tc>
      </w:tr>
      <w:tr w:rsidR="00504E16" w:rsidRPr="00504E16" w14:paraId="7F8144BE" w14:textId="77777777" w:rsidTr="00504E16">
        <w:trPr>
          <w:trHeight w:val="310"/>
        </w:trPr>
        <w:tc>
          <w:tcPr>
            <w:tcW w:w="2920" w:type="dxa"/>
            <w:tcBorders>
              <w:top w:val="nil"/>
              <w:left w:val="nil"/>
              <w:bottom w:val="single" w:sz="4" w:space="0" w:color="auto"/>
              <w:right w:val="nil"/>
            </w:tcBorders>
            <w:shd w:val="clear" w:color="auto" w:fill="auto"/>
            <w:noWrap/>
            <w:vAlign w:val="center"/>
            <w:hideMark/>
          </w:tcPr>
          <w:p w14:paraId="4D3CF880" w14:textId="77777777" w:rsidR="00504E16" w:rsidRPr="00504E16" w:rsidRDefault="00504E16" w:rsidP="00504E16">
            <w:pPr>
              <w:spacing w:before="0" w:after="0"/>
              <w:jc w:val="right"/>
              <w:rPr>
                <w:rFonts w:eastAsia="Times New Roman" w:cs="Times New Roman"/>
                <w:i/>
                <w:color w:val="000000"/>
                <w:szCs w:val="24"/>
              </w:rPr>
            </w:pPr>
            <w:r w:rsidRPr="00504E16">
              <w:rPr>
                <w:rFonts w:eastAsia="Times New Roman" w:cs="Times New Roman"/>
                <w:i/>
                <w:color w:val="000000"/>
                <w:szCs w:val="24"/>
              </w:rPr>
              <w:t>'</w:t>
            </w:r>
            <w:proofErr w:type="spellStart"/>
            <w:r w:rsidRPr="00504E16">
              <w:rPr>
                <w:rFonts w:eastAsia="Times New Roman" w:cs="Times New Roman"/>
                <w:i/>
                <w:color w:val="000000"/>
                <w:szCs w:val="24"/>
              </w:rPr>
              <w:t>Elpididae_spp</w:t>
            </w:r>
            <w:proofErr w:type="spellEnd"/>
            <w:r w:rsidRPr="00504E16">
              <w:rPr>
                <w:rFonts w:eastAsia="Times New Roman" w:cs="Times New Roman"/>
                <w:i/>
                <w:color w:val="000000"/>
                <w:szCs w:val="24"/>
              </w:rPr>
              <w:t>'</w:t>
            </w:r>
          </w:p>
        </w:tc>
        <w:tc>
          <w:tcPr>
            <w:tcW w:w="1100" w:type="dxa"/>
            <w:tcBorders>
              <w:top w:val="nil"/>
              <w:left w:val="nil"/>
              <w:bottom w:val="single" w:sz="4" w:space="0" w:color="auto"/>
              <w:right w:val="nil"/>
            </w:tcBorders>
            <w:shd w:val="clear" w:color="auto" w:fill="auto"/>
            <w:noWrap/>
            <w:vAlign w:val="center"/>
            <w:hideMark/>
          </w:tcPr>
          <w:p w14:paraId="371614F1"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26.3</w:t>
            </w:r>
          </w:p>
        </w:tc>
        <w:tc>
          <w:tcPr>
            <w:tcW w:w="1020" w:type="dxa"/>
            <w:tcBorders>
              <w:top w:val="nil"/>
              <w:left w:val="nil"/>
              <w:bottom w:val="single" w:sz="4" w:space="0" w:color="auto"/>
              <w:right w:val="nil"/>
            </w:tcBorders>
            <w:shd w:val="clear" w:color="auto" w:fill="auto"/>
            <w:noWrap/>
            <w:vAlign w:val="center"/>
            <w:hideMark/>
          </w:tcPr>
          <w:p w14:paraId="652E32EC"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0.0457</w:t>
            </w:r>
          </w:p>
        </w:tc>
        <w:tc>
          <w:tcPr>
            <w:tcW w:w="776" w:type="dxa"/>
            <w:tcBorders>
              <w:top w:val="nil"/>
              <w:left w:val="nil"/>
              <w:bottom w:val="single" w:sz="4" w:space="0" w:color="auto"/>
              <w:right w:val="nil"/>
            </w:tcBorders>
            <w:shd w:val="clear" w:color="auto" w:fill="auto"/>
            <w:noWrap/>
            <w:vAlign w:val="center"/>
            <w:hideMark/>
          </w:tcPr>
          <w:p w14:paraId="38646B9D"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2010</w:t>
            </w:r>
          </w:p>
        </w:tc>
      </w:tr>
      <w:tr w:rsidR="00504E16" w:rsidRPr="00504E16" w14:paraId="026FE481" w14:textId="77777777" w:rsidTr="00433506">
        <w:trPr>
          <w:trHeight w:val="310"/>
        </w:trPr>
        <w:tc>
          <w:tcPr>
            <w:tcW w:w="2920" w:type="dxa"/>
            <w:tcBorders>
              <w:top w:val="nil"/>
              <w:left w:val="nil"/>
              <w:bottom w:val="nil"/>
              <w:right w:val="nil"/>
            </w:tcBorders>
            <w:shd w:val="clear" w:color="auto" w:fill="F2F2F2" w:themeFill="background1" w:themeFillShade="F2"/>
            <w:noWrap/>
            <w:vAlign w:val="center"/>
            <w:hideMark/>
          </w:tcPr>
          <w:p w14:paraId="1D371DA5" w14:textId="77777777" w:rsidR="00504E16" w:rsidRPr="00504E16" w:rsidRDefault="00504E16" w:rsidP="00504E16">
            <w:pPr>
              <w:spacing w:before="0" w:after="0"/>
              <w:jc w:val="right"/>
              <w:rPr>
                <w:rFonts w:eastAsia="Times New Roman" w:cs="Times New Roman"/>
                <w:i/>
                <w:color w:val="000000"/>
                <w:szCs w:val="24"/>
              </w:rPr>
            </w:pPr>
            <w:r w:rsidRPr="00504E16">
              <w:rPr>
                <w:rFonts w:eastAsia="Times New Roman" w:cs="Times New Roman"/>
                <w:i/>
                <w:color w:val="000000"/>
                <w:szCs w:val="24"/>
              </w:rPr>
              <w:t>'</w:t>
            </w:r>
            <w:proofErr w:type="spellStart"/>
            <w:r w:rsidRPr="00504E16">
              <w:rPr>
                <w:rFonts w:eastAsia="Times New Roman" w:cs="Times New Roman"/>
                <w:i/>
                <w:color w:val="000000"/>
                <w:szCs w:val="24"/>
              </w:rPr>
              <w:t>Plesiopenaeus_armatus</w:t>
            </w:r>
            <w:proofErr w:type="spellEnd"/>
            <w:r w:rsidRPr="00504E16">
              <w:rPr>
                <w:rFonts w:eastAsia="Times New Roman" w:cs="Times New Roman"/>
                <w:i/>
                <w:color w:val="000000"/>
                <w:szCs w:val="24"/>
              </w:rPr>
              <w:t>'</w:t>
            </w:r>
          </w:p>
        </w:tc>
        <w:tc>
          <w:tcPr>
            <w:tcW w:w="1100" w:type="dxa"/>
            <w:tcBorders>
              <w:top w:val="nil"/>
              <w:left w:val="nil"/>
              <w:bottom w:val="nil"/>
              <w:right w:val="nil"/>
            </w:tcBorders>
            <w:shd w:val="clear" w:color="auto" w:fill="F2F2F2" w:themeFill="background1" w:themeFillShade="F2"/>
            <w:noWrap/>
            <w:vAlign w:val="center"/>
            <w:hideMark/>
          </w:tcPr>
          <w:p w14:paraId="6678F6B7" w14:textId="77777777" w:rsidR="00504E16" w:rsidRPr="00504E16" w:rsidRDefault="00504E16" w:rsidP="00504E16">
            <w:pPr>
              <w:spacing w:before="0" w:after="0"/>
              <w:jc w:val="right"/>
              <w:rPr>
                <w:rFonts w:ascii="Palatino Linotype" w:eastAsia="Times New Roman" w:hAnsi="Palatino Linotype" w:cs="Times New Roman"/>
                <w:b/>
                <w:color w:val="000000"/>
                <w:sz w:val="22"/>
              </w:rPr>
            </w:pPr>
            <w:r w:rsidRPr="00504E16">
              <w:rPr>
                <w:rFonts w:ascii="Palatino Linotype" w:eastAsia="Times New Roman" w:hAnsi="Palatino Linotype" w:cs="Times New Roman"/>
                <w:b/>
                <w:color w:val="000000"/>
                <w:sz w:val="22"/>
              </w:rPr>
              <w:t>100.0</w:t>
            </w:r>
          </w:p>
        </w:tc>
        <w:tc>
          <w:tcPr>
            <w:tcW w:w="1020" w:type="dxa"/>
            <w:tcBorders>
              <w:top w:val="nil"/>
              <w:left w:val="nil"/>
              <w:bottom w:val="nil"/>
              <w:right w:val="nil"/>
            </w:tcBorders>
            <w:shd w:val="clear" w:color="auto" w:fill="F2F2F2" w:themeFill="background1" w:themeFillShade="F2"/>
            <w:noWrap/>
            <w:vAlign w:val="center"/>
            <w:hideMark/>
          </w:tcPr>
          <w:p w14:paraId="499DB806"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0.0001</w:t>
            </w:r>
          </w:p>
        </w:tc>
        <w:tc>
          <w:tcPr>
            <w:tcW w:w="776" w:type="dxa"/>
            <w:tcBorders>
              <w:top w:val="nil"/>
              <w:left w:val="nil"/>
              <w:bottom w:val="nil"/>
              <w:right w:val="nil"/>
            </w:tcBorders>
            <w:shd w:val="clear" w:color="auto" w:fill="F2F2F2" w:themeFill="background1" w:themeFillShade="F2"/>
            <w:noWrap/>
            <w:vAlign w:val="bottom"/>
            <w:hideMark/>
          </w:tcPr>
          <w:p w14:paraId="42A9AD73"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2017</w:t>
            </w:r>
          </w:p>
        </w:tc>
      </w:tr>
      <w:tr w:rsidR="00504E16" w:rsidRPr="00504E16" w14:paraId="301F9958" w14:textId="77777777" w:rsidTr="00433506">
        <w:trPr>
          <w:trHeight w:val="310"/>
        </w:trPr>
        <w:tc>
          <w:tcPr>
            <w:tcW w:w="2920" w:type="dxa"/>
            <w:tcBorders>
              <w:top w:val="nil"/>
              <w:left w:val="nil"/>
              <w:bottom w:val="nil"/>
              <w:right w:val="nil"/>
            </w:tcBorders>
            <w:shd w:val="clear" w:color="auto" w:fill="F2F2F2" w:themeFill="background1" w:themeFillShade="F2"/>
            <w:noWrap/>
            <w:vAlign w:val="center"/>
            <w:hideMark/>
          </w:tcPr>
          <w:p w14:paraId="199DE688" w14:textId="77777777" w:rsidR="00504E16" w:rsidRPr="00504E16" w:rsidRDefault="00504E16" w:rsidP="00504E16">
            <w:pPr>
              <w:spacing w:before="0" w:after="0"/>
              <w:jc w:val="right"/>
              <w:rPr>
                <w:rFonts w:eastAsia="Times New Roman" w:cs="Times New Roman"/>
                <w:i/>
                <w:color w:val="000000"/>
                <w:szCs w:val="24"/>
              </w:rPr>
            </w:pPr>
            <w:proofErr w:type="spellStart"/>
            <w:r w:rsidRPr="00504E16">
              <w:rPr>
                <w:rFonts w:eastAsia="Times New Roman" w:cs="Times New Roman"/>
                <w:i/>
                <w:color w:val="000000"/>
                <w:szCs w:val="24"/>
              </w:rPr>
              <w:t>Glyphocrangon_aculeata</w:t>
            </w:r>
            <w:proofErr w:type="spellEnd"/>
            <w:r w:rsidRPr="00504E16">
              <w:rPr>
                <w:rFonts w:eastAsia="Times New Roman" w:cs="Times New Roman"/>
                <w:i/>
                <w:color w:val="000000"/>
                <w:szCs w:val="24"/>
              </w:rPr>
              <w:t>'</w:t>
            </w:r>
          </w:p>
        </w:tc>
        <w:tc>
          <w:tcPr>
            <w:tcW w:w="1100" w:type="dxa"/>
            <w:tcBorders>
              <w:top w:val="nil"/>
              <w:left w:val="nil"/>
              <w:bottom w:val="nil"/>
              <w:right w:val="nil"/>
            </w:tcBorders>
            <w:shd w:val="clear" w:color="auto" w:fill="F2F2F2" w:themeFill="background1" w:themeFillShade="F2"/>
            <w:noWrap/>
            <w:vAlign w:val="center"/>
            <w:hideMark/>
          </w:tcPr>
          <w:p w14:paraId="59A1B5B1" w14:textId="77777777" w:rsidR="00504E16" w:rsidRPr="00504E16" w:rsidRDefault="00504E16" w:rsidP="00504E16">
            <w:pPr>
              <w:spacing w:before="0" w:after="0"/>
              <w:jc w:val="right"/>
              <w:rPr>
                <w:rFonts w:ascii="Palatino Linotype" w:eastAsia="Times New Roman" w:hAnsi="Palatino Linotype" w:cs="Times New Roman"/>
                <w:b/>
                <w:color w:val="000000"/>
                <w:sz w:val="22"/>
              </w:rPr>
            </w:pPr>
            <w:r w:rsidRPr="00504E16">
              <w:rPr>
                <w:rFonts w:ascii="Palatino Linotype" w:eastAsia="Times New Roman" w:hAnsi="Palatino Linotype" w:cs="Times New Roman"/>
                <w:b/>
                <w:color w:val="000000"/>
                <w:sz w:val="22"/>
              </w:rPr>
              <w:t>94.1</w:t>
            </w:r>
          </w:p>
        </w:tc>
        <w:tc>
          <w:tcPr>
            <w:tcW w:w="1020" w:type="dxa"/>
            <w:tcBorders>
              <w:top w:val="nil"/>
              <w:left w:val="nil"/>
              <w:bottom w:val="nil"/>
              <w:right w:val="nil"/>
            </w:tcBorders>
            <w:shd w:val="clear" w:color="auto" w:fill="F2F2F2" w:themeFill="background1" w:themeFillShade="F2"/>
            <w:noWrap/>
            <w:vAlign w:val="center"/>
            <w:hideMark/>
          </w:tcPr>
          <w:p w14:paraId="2BC42051"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0.0001</w:t>
            </w:r>
          </w:p>
        </w:tc>
        <w:tc>
          <w:tcPr>
            <w:tcW w:w="776" w:type="dxa"/>
            <w:tcBorders>
              <w:top w:val="nil"/>
              <w:left w:val="nil"/>
              <w:bottom w:val="nil"/>
              <w:right w:val="nil"/>
            </w:tcBorders>
            <w:shd w:val="clear" w:color="auto" w:fill="F2F2F2" w:themeFill="background1" w:themeFillShade="F2"/>
            <w:noWrap/>
            <w:vAlign w:val="bottom"/>
            <w:hideMark/>
          </w:tcPr>
          <w:p w14:paraId="1E18952D"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2017</w:t>
            </w:r>
          </w:p>
        </w:tc>
      </w:tr>
      <w:tr w:rsidR="00504E16" w:rsidRPr="00504E16" w14:paraId="1394935C" w14:textId="77777777" w:rsidTr="00433506">
        <w:trPr>
          <w:trHeight w:val="310"/>
        </w:trPr>
        <w:tc>
          <w:tcPr>
            <w:tcW w:w="2920" w:type="dxa"/>
            <w:tcBorders>
              <w:top w:val="nil"/>
              <w:left w:val="nil"/>
              <w:bottom w:val="nil"/>
              <w:right w:val="nil"/>
            </w:tcBorders>
            <w:shd w:val="clear" w:color="auto" w:fill="F2F2F2" w:themeFill="background1" w:themeFillShade="F2"/>
            <w:noWrap/>
            <w:vAlign w:val="bottom"/>
            <w:hideMark/>
          </w:tcPr>
          <w:p w14:paraId="474A8F13" w14:textId="77777777" w:rsidR="00504E16" w:rsidRPr="00504E16" w:rsidRDefault="00504E16" w:rsidP="00504E16">
            <w:pPr>
              <w:spacing w:before="0" w:after="0"/>
              <w:jc w:val="right"/>
              <w:rPr>
                <w:rFonts w:ascii="Palatino Linotype" w:eastAsia="Times New Roman" w:hAnsi="Palatino Linotype" w:cs="Times New Roman"/>
                <w:i/>
                <w:color w:val="000000"/>
                <w:sz w:val="22"/>
              </w:rPr>
            </w:pPr>
            <w:r w:rsidRPr="00504E16">
              <w:rPr>
                <w:rFonts w:ascii="Palatino Linotype" w:eastAsia="Times New Roman" w:hAnsi="Palatino Linotype" w:cs="Times New Roman"/>
                <w:i/>
                <w:color w:val="000000"/>
                <w:sz w:val="22"/>
              </w:rPr>
              <w:t>'</w:t>
            </w:r>
            <w:proofErr w:type="spellStart"/>
            <w:r w:rsidRPr="00504E16">
              <w:rPr>
                <w:rFonts w:ascii="Palatino Linotype" w:eastAsia="Times New Roman" w:hAnsi="Palatino Linotype" w:cs="Times New Roman"/>
                <w:i/>
                <w:color w:val="000000"/>
                <w:sz w:val="22"/>
              </w:rPr>
              <w:t>Galatheoidea</w:t>
            </w:r>
            <w:proofErr w:type="spellEnd"/>
            <w:r w:rsidRPr="00504E16">
              <w:rPr>
                <w:rFonts w:ascii="Palatino Linotype" w:eastAsia="Times New Roman" w:hAnsi="Palatino Linotype" w:cs="Times New Roman"/>
                <w:i/>
                <w:color w:val="000000"/>
                <w:sz w:val="22"/>
              </w:rPr>
              <w:t>'</w:t>
            </w:r>
          </w:p>
        </w:tc>
        <w:tc>
          <w:tcPr>
            <w:tcW w:w="1100" w:type="dxa"/>
            <w:tcBorders>
              <w:top w:val="nil"/>
              <w:left w:val="nil"/>
              <w:bottom w:val="nil"/>
              <w:right w:val="nil"/>
            </w:tcBorders>
            <w:shd w:val="clear" w:color="auto" w:fill="F2F2F2" w:themeFill="background1" w:themeFillShade="F2"/>
            <w:noWrap/>
            <w:vAlign w:val="center"/>
            <w:hideMark/>
          </w:tcPr>
          <w:p w14:paraId="125F9808"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61.5</w:t>
            </w:r>
          </w:p>
        </w:tc>
        <w:tc>
          <w:tcPr>
            <w:tcW w:w="1020" w:type="dxa"/>
            <w:tcBorders>
              <w:top w:val="nil"/>
              <w:left w:val="nil"/>
              <w:bottom w:val="nil"/>
              <w:right w:val="nil"/>
            </w:tcBorders>
            <w:shd w:val="clear" w:color="auto" w:fill="F2F2F2" w:themeFill="background1" w:themeFillShade="F2"/>
            <w:noWrap/>
            <w:vAlign w:val="center"/>
            <w:hideMark/>
          </w:tcPr>
          <w:p w14:paraId="7858335C"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0.0002</w:t>
            </w:r>
          </w:p>
        </w:tc>
        <w:tc>
          <w:tcPr>
            <w:tcW w:w="776" w:type="dxa"/>
            <w:tcBorders>
              <w:top w:val="nil"/>
              <w:left w:val="nil"/>
              <w:bottom w:val="nil"/>
              <w:right w:val="nil"/>
            </w:tcBorders>
            <w:shd w:val="clear" w:color="auto" w:fill="F2F2F2" w:themeFill="background1" w:themeFillShade="F2"/>
            <w:noWrap/>
            <w:vAlign w:val="bottom"/>
            <w:hideMark/>
          </w:tcPr>
          <w:p w14:paraId="6AB7430F"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2017</w:t>
            </w:r>
          </w:p>
        </w:tc>
      </w:tr>
      <w:tr w:rsidR="00504E16" w:rsidRPr="00504E16" w14:paraId="777C91B9" w14:textId="77777777" w:rsidTr="00433506">
        <w:trPr>
          <w:trHeight w:val="310"/>
        </w:trPr>
        <w:tc>
          <w:tcPr>
            <w:tcW w:w="2920" w:type="dxa"/>
            <w:tcBorders>
              <w:top w:val="nil"/>
              <w:left w:val="nil"/>
              <w:bottom w:val="nil"/>
              <w:right w:val="nil"/>
            </w:tcBorders>
            <w:shd w:val="clear" w:color="auto" w:fill="F2F2F2" w:themeFill="background1" w:themeFillShade="F2"/>
            <w:noWrap/>
            <w:vAlign w:val="center"/>
            <w:hideMark/>
          </w:tcPr>
          <w:p w14:paraId="45E5DC08" w14:textId="77777777" w:rsidR="00504E16" w:rsidRPr="00504E16" w:rsidRDefault="00504E16" w:rsidP="00504E16">
            <w:pPr>
              <w:spacing w:before="0" w:after="0"/>
              <w:jc w:val="right"/>
              <w:rPr>
                <w:rFonts w:eastAsia="Times New Roman" w:cs="Times New Roman"/>
                <w:i/>
                <w:color w:val="000000"/>
                <w:szCs w:val="24"/>
              </w:rPr>
            </w:pPr>
            <w:proofErr w:type="spellStart"/>
            <w:r w:rsidRPr="00504E16">
              <w:rPr>
                <w:rFonts w:eastAsia="Times New Roman" w:cs="Times New Roman"/>
                <w:i/>
                <w:color w:val="000000"/>
                <w:szCs w:val="24"/>
              </w:rPr>
              <w:t>Trachonurus_</w:t>
            </w:r>
            <w:proofErr w:type="gramStart"/>
            <w:r w:rsidRPr="00504E16">
              <w:rPr>
                <w:rFonts w:eastAsia="Times New Roman" w:cs="Times New Roman"/>
                <w:i/>
                <w:color w:val="000000"/>
                <w:szCs w:val="24"/>
              </w:rPr>
              <w:t>villosus</w:t>
            </w:r>
            <w:proofErr w:type="spellEnd"/>
            <w:r w:rsidRPr="00504E16">
              <w:rPr>
                <w:rFonts w:eastAsia="Times New Roman" w:cs="Times New Roman"/>
                <w:i/>
                <w:color w:val="000000"/>
                <w:szCs w:val="24"/>
              </w:rPr>
              <w:t xml:space="preserve">'  </w:t>
            </w:r>
            <w:proofErr w:type="gramEnd"/>
          </w:p>
        </w:tc>
        <w:tc>
          <w:tcPr>
            <w:tcW w:w="1100" w:type="dxa"/>
            <w:tcBorders>
              <w:top w:val="nil"/>
              <w:left w:val="nil"/>
              <w:bottom w:val="nil"/>
              <w:right w:val="nil"/>
            </w:tcBorders>
            <w:shd w:val="clear" w:color="auto" w:fill="F2F2F2" w:themeFill="background1" w:themeFillShade="F2"/>
            <w:noWrap/>
            <w:vAlign w:val="center"/>
            <w:hideMark/>
          </w:tcPr>
          <w:p w14:paraId="1E36EDCF"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52.9</w:t>
            </w:r>
          </w:p>
        </w:tc>
        <w:tc>
          <w:tcPr>
            <w:tcW w:w="1020" w:type="dxa"/>
            <w:tcBorders>
              <w:top w:val="nil"/>
              <w:left w:val="nil"/>
              <w:bottom w:val="nil"/>
              <w:right w:val="nil"/>
            </w:tcBorders>
            <w:shd w:val="clear" w:color="auto" w:fill="F2F2F2" w:themeFill="background1" w:themeFillShade="F2"/>
            <w:noWrap/>
            <w:vAlign w:val="center"/>
            <w:hideMark/>
          </w:tcPr>
          <w:p w14:paraId="3C4DDBF1"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0.0002</w:t>
            </w:r>
          </w:p>
        </w:tc>
        <w:tc>
          <w:tcPr>
            <w:tcW w:w="776" w:type="dxa"/>
            <w:tcBorders>
              <w:top w:val="nil"/>
              <w:left w:val="nil"/>
              <w:bottom w:val="nil"/>
              <w:right w:val="nil"/>
            </w:tcBorders>
            <w:shd w:val="clear" w:color="auto" w:fill="F2F2F2" w:themeFill="background1" w:themeFillShade="F2"/>
            <w:noWrap/>
            <w:vAlign w:val="bottom"/>
            <w:hideMark/>
          </w:tcPr>
          <w:p w14:paraId="11FB79CE"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2017</w:t>
            </w:r>
          </w:p>
        </w:tc>
      </w:tr>
      <w:tr w:rsidR="00504E16" w:rsidRPr="00504E16" w14:paraId="0BF14A5A" w14:textId="77777777" w:rsidTr="00433506">
        <w:trPr>
          <w:trHeight w:val="310"/>
        </w:trPr>
        <w:tc>
          <w:tcPr>
            <w:tcW w:w="2920" w:type="dxa"/>
            <w:tcBorders>
              <w:top w:val="nil"/>
              <w:left w:val="nil"/>
              <w:bottom w:val="nil"/>
              <w:right w:val="nil"/>
            </w:tcBorders>
            <w:shd w:val="clear" w:color="auto" w:fill="F2F2F2" w:themeFill="background1" w:themeFillShade="F2"/>
            <w:noWrap/>
            <w:vAlign w:val="center"/>
            <w:hideMark/>
          </w:tcPr>
          <w:p w14:paraId="00EF67C3" w14:textId="77777777" w:rsidR="00504E16" w:rsidRPr="00504E16" w:rsidRDefault="00504E16" w:rsidP="00504E16">
            <w:pPr>
              <w:spacing w:before="0" w:after="0"/>
              <w:jc w:val="right"/>
              <w:rPr>
                <w:rFonts w:eastAsia="Times New Roman" w:cs="Times New Roman"/>
                <w:i/>
                <w:color w:val="000000"/>
                <w:szCs w:val="24"/>
              </w:rPr>
            </w:pPr>
            <w:proofErr w:type="spellStart"/>
            <w:r w:rsidRPr="00504E16">
              <w:rPr>
                <w:rFonts w:eastAsia="Times New Roman" w:cs="Times New Roman"/>
                <w:i/>
                <w:color w:val="000000"/>
                <w:szCs w:val="24"/>
              </w:rPr>
              <w:t>Dicrolene_</w:t>
            </w:r>
            <w:proofErr w:type="gramStart"/>
            <w:r w:rsidRPr="00504E16">
              <w:rPr>
                <w:rFonts w:eastAsia="Times New Roman" w:cs="Times New Roman"/>
                <w:i/>
                <w:color w:val="000000"/>
                <w:szCs w:val="24"/>
              </w:rPr>
              <w:t>introniger</w:t>
            </w:r>
            <w:proofErr w:type="spellEnd"/>
            <w:r w:rsidRPr="00504E16">
              <w:rPr>
                <w:rFonts w:eastAsia="Times New Roman" w:cs="Times New Roman"/>
                <w:i/>
                <w:color w:val="000000"/>
                <w:szCs w:val="24"/>
              </w:rPr>
              <w:t xml:space="preserve">'  </w:t>
            </w:r>
            <w:proofErr w:type="gramEnd"/>
          </w:p>
        </w:tc>
        <w:tc>
          <w:tcPr>
            <w:tcW w:w="1100" w:type="dxa"/>
            <w:tcBorders>
              <w:top w:val="nil"/>
              <w:left w:val="nil"/>
              <w:bottom w:val="nil"/>
              <w:right w:val="nil"/>
            </w:tcBorders>
            <w:shd w:val="clear" w:color="auto" w:fill="F2F2F2" w:themeFill="background1" w:themeFillShade="F2"/>
            <w:noWrap/>
            <w:vAlign w:val="center"/>
            <w:hideMark/>
          </w:tcPr>
          <w:p w14:paraId="7B6C598F"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47.1</w:t>
            </w:r>
          </w:p>
        </w:tc>
        <w:tc>
          <w:tcPr>
            <w:tcW w:w="1020" w:type="dxa"/>
            <w:tcBorders>
              <w:top w:val="nil"/>
              <w:left w:val="nil"/>
              <w:bottom w:val="nil"/>
              <w:right w:val="nil"/>
            </w:tcBorders>
            <w:shd w:val="clear" w:color="auto" w:fill="F2F2F2" w:themeFill="background1" w:themeFillShade="F2"/>
            <w:noWrap/>
            <w:vAlign w:val="center"/>
            <w:hideMark/>
          </w:tcPr>
          <w:p w14:paraId="06B4CC39"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0.0017</w:t>
            </w:r>
          </w:p>
        </w:tc>
        <w:tc>
          <w:tcPr>
            <w:tcW w:w="776" w:type="dxa"/>
            <w:tcBorders>
              <w:top w:val="nil"/>
              <w:left w:val="nil"/>
              <w:bottom w:val="nil"/>
              <w:right w:val="nil"/>
            </w:tcBorders>
            <w:shd w:val="clear" w:color="auto" w:fill="F2F2F2" w:themeFill="background1" w:themeFillShade="F2"/>
            <w:noWrap/>
            <w:vAlign w:val="bottom"/>
            <w:hideMark/>
          </w:tcPr>
          <w:p w14:paraId="610B5CBB"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2017</w:t>
            </w:r>
          </w:p>
        </w:tc>
      </w:tr>
      <w:tr w:rsidR="00504E16" w:rsidRPr="00504E16" w14:paraId="06618C17" w14:textId="77777777" w:rsidTr="00433506">
        <w:trPr>
          <w:trHeight w:val="310"/>
        </w:trPr>
        <w:tc>
          <w:tcPr>
            <w:tcW w:w="2920" w:type="dxa"/>
            <w:tcBorders>
              <w:top w:val="nil"/>
              <w:left w:val="nil"/>
              <w:bottom w:val="nil"/>
              <w:right w:val="nil"/>
            </w:tcBorders>
            <w:shd w:val="clear" w:color="auto" w:fill="F2F2F2" w:themeFill="background1" w:themeFillShade="F2"/>
            <w:noWrap/>
            <w:vAlign w:val="bottom"/>
            <w:hideMark/>
          </w:tcPr>
          <w:p w14:paraId="42BE1F0F" w14:textId="77777777" w:rsidR="00504E16" w:rsidRPr="00504E16" w:rsidRDefault="00504E16" w:rsidP="00504E16">
            <w:pPr>
              <w:spacing w:before="0" w:after="0"/>
              <w:jc w:val="right"/>
              <w:rPr>
                <w:rFonts w:ascii="Palatino Linotype" w:eastAsia="Times New Roman" w:hAnsi="Palatino Linotype" w:cs="Times New Roman"/>
                <w:i/>
                <w:color w:val="000000"/>
                <w:sz w:val="22"/>
              </w:rPr>
            </w:pPr>
            <w:r w:rsidRPr="00504E16">
              <w:rPr>
                <w:rFonts w:ascii="Palatino Linotype" w:eastAsia="Times New Roman" w:hAnsi="Palatino Linotype" w:cs="Times New Roman"/>
                <w:i/>
                <w:color w:val="000000"/>
                <w:sz w:val="22"/>
              </w:rPr>
              <w:t>'</w:t>
            </w:r>
            <w:proofErr w:type="spellStart"/>
            <w:r w:rsidRPr="00504E16">
              <w:rPr>
                <w:rFonts w:ascii="Palatino Linotype" w:eastAsia="Times New Roman" w:hAnsi="Palatino Linotype" w:cs="Times New Roman"/>
                <w:i/>
                <w:color w:val="000000"/>
                <w:sz w:val="22"/>
              </w:rPr>
              <w:t>Zoarcidae_sp_K</w:t>
            </w:r>
            <w:proofErr w:type="spellEnd"/>
            <w:r w:rsidRPr="00504E16">
              <w:rPr>
                <w:rFonts w:ascii="Palatino Linotype" w:eastAsia="Times New Roman" w:hAnsi="Palatino Linotype" w:cs="Times New Roman"/>
                <w:i/>
                <w:color w:val="000000"/>
                <w:sz w:val="22"/>
              </w:rPr>
              <w:t>'</w:t>
            </w:r>
          </w:p>
        </w:tc>
        <w:tc>
          <w:tcPr>
            <w:tcW w:w="1100" w:type="dxa"/>
            <w:tcBorders>
              <w:top w:val="nil"/>
              <w:left w:val="nil"/>
              <w:bottom w:val="nil"/>
              <w:right w:val="nil"/>
            </w:tcBorders>
            <w:shd w:val="clear" w:color="auto" w:fill="F2F2F2" w:themeFill="background1" w:themeFillShade="F2"/>
            <w:noWrap/>
            <w:vAlign w:val="center"/>
            <w:hideMark/>
          </w:tcPr>
          <w:p w14:paraId="12BA5D6A"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47.1</w:t>
            </w:r>
          </w:p>
        </w:tc>
        <w:tc>
          <w:tcPr>
            <w:tcW w:w="1020" w:type="dxa"/>
            <w:tcBorders>
              <w:top w:val="nil"/>
              <w:left w:val="nil"/>
              <w:bottom w:val="nil"/>
              <w:right w:val="nil"/>
            </w:tcBorders>
            <w:shd w:val="clear" w:color="auto" w:fill="F2F2F2" w:themeFill="background1" w:themeFillShade="F2"/>
            <w:noWrap/>
            <w:vAlign w:val="center"/>
            <w:hideMark/>
          </w:tcPr>
          <w:p w14:paraId="129E729E"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0.0015</w:t>
            </w:r>
          </w:p>
        </w:tc>
        <w:tc>
          <w:tcPr>
            <w:tcW w:w="776" w:type="dxa"/>
            <w:tcBorders>
              <w:top w:val="nil"/>
              <w:left w:val="nil"/>
              <w:bottom w:val="nil"/>
              <w:right w:val="nil"/>
            </w:tcBorders>
            <w:shd w:val="clear" w:color="auto" w:fill="F2F2F2" w:themeFill="background1" w:themeFillShade="F2"/>
            <w:noWrap/>
            <w:vAlign w:val="bottom"/>
            <w:hideMark/>
          </w:tcPr>
          <w:p w14:paraId="639FD955"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2017</w:t>
            </w:r>
          </w:p>
        </w:tc>
      </w:tr>
      <w:tr w:rsidR="00504E16" w:rsidRPr="00504E16" w14:paraId="6C48B5EE" w14:textId="77777777" w:rsidTr="00433506">
        <w:trPr>
          <w:trHeight w:val="310"/>
        </w:trPr>
        <w:tc>
          <w:tcPr>
            <w:tcW w:w="2920" w:type="dxa"/>
            <w:tcBorders>
              <w:top w:val="nil"/>
              <w:left w:val="nil"/>
              <w:bottom w:val="nil"/>
              <w:right w:val="nil"/>
            </w:tcBorders>
            <w:shd w:val="clear" w:color="auto" w:fill="F2F2F2" w:themeFill="background1" w:themeFillShade="F2"/>
            <w:noWrap/>
            <w:vAlign w:val="bottom"/>
            <w:hideMark/>
          </w:tcPr>
          <w:p w14:paraId="67480BA5" w14:textId="77777777" w:rsidR="00504E16" w:rsidRPr="00504E16" w:rsidRDefault="00504E16" w:rsidP="00504E16">
            <w:pPr>
              <w:spacing w:before="0" w:after="0"/>
              <w:jc w:val="right"/>
              <w:rPr>
                <w:rFonts w:ascii="Palatino Linotype" w:eastAsia="Times New Roman" w:hAnsi="Palatino Linotype" w:cs="Times New Roman"/>
                <w:i/>
                <w:color w:val="000000"/>
                <w:sz w:val="22"/>
              </w:rPr>
            </w:pPr>
            <w:r w:rsidRPr="00504E16">
              <w:rPr>
                <w:rFonts w:ascii="Palatino Linotype" w:eastAsia="Times New Roman" w:hAnsi="Palatino Linotype" w:cs="Times New Roman"/>
                <w:i/>
                <w:color w:val="000000"/>
                <w:sz w:val="22"/>
              </w:rPr>
              <w:t>'</w:t>
            </w:r>
            <w:proofErr w:type="spellStart"/>
            <w:r w:rsidRPr="00504E16">
              <w:rPr>
                <w:rFonts w:ascii="Palatino Linotype" w:eastAsia="Times New Roman" w:hAnsi="Palatino Linotype" w:cs="Times New Roman"/>
                <w:i/>
                <w:color w:val="000000"/>
                <w:sz w:val="22"/>
              </w:rPr>
              <w:t>Chaceon_fenneri</w:t>
            </w:r>
            <w:proofErr w:type="spellEnd"/>
            <w:r w:rsidRPr="00504E16">
              <w:rPr>
                <w:rFonts w:ascii="Palatino Linotype" w:eastAsia="Times New Roman" w:hAnsi="Palatino Linotype" w:cs="Times New Roman"/>
                <w:i/>
                <w:color w:val="000000"/>
                <w:sz w:val="22"/>
              </w:rPr>
              <w:t>'</w:t>
            </w:r>
          </w:p>
        </w:tc>
        <w:tc>
          <w:tcPr>
            <w:tcW w:w="1100" w:type="dxa"/>
            <w:tcBorders>
              <w:top w:val="nil"/>
              <w:left w:val="nil"/>
              <w:bottom w:val="nil"/>
              <w:right w:val="nil"/>
            </w:tcBorders>
            <w:shd w:val="clear" w:color="auto" w:fill="F2F2F2" w:themeFill="background1" w:themeFillShade="F2"/>
            <w:noWrap/>
            <w:vAlign w:val="center"/>
            <w:hideMark/>
          </w:tcPr>
          <w:p w14:paraId="51F3A91C"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35.3</w:t>
            </w:r>
          </w:p>
        </w:tc>
        <w:tc>
          <w:tcPr>
            <w:tcW w:w="1020" w:type="dxa"/>
            <w:tcBorders>
              <w:top w:val="nil"/>
              <w:left w:val="nil"/>
              <w:bottom w:val="nil"/>
              <w:right w:val="nil"/>
            </w:tcBorders>
            <w:shd w:val="clear" w:color="auto" w:fill="F2F2F2" w:themeFill="background1" w:themeFillShade="F2"/>
            <w:noWrap/>
            <w:vAlign w:val="center"/>
            <w:hideMark/>
          </w:tcPr>
          <w:p w14:paraId="0BAB6DCB"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0.0058</w:t>
            </w:r>
          </w:p>
        </w:tc>
        <w:tc>
          <w:tcPr>
            <w:tcW w:w="776" w:type="dxa"/>
            <w:tcBorders>
              <w:top w:val="nil"/>
              <w:left w:val="nil"/>
              <w:bottom w:val="nil"/>
              <w:right w:val="nil"/>
            </w:tcBorders>
            <w:shd w:val="clear" w:color="auto" w:fill="F2F2F2" w:themeFill="background1" w:themeFillShade="F2"/>
            <w:noWrap/>
            <w:vAlign w:val="bottom"/>
            <w:hideMark/>
          </w:tcPr>
          <w:p w14:paraId="4A9FB753"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2017</w:t>
            </w:r>
          </w:p>
        </w:tc>
      </w:tr>
      <w:tr w:rsidR="00504E16" w:rsidRPr="00504E16" w14:paraId="1B0AA43D" w14:textId="77777777" w:rsidTr="00433506">
        <w:trPr>
          <w:trHeight w:val="310"/>
        </w:trPr>
        <w:tc>
          <w:tcPr>
            <w:tcW w:w="2920" w:type="dxa"/>
            <w:tcBorders>
              <w:top w:val="nil"/>
              <w:left w:val="nil"/>
              <w:bottom w:val="single" w:sz="4" w:space="0" w:color="auto"/>
              <w:right w:val="nil"/>
            </w:tcBorders>
            <w:shd w:val="clear" w:color="auto" w:fill="F2F2F2" w:themeFill="background1" w:themeFillShade="F2"/>
            <w:noWrap/>
            <w:vAlign w:val="bottom"/>
            <w:hideMark/>
          </w:tcPr>
          <w:p w14:paraId="3C784FF1" w14:textId="77777777" w:rsidR="00504E16" w:rsidRPr="00504E16" w:rsidRDefault="00504E16" w:rsidP="00504E16">
            <w:pPr>
              <w:spacing w:before="0" w:after="0"/>
              <w:jc w:val="right"/>
              <w:rPr>
                <w:rFonts w:ascii="Palatino Linotype" w:eastAsia="Times New Roman" w:hAnsi="Palatino Linotype" w:cs="Times New Roman"/>
                <w:i/>
                <w:color w:val="000000"/>
                <w:sz w:val="22"/>
              </w:rPr>
            </w:pPr>
            <w:r w:rsidRPr="00504E16">
              <w:rPr>
                <w:rFonts w:ascii="Palatino Linotype" w:eastAsia="Times New Roman" w:hAnsi="Palatino Linotype" w:cs="Times New Roman"/>
                <w:i/>
                <w:color w:val="000000"/>
                <w:sz w:val="22"/>
              </w:rPr>
              <w:t>'</w:t>
            </w:r>
            <w:proofErr w:type="spellStart"/>
            <w:r w:rsidRPr="00504E16">
              <w:rPr>
                <w:rFonts w:ascii="Palatino Linotype" w:eastAsia="Times New Roman" w:hAnsi="Palatino Linotype" w:cs="Times New Roman"/>
                <w:i/>
                <w:color w:val="000000"/>
                <w:sz w:val="22"/>
              </w:rPr>
              <w:t>Paguroidea_sp_A</w:t>
            </w:r>
            <w:proofErr w:type="spellEnd"/>
            <w:r w:rsidRPr="00504E16">
              <w:rPr>
                <w:rFonts w:ascii="Palatino Linotype" w:eastAsia="Times New Roman" w:hAnsi="Palatino Linotype" w:cs="Times New Roman"/>
                <w:i/>
                <w:color w:val="000000"/>
                <w:sz w:val="22"/>
              </w:rPr>
              <w:t>'</w:t>
            </w:r>
          </w:p>
        </w:tc>
        <w:tc>
          <w:tcPr>
            <w:tcW w:w="1100" w:type="dxa"/>
            <w:tcBorders>
              <w:top w:val="nil"/>
              <w:left w:val="nil"/>
              <w:bottom w:val="single" w:sz="4" w:space="0" w:color="auto"/>
              <w:right w:val="nil"/>
            </w:tcBorders>
            <w:shd w:val="clear" w:color="auto" w:fill="F2F2F2" w:themeFill="background1" w:themeFillShade="F2"/>
            <w:noWrap/>
            <w:vAlign w:val="center"/>
            <w:hideMark/>
          </w:tcPr>
          <w:p w14:paraId="6E9F9A5A"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25.7</w:t>
            </w:r>
          </w:p>
        </w:tc>
        <w:tc>
          <w:tcPr>
            <w:tcW w:w="1020" w:type="dxa"/>
            <w:tcBorders>
              <w:top w:val="nil"/>
              <w:left w:val="nil"/>
              <w:bottom w:val="single" w:sz="4" w:space="0" w:color="auto"/>
              <w:right w:val="nil"/>
            </w:tcBorders>
            <w:shd w:val="clear" w:color="auto" w:fill="F2F2F2" w:themeFill="background1" w:themeFillShade="F2"/>
            <w:noWrap/>
            <w:vAlign w:val="center"/>
            <w:hideMark/>
          </w:tcPr>
          <w:p w14:paraId="7BF16BAC"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0.0481</w:t>
            </w:r>
          </w:p>
        </w:tc>
        <w:tc>
          <w:tcPr>
            <w:tcW w:w="776" w:type="dxa"/>
            <w:tcBorders>
              <w:top w:val="nil"/>
              <w:left w:val="nil"/>
              <w:bottom w:val="single" w:sz="4" w:space="0" w:color="auto"/>
              <w:right w:val="nil"/>
            </w:tcBorders>
            <w:shd w:val="clear" w:color="auto" w:fill="F2F2F2" w:themeFill="background1" w:themeFillShade="F2"/>
            <w:noWrap/>
            <w:vAlign w:val="bottom"/>
            <w:hideMark/>
          </w:tcPr>
          <w:p w14:paraId="77BCA4C9" w14:textId="77777777" w:rsidR="00504E16" w:rsidRPr="00504E16" w:rsidRDefault="00504E16" w:rsidP="00504E16">
            <w:pPr>
              <w:spacing w:before="0" w:after="0"/>
              <w:jc w:val="right"/>
              <w:rPr>
                <w:rFonts w:ascii="Palatino Linotype" w:eastAsia="Times New Roman" w:hAnsi="Palatino Linotype" w:cs="Times New Roman"/>
                <w:color w:val="000000"/>
                <w:sz w:val="22"/>
              </w:rPr>
            </w:pPr>
            <w:r w:rsidRPr="00504E16">
              <w:rPr>
                <w:rFonts w:ascii="Palatino Linotype" w:eastAsia="Times New Roman" w:hAnsi="Palatino Linotype" w:cs="Times New Roman"/>
                <w:color w:val="000000"/>
                <w:sz w:val="22"/>
              </w:rPr>
              <w:t>2017</w:t>
            </w:r>
          </w:p>
        </w:tc>
      </w:tr>
    </w:tbl>
    <w:p w14:paraId="748AA6FB" w14:textId="77777777" w:rsidR="00504E16" w:rsidRPr="00504E16" w:rsidRDefault="00504E16" w:rsidP="004A397A">
      <w:pPr>
        <w:rPr>
          <w:b/>
        </w:rPr>
      </w:pPr>
    </w:p>
    <w:p w14:paraId="2AFCEAE3" w14:textId="02DC9260" w:rsidR="0017003C" w:rsidRDefault="003E6F8E" w:rsidP="008E3ACC">
      <w:pPr>
        <w:pStyle w:val="Heading1"/>
        <w:keepNext/>
      </w:pPr>
      <w:r w:rsidRPr="0091785E">
        <w:t>Supplementary Figures</w:t>
      </w:r>
    </w:p>
    <w:p w14:paraId="0FA1189D" w14:textId="17016E66" w:rsidR="00D073EE" w:rsidRPr="00D073EE" w:rsidRDefault="00805649" w:rsidP="00D073EE">
      <w:r>
        <w:rPr>
          <w:noProof/>
          <w:color w:val="FF0000"/>
        </w:rPr>
        <w:drawing>
          <wp:inline distT="0" distB="0" distL="0" distR="0" wp14:anchorId="017433FE" wp14:editId="61FB583C">
            <wp:extent cx="6060440" cy="4545330"/>
            <wp:effectExtent l="0" t="0" r="10160" b="1270"/>
            <wp:docPr id="5" name="Picture 5" descr="Macintosh HD:Users:Patty:Documents:BP:Manuscripts:2020 Benthic Core 3 synthesis :Figures:Figure S1_Foram Time Ser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ty:Documents:BP:Manuscripts:2020 Benthic Core 3 synthesis :Figures:Figure S1_Foram Time Series.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0440" cy="4545330"/>
                    </a:xfrm>
                    <a:prstGeom prst="rect">
                      <a:avLst/>
                    </a:prstGeom>
                    <a:noFill/>
                    <a:ln>
                      <a:noFill/>
                    </a:ln>
                  </pic:spPr>
                </pic:pic>
              </a:graphicData>
            </a:graphic>
          </wp:inline>
        </w:drawing>
      </w:r>
      <w:proofErr w:type="gramStart"/>
      <w:r w:rsidRPr="00805649">
        <w:rPr>
          <w:b/>
        </w:rPr>
        <w:t>Supplementary Figure S</w:t>
      </w:r>
      <w:r w:rsidRPr="00805649">
        <w:rPr>
          <w:b/>
        </w:rPr>
        <w:fldChar w:fldCharType="begin"/>
      </w:r>
      <w:r w:rsidRPr="00805649">
        <w:rPr>
          <w:b/>
        </w:rPr>
        <w:instrText xml:space="preserve"> SEQ Figure \* ARABIC </w:instrText>
      </w:r>
      <w:r w:rsidRPr="00805649">
        <w:rPr>
          <w:b/>
        </w:rPr>
        <w:fldChar w:fldCharType="separate"/>
      </w:r>
      <w:r w:rsidRPr="00805649">
        <w:rPr>
          <w:b/>
          <w:noProof/>
        </w:rPr>
        <w:t>1</w:t>
      </w:r>
      <w:r w:rsidRPr="00805649">
        <w:rPr>
          <w:b/>
          <w:noProof/>
        </w:rPr>
        <w:fldChar w:fldCharType="end"/>
      </w:r>
      <w:r w:rsidRPr="00805649">
        <w:rPr>
          <w:b/>
        </w:rPr>
        <w:t>.</w:t>
      </w:r>
      <w:proofErr w:type="gramEnd"/>
      <w:r w:rsidRPr="004E30B9">
        <w:t xml:space="preserve"> </w:t>
      </w:r>
      <w:r w:rsidR="00DD2BBA" w:rsidRPr="004E30B9">
        <w:t xml:space="preserve">A time-series of total benthic foraminifera </w:t>
      </w:r>
      <w:r w:rsidR="00DD2BBA">
        <w:t xml:space="preserve">mean values for </w:t>
      </w:r>
      <w:r w:rsidR="00DD2BBA" w:rsidRPr="004E30B9">
        <w:t xml:space="preserve">richness (A), Shannon diversity (B) and evenness (C) utilizing data from </w:t>
      </w:r>
      <w:r w:rsidR="00DD2BBA">
        <w:t xml:space="preserve">five DWH-impacted sites included in </w:t>
      </w:r>
      <w:r w:rsidR="00DD2BBA" w:rsidRPr="004E30B9">
        <w:t>Schwing et al., (2018A) and short-lived radioisotope dates from Brooks et al., (2015) and Larson et al., (2018).</w:t>
      </w:r>
    </w:p>
    <w:p w14:paraId="10764C81" w14:textId="4E81271E" w:rsidR="003C5C4F" w:rsidRDefault="003C5C4F" w:rsidP="00D073EE">
      <w:pPr>
        <w:keepNext/>
        <w:spacing w:before="0" w:after="0"/>
        <w:rPr>
          <w:rFonts w:cs="Times New Roman"/>
          <w:color w:val="FF0000"/>
          <w:szCs w:val="24"/>
        </w:rPr>
      </w:pPr>
      <w:r>
        <w:rPr>
          <w:rFonts w:cs="Times New Roman"/>
          <w:noProof/>
          <w:color w:val="FF0000"/>
          <w:szCs w:val="24"/>
        </w:rPr>
        <w:lastRenderedPageBreak/>
        <w:drawing>
          <wp:inline distT="0" distB="0" distL="0" distR="0" wp14:anchorId="31236A29" wp14:editId="4DBC5E79">
            <wp:extent cx="6197600" cy="1968500"/>
            <wp:effectExtent l="0" t="0" r="0" b="12700"/>
            <wp:docPr id="2" name="Picture 2" descr="Macintosh HD:Users:Patty:Desktop:Screen Shot 2020-03-23 at 2.24.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ty:Desktop:Screen Shot 2020-03-23 at 2.24.4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7600" cy="1968500"/>
                    </a:xfrm>
                    <a:prstGeom prst="rect">
                      <a:avLst/>
                    </a:prstGeom>
                    <a:noFill/>
                    <a:ln>
                      <a:noFill/>
                    </a:ln>
                  </pic:spPr>
                </pic:pic>
              </a:graphicData>
            </a:graphic>
          </wp:inline>
        </w:drawing>
      </w:r>
    </w:p>
    <w:p w14:paraId="4B5A1A1A" w14:textId="413AEDC9" w:rsidR="00EB1B40" w:rsidRDefault="00EB1B40" w:rsidP="00577C6C">
      <w:pPr>
        <w:keepNext/>
        <w:jc w:val="both"/>
        <w:rPr>
          <w:rFonts w:cs="Times New Roman"/>
          <w:szCs w:val="24"/>
        </w:rPr>
      </w:pPr>
      <w:proofErr w:type="gramStart"/>
      <w:r w:rsidRPr="003C5C4F">
        <w:rPr>
          <w:rFonts w:cs="Times New Roman"/>
          <w:b/>
          <w:szCs w:val="24"/>
        </w:rPr>
        <w:t xml:space="preserve">Supplementary Figure </w:t>
      </w:r>
      <w:r w:rsidR="00FD5EEB">
        <w:rPr>
          <w:rFonts w:cs="Times New Roman"/>
          <w:b/>
          <w:szCs w:val="24"/>
        </w:rPr>
        <w:t>S</w:t>
      </w:r>
      <w:r w:rsidRPr="003C5C4F">
        <w:rPr>
          <w:rFonts w:cs="Times New Roman"/>
          <w:b/>
          <w:szCs w:val="24"/>
        </w:rPr>
        <w:t>2.</w:t>
      </w:r>
      <w:proofErr w:type="gramEnd"/>
      <w:r w:rsidRPr="003C5C4F">
        <w:rPr>
          <w:rFonts w:cs="Times New Roman"/>
          <w:szCs w:val="24"/>
        </w:rPr>
        <w:t xml:space="preserve"> </w:t>
      </w:r>
      <w:r w:rsidR="00DD2BBA" w:rsidRPr="003C5C4F">
        <w:rPr>
          <w:rFonts w:cs="Times New Roman"/>
          <w:szCs w:val="24"/>
        </w:rPr>
        <w:t xml:space="preserve">Canonical analysis of principal </w:t>
      </w:r>
      <w:r w:rsidR="00DD2BBA">
        <w:rPr>
          <w:rFonts w:cs="Times New Roman"/>
          <w:szCs w:val="24"/>
        </w:rPr>
        <w:t>coordinates</w:t>
      </w:r>
      <w:r w:rsidR="00DD2BBA" w:rsidRPr="003C5C4F">
        <w:rPr>
          <w:rFonts w:cs="Times New Roman"/>
          <w:szCs w:val="24"/>
        </w:rPr>
        <w:t xml:space="preserve"> (CAP) of </w:t>
      </w:r>
      <w:r w:rsidR="00DD2BBA">
        <w:rPr>
          <w:rFonts w:cs="Times New Roman"/>
          <w:szCs w:val="24"/>
        </w:rPr>
        <w:t xml:space="preserve">total </w:t>
      </w:r>
      <w:r w:rsidR="00DD2BBA" w:rsidRPr="003C5C4F">
        <w:rPr>
          <w:rFonts w:cs="Times New Roman"/>
          <w:szCs w:val="24"/>
        </w:rPr>
        <w:t>benthic</w:t>
      </w:r>
      <w:r w:rsidR="00DD2BBA">
        <w:rPr>
          <w:rFonts w:cs="Times New Roman"/>
          <w:szCs w:val="24"/>
        </w:rPr>
        <w:t xml:space="preserve"> </w:t>
      </w:r>
      <w:r w:rsidR="00DD2BBA" w:rsidRPr="003C5C4F">
        <w:rPr>
          <w:rFonts w:cs="Times New Roman"/>
          <w:szCs w:val="24"/>
        </w:rPr>
        <w:t xml:space="preserve">foraminifera </w:t>
      </w:r>
      <w:r w:rsidR="00DD2BBA">
        <w:rPr>
          <w:rFonts w:cs="Times New Roman"/>
          <w:szCs w:val="24"/>
        </w:rPr>
        <w:t xml:space="preserve">beta-diversity from sediment core layers collected at 5 DWH-impacted sites using a </w:t>
      </w:r>
      <w:r w:rsidR="00DD2BBA" w:rsidRPr="003C5C4F">
        <w:rPr>
          <w:rFonts w:cs="Times New Roman"/>
          <w:szCs w:val="24"/>
        </w:rPr>
        <w:t>before (pre-DWH; red) and after (post-DWH: green)</w:t>
      </w:r>
      <w:r w:rsidR="00DD2BBA">
        <w:rPr>
          <w:rFonts w:cs="Times New Roman"/>
          <w:szCs w:val="24"/>
        </w:rPr>
        <w:t xml:space="preserve"> treatment.  Data were from Schwing et al. (2018), Brooks et al. (2015) and Larson et al. (2018)</w:t>
      </w:r>
      <w:r w:rsidR="00DD2BBA" w:rsidRPr="003C5C4F">
        <w:rPr>
          <w:rFonts w:cs="Times New Roman"/>
          <w:szCs w:val="24"/>
        </w:rPr>
        <w:t xml:space="preserve">.  Black vectors represent </w:t>
      </w:r>
      <w:r w:rsidR="00DD2BBA">
        <w:rPr>
          <w:rFonts w:cs="Times New Roman"/>
          <w:szCs w:val="24"/>
        </w:rPr>
        <w:t xml:space="preserve">the relative contribution of each </w:t>
      </w:r>
      <w:proofErr w:type="gramStart"/>
      <w:r w:rsidR="00DD2BBA">
        <w:rPr>
          <w:rFonts w:cs="Times New Roman"/>
          <w:szCs w:val="24"/>
        </w:rPr>
        <w:t>taxa</w:t>
      </w:r>
      <w:proofErr w:type="gramEnd"/>
      <w:r w:rsidR="00DD2BBA">
        <w:rPr>
          <w:rFonts w:cs="Times New Roman"/>
          <w:szCs w:val="24"/>
        </w:rPr>
        <w:t xml:space="preserve"> to the separation of groups along the horizontal axis. The vertical axis is jittered (i.e., arbitrary) to aid in visualization, and the borders of each data cloud were drawn using convex-hulls.</w:t>
      </w:r>
      <w:bookmarkStart w:id="0" w:name="_GoBack"/>
      <w:bookmarkEnd w:id="0"/>
    </w:p>
    <w:p w14:paraId="769BA01B" w14:textId="516EB766" w:rsidR="00EB1B40" w:rsidRPr="00991F21" w:rsidRDefault="007B226C" w:rsidP="00D073EE">
      <w:pPr>
        <w:keepNext/>
        <w:spacing w:before="0" w:after="0"/>
        <w:rPr>
          <w:rFonts w:cs="Times New Roman"/>
          <w:color w:val="FF0000"/>
          <w:szCs w:val="24"/>
        </w:rPr>
      </w:pPr>
      <w:r>
        <w:rPr>
          <w:rFonts w:cs="Times New Roman"/>
          <w:noProof/>
          <w:color w:val="FF0000"/>
          <w:szCs w:val="24"/>
        </w:rPr>
        <w:drawing>
          <wp:inline distT="0" distB="0" distL="0" distR="0" wp14:anchorId="3E69D519" wp14:editId="1A01C852">
            <wp:extent cx="6197600" cy="4648200"/>
            <wp:effectExtent l="0" t="0" r="0" b="0"/>
            <wp:docPr id="4" name="Picture 4" descr="Macintosh HD:Users:Patty:Documents:BP:Manuscripts:2020 Benthic Core 3 synthesis :Figures:Figure 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ty:Documents:BP:Manuscripts:2020 Benthic Core 3 synthesis :Figures:Figure S3.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7600" cy="4648200"/>
                    </a:xfrm>
                    <a:prstGeom prst="rect">
                      <a:avLst/>
                    </a:prstGeom>
                    <a:noFill/>
                    <a:ln>
                      <a:noFill/>
                    </a:ln>
                  </pic:spPr>
                </pic:pic>
              </a:graphicData>
            </a:graphic>
          </wp:inline>
        </w:drawing>
      </w:r>
    </w:p>
    <w:p w14:paraId="45C850EA" w14:textId="52972FAE" w:rsidR="005B69F9" w:rsidRPr="00805649" w:rsidRDefault="003E6F8E" w:rsidP="00083B7C">
      <w:pPr>
        <w:keepNext/>
        <w:rPr>
          <w:rFonts w:cs="Times New Roman"/>
          <w:szCs w:val="24"/>
        </w:rPr>
      </w:pPr>
      <w:proofErr w:type="gramStart"/>
      <w:r w:rsidRPr="007B226C">
        <w:rPr>
          <w:rFonts w:cs="Times New Roman"/>
          <w:b/>
          <w:szCs w:val="24"/>
        </w:rPr>
        <w:lastRenderedPageBreak/>
        <w:t xml:space="preserve">Supplementary Figure </w:t>
      </w:r>
      <w:r w:rsidR="00805649">
        <w:rPr>
          <w:rFonts w:cs="Times New Roman"/>
          <w:b/>
          <w:szCs w:val="24"/>
        </w:rPr>
        <w:t>S</w:t>
      </w:r>
      <w:r w:rsidRPr="007B226C">
        <w:rPr>
          <w:rFonts w:cs="Times New Roman"/>
          <w:b/>
          <w:szCs w:val="24"/>
        </w:rPr>
        <w:t>3.</w:t>
      </w:r>
      <w:proofErr w:type="gramEnd"/>
      <w:r w:rsidRPr="007B226C">
        <w:rPr>
          <w:rFonts w:cs="Times New Roman"/>
          <w:szCs w:val="24"/>
        </w:rPr>
        <w:t xml:space="preserve"> </w:t>
      </w:r>
      <w:r w:rsidR="009632E0" w:rsidRPr="007B226C">
        <w:rPr>
          <w:rFonts w:cs="Times New Roman"/>
          <w:szCs w:val="24"/>
        </w:rPr>
        <w:t xml:space="preserve">A time series of </w:t>
      </w:r>
      <w:r w:rsidR="00577C6C">
        <w:rPr>
          <w:rFonts w:cs="Times New Roman"/>
          <w:szCs w:val="24"/>
        </w:rPr>
        <w:t xml:space="preserve">mean values for </w:t>
      </w:r>
      <w:r w:rsidR="009632E0" w:rsidRPr="007B226C">
        <w:rPr>
          <w:rFonts w:cs="Times New Roman"/>
          <w:szCs w:val="24"/>
        </w:rPr>
        <w:t xml:space="preserve">meiofauna abundance (A), Shannon diversity (B), </w:t>
      </w:r>
      <w:proofErr w:type="spellStart"/>
      <w:r w:rsidR="009632E0" w:rsidRPr="007B226C">
        <w:rPr>
          <w:rFonts w:cs="Times New Roman"/>
          <w:szCs w:val="24"/>
        </w:rPr>
        <w:t>nematode</w:t>
      </w:r>
      <w:proofErr w:type="gramStart"/>
      <w:r w:rsidR="009632E0" w:rsidRPr="007B226C">
        <w:rPr>
          <w:rFonts w:cs="Times New Roman"/>
          <w:szCs w:val="24"/>
        </w:rPr>
        <w:t>:copepod</w:t>
      </w:r>
      <w:proofErr w:type="spellEnd"/>
      <w:proofErr w:type="gramEnd"/>
      <w:r w:rsidR="009632E0" w:rsidRPr="007B226C">
        <w:rPr>
          <w:rFonts w:cs="Times New Roman"/>
          <w:szCs w:val="24"/>
        </w:rPr>
        <w:t xml:space="preserve"> ratio (C),</w:t>
      </w:r>
      <w:r w:rsidR="00083B7C" w:rsidRPr="007B226C">
        <w:rPr>
          <w:rFonts w:cs="Times New Roman"/>
          <w:szCs w:val="24"/>
        </w:rPr>
        <w:t xml:space="preserve"> and evenness (D).</w:t>
      </w:r>
      <w:r w:rsidR="00577C6C">
        <w:rPr>
          <w:rFonts w:cs="Times New Roman"/>
          <w:szCs w:val="24"/>
        </w:rPr>
        <w:t xml:space="preserve"> Error bars represent standard deviation.</w:t>
      </w:r>
      <w:r w:rsidR="00805649">
        <w:rPr>
          <w:rFonts w:cs="Times New Roman"/>
          <w:szCs w:val="24"/>
        </w:rPr>
        <w:t xml:space="preserve">  Data were utilized from </w:t>
      </w:r>
      <w:r w:rsidR="00805649">
        <w:t xml:space="preserve">the </w:t>
      </w:r>
      <w:r w:rsidR="00805649" w:rsidRPr="00BB4403">
        <w:t xml:space="preserve">northern Gulf of Mexico Continental Slope Study (NGOMCSS, </w:t>
      </w:r>
      <w:proofErr w:type="spellStart"/>
      <w:r w:rsidR="00805649" w:rsidRPr="00BB4403">
        <w:t>Pequagnat</w:t>
      </w:r>
      <w:proofErr w:type="spellEnd"/>
      <w:r w:rsidR="00805649" w:rsidRPr="00BB4403">
        <w:t xml:space="preserve"> et al. 1990), the Deep Gulf of Mexico Benthos Program (</w:t>
      </w:r>
      <w:proofErr w:type="spellStart"/>
      <w:r w:rsidR="00805649">
        <w:t>DGoMB</w:t>
      </w:r>
      <w:proofErr w:type="spellEnd"/>
      <w:r w:rsidR="00805649">
        <w:t xml:space="preserve">; </w:t>
      </w:r>
      <w:proofErr w:type="spellStart"/>
      <w:r w:rsidR="00805649">
        <w:t>Baguley</w:t>
      </w:r>
      <w:proofErr w:type="spellEnd"/>
      <w:r w:rsidR="00805649">
        <w:t xml:space="preserve"> et al. 2006</w:t>
      </w:r>
      <w:r w:rsidR="00805649" w:rsidRPr="00BB4403">
        <w:t xml:space="preserve">; Rowe and </w:t>
      </w:r>
      <w:proofErr w:type="spellStart"/>
      <w:r w:rsidR="00805649" w:rsidRPr="00BB4403">
        <w:t>Kennicutt</w:t>
      </w:r>
      <w:proofErr w:type="spellEnd"/>
      <w:r w:rsidR="00805649" w:rsidRPr="00BB4403">
        <w:t xml:space="preserve"> 2008), and post-DWH, Natural Resource Damage Assessment (NRDA; (Montagna et al. 2013; </w:t>
      </w:r>
      <w:proofErr w:type="spellStart"/>
      <w:r w:rsidR="00805649" w:rsidRPr="00BB4403">
        <w:t>Reuscher</w:t>
      </w:r>
      <w:proofErr w:type="spellEnd"/>
      <w:r w:rsidR="00805649" w:rsidRPr="00BB4403">
        <w:t xml:space="preserve"> et al. 2017)</w:t>
      </w:r>
      <w:r w:rsidR="00805649">
        <w:t>.</w:t>
      </w:r>
    </w:p>
    <w:p w14:paraId="3A88AA8E" w14:textId="77777777" w:rsidR="00805649" w:rsidRPr="007B226C" w:rsidRDefault="00805649" w:rsidP="00805649">
      <w:pPr>
        <w:keepNext/>
        <w:rPr>
          <w:rFonts w:cs="Times New Roman"/>
          <w:szCs w:val="24"/>
        </w:rPr>
      </w:pPr>
      <w:r>
        <w:rPr>
          <w:rFonts w:cs="Times New Roman"/>
          <w:noProof/>
          <w:szCs w:val="24"/>
        </w:rPr>
        <w:drawing>
          <wp:inline distT="0" distB="0" distL="0" distR="0" wp14:anchorId="3533610F" wp14:editId="0F1F51DF">
            <wp:extent cx="6197600" cy="4648200"/>
            <wp:effectExtent l="0" t="0" r="0" b="0"/>
            <wp:docPr id="8" name="Picture 8" descr="Macintosh HD:Users:Patty:Documents:BP:Manuscripts:2020 Benthic Core 3 synthesis :Figures:Figure S4 Macrofauna Time ser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ty:Documents:BP:Manuscripts:2020 Benthic Core 3 synthesis :Figures:Figure S4 Macrofauna Time serie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600" cy="4648200"/>
                    </a:xfrm>
                    <a:prstGeom prst="rect">
                      <a:avLst/>
                    </a:prstGeom>
                    <a:noFill/>
                    <a:ln>
                      <a:noFill/>
                    </a:ln>
                  </pic:spPr>
                </pic:pic>
              </a:graphicData>
            </a:graphic>
          </wp:inline>
        </w:drawing>
      </w:r>
    </w:p>
    <w:p w14:paraId="2803CF45" w14:textId="46DEED7B" w:rsidR="00805649" w:rsidRPr="00757C03" w:rsidRDefault="00805649" w:rsidP="00805649">
      <w:pPr>
        <w:keepNext/>
        <w:rPr>
          <w:rFonts w:cs="Times New Roman"/>
          <w:szCs w:val="24"/>
        </w:rPr>
      </w:pPr>
      <w:proofErr w:type="gramStart"/>
      <w:r w:rsidRPr="00757C03">
        <w:rPr>
          <w:rFonts w:cs="Times New Roman"/>
          <w:b/>
          <w:szCs w:val="24"/>
        </w:rPr>
        <w:t xml:space="preserve">Supplementary Figure </w:t>
      </w:r>
      <w:r>
        <w:rPr>
          <w:rFonts w:cs="Times New Roman"/>
          <w:b/>
          <w:szCs w:val="24"/>
        </w:rPr>
        <w:t>S</w:t>
      </w:r>
      <w:r w:rsidRPr="00757C03">
        <w:rPr>
          <w:rFonts w:cs="Times New Roman"/>
          <w:b/>
          <w:szCs w:val="24"/>
        </w:rPr>
        <w:t>4.</w:t>
      </w:r>
      <w:proofErr w:type="gramEnd"/>
      <w:r w:rsidRPr="00757C03">
        <w:rPr>
          <w:rFonts w:cs="Times New Roman"/>
          <w:szCs w:val="24"/>
        </w:rPr>
        <w:t xml:space="preserve"> </w:t>
      </w:r>
      <w:proofErr w:type="gramStart"/>
      <w:r w:rsidRPr="007B226C">
        <w:rPr>
          <w:rFonts w:cs="Times New Roman"/>
          <w:szCs w:val="24"/>
        </w:rPr>
        <w:t xml:space="preserve">A time series of </w:t>
      </w:r>
      <w:r>
        <w:rPr>
          <w:rFonts w:cs="Times New Roman"/>
          <w:szCs w:val="24"/>
        </w:rPr>
        <w:t xml:space="preserve">mean values for </w:t>
      </w:r>
      <w:r w:rsidRPr="00757C03">
        <w:rPr>
          <w:rFonts w:cs="Times New Roman"/>
          <w:szCs w:val="24"/>
        </w:rPr>
        <w:t>macrofauna abundance (A), Shannon diversity (B) and evenness (C).</w:t>
      </w:r>
      <w:proofErr w:type="gramEnd"/>
      <w:r>
        <w:rPr>
          <w:rFonts w:cs="Times New Roman"/>
          <w:szCs w:val="24"/>
        </w:rPr>
        <w:t xml:space="preserve">  Data were utilized </w:t>
      </w:r>
      <w:r w:rsidRPr="00071009">
        <w:rPr>
          <w:rFonts w:cs="Times New Roman"/>
          <w:szCs w:val="24"/>
        </w:rPr>
        <w:t>from the NGOMCSS (</w:t>
      </w:r>
      <w:proofErr w:type="spellStart"/>
      <w:r w:rsidRPr="00071009">
        <w:rPr>
          <w:rFonts w:cs="Times New Roman"/>
          <w:szCs w:val="24"/>
        </w:rPr>
        <w:t>Gallaway</w:t>
      </w:r>
      <w:proofErr w:type="spellEnd"/>
      <w:r w:rsidRPr="00071009">
        <w:rPr>
          <w:rFonts w:cs="Times New Roman"/>
          <w:szCs w:val="24"/>
        </w:rPr>
        <w:t xml:space="preserve"> 1988), </w:t>
      </w:r>
      <w:proofErr w:type="spellStart"/>
      <w:r w:rsidRPr="00071009">
        <w:rPr>
          <w:rFonts w:cs="Times New Roman"/>
          <w:szCs w:val="24"/>
        </w:rPr>
        <w:t>DGoMB</w:t>
      </w:r>
      <w:proofErr w:type="spellEnd"/>
      <w:r w:rsidRPr="00071009">
        <w:rPr>
          <w:rFonts w:cs="Times New Roman"/>
          <w:szCs w:val="24"/>
        </w:rPr>
        <w:t xml:space="preserve"> (</w:t>
      </w:r>
      <w:proofErr w:type="spellStart"/>
      <w:r w:rsidRPr="00071009">
        <w:rPr>
          <w:rFonts w:cs="Times New Roman"/>
          <w:szCs w:val="24"/>
        </w:rPr>
        <w:t>Haedrich</w:t>
      </w:r>
      <w:proofErr w:type="spellEnd"/>
      <w:r w:rsidRPr="00071009">
        <w:rPr>
          <w:rFonts w:cs="Times New Roman"/>
          <w:szCs w:val="24"/>
        </w:rPr>
        <w:t xml:space="preserve"> et al. 2008; Rowe a</w:t>
      </w:r>
      <w:r>
        <w:rPr>
          <w:rFonts w:cs="Times New Roman"/>
          <w:szCs w:val="24"/>
        </w:rPr>
        <w:t xml:space="preserve">nd </w:t>
      </w:r>
      <w:proofErr w:type="spellStart"/>
      <w:r>
        <w:rPr>
          <w:rFonts w:cs="Times New Roman"/>
          <w:szCs w:val="24"/>
        </w:rPr>
        <w:t>Kennicutt</w:t>
      </w:r>
      <w:proofErr w:type="spellEnd"/>
      <w:r>
        <w:rPr>
          <w:rFonts w:cs="Times New Roman"/>
          <w:szCs w:val="24"/>
        </w:rPr>
        <w:t xml:space="preserve"> 2008) and post-DWH, </w:t>
      </w:r>
      <w:r w:rsidRPr="00BB4403">
        <w:t>Natural Resource Damage Assessment</w:t>
      </w:r>
      <w:r>
        <w:rPr>
          <w:rFonts w:cs="Times New Roman"/>
          <w:szCs w:val="24"/>
        </w:rPr>
        <w:t xml:space="preserve"> </w:t>
      </w:r>
      <w:r w:rsidRPr="00071009">
        <w:rPr>
          <w:rFonts w:cs="Times New Roman"/>
          <w:szCs w:val="24"/>
        </w:rPr>
        <w:t>(Montagna e</w:t>
      </w:r>
      <w:r w:rsidR="00AD0BB7">
        <w:rPr>
          <w:rFonts w:cs="Times New Roman"/>
          <w:szCs w:val="24"/>
        </w:rPr>
        <w:t>t al. 2013; Washburn et al. 2017</w:t>
      </w:r>
      <w:r w:rsidRPr="00071009">
        <w:rPr>
          <w:rFonts w:cs="Times New Roman"/>
          <w:szCs w:val="24"/>
        </w:rPr>
        <w:t>)</w:t>
      </w:r>
      <w:r>
        <w:rPr>
          <w:rFonts w:cs="Times New Roman"/>
          <w:szCs w:val="24"/>
        </w:rPr>
        <w:t>.</w:t>
      </w:r>
    </w:p>
    <w:p w14:paraId="4168BFF6" w14:textId="77777777" w:rsidR="00083B7C" w:rsidRPr="00991F21" w:rsidRDefault="00083B7C" w:rsidP="003E6F8E">
      <w:pPr>
        <w:keepNext/>
        <w:rPr>
          <w:rFonts w:cs="Times New Roman"/>
          <w:color w:val="FF0000"/>
          <w:szCs w:val="24"/>
        </w:rPr>
      </w:pPr>
    </w:p>
    <w:p w14:paraId="732472D7" w14:textId="5455B4C8" w:rsidR="003E6F8E" w:rsidRDefault="003C5C4F" w:rsidP="002B4A57">
      <w:pPr>
        <w:keepNext/>
        <w:rPr>
          <w:rFonts w:cs="Times New Roman"/>
          <w:szCs w:val="24"/>
        </w:rPr>
      </w:pPr>
      <w:r>
        <w:rPr>
          <w:rFonts w:cs="Times New Roman"/>
          <w:noProof/>
          <w:szCs w:val="24"/>
        </w:rPr>
        <w:lastRenderedPageBreak/>
        <w:drawing>
          <wp:inline distT="0" distB="0" distL="0" distR="0" wp14:anchorId="4AF7F307" wp14:editId="7B2BA494">
            <wp:extent cx="6197600" cy="5892800"/>
            <wp:effectExtent l="0" t="0" r="0" b="0"/>
            <wp:docPr id="3" name="Picture 3" descr="Macintosh HD:Users:Patty:Desktop:Screen Shot 2020-03-23 at 2.27.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ty:Desktop:Screen Shot 2020-03-23 at 2.27.3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7600" cy="5892800"/>
                    </a:xfrm>
                    <a:prstGeom prst="rect">
                      <a:avLst/>
                    </a:prstGeom>
                    <a:noFill/>
                    <a:ln>
                      <a:noFill/>
                    </a:ln>
                  </pic:spPr>
                </pic:pic>
              </a:graphicData>
            </a:graphic>
          </wp:inline>
        </w:drawing>
      </w:r>
    </w:p>
    <w:p w14:paraId="039F765D" w14:textId="1A3D358E" w:rsidR="00EB1B40" w:rsidRPr="0091785E" w:rsidRDefault="007633DF" w:rsidP="00577C6C">
      <w:pPr>
        <w:keepNext/>
        <w:jc w:val="both"/>
        <w:rPr>
          <w:rFonts w:cs="Times New Roman"/>
          <w:szCs w:val="24"/>
        </w:rPr>
      </w:pPr>
      <w:proofErr w:type="gramStart"/>
      <w:r>
        <w:rPr>
          <w:rFonts w:cs="Times New Roman"/>
          <w:b/>
          <w:szCs w:val="24"/>
        </w:rPr>
        <w:t>Supplementary Figure 5</w:t>
      </w:r>
      <w:r w:rsidR="00EB1B40" w:rsidRPr="003C5C4F">
        <w:rPr>
          <w:rFonts w:cs="Times New Roman"/>
          <w:b/>
          <w:szCs w:val="24"/>
        </w:rPr>
        <w:t>.</w:t>
      </w:r>
      <w:proofErr w:type="gramEnd"/>
      <w:r w:rsidR="00EB1B40" w:rsidRPr="003C5C4F">
        <w:rPr>
          <w:rFonts w:cs="Times New Roman"/>
          <w:szCs w:val="24"/>
        </w:rPr>
        <w:t xml:space="preserve"> </w:t>
      </w:r>
      <w:proofErr w:type="gramStart"/>
      <w:r w:rsidR="00EB1B40" w:rsidRPr="003C5C4F">
        <w:rPr>
          <w:rFonts w:cs="Times New Roman"/>
          <w:szCs w:val="24"/>
        </w:rPr>
        <w:t xml:space="preserve">Canonical analysis of principal </w:t>
      </w:r>
      <w:r w:rsidR="00CE6827">
        <w:rPr>
          <w:rFonts w:cs="Times New Roman"/>
          <w:szCs w:val="24"/>
        </w:rPr>
        <w:t>coordinates</w:t>
      </w:r>
      <w:r w:rsidR="00EB1B40" w:rsidRPr="003C5C4F">
        <w:rPr>
          <w:rFonts w:cs="Times New Roman"/>
          <w:szCs w:val="24"/>
        </w:rPr>
        <w:t xml:space="preserve"> (CAP) of </w:t>
      </w:r>
      <w:r w:rsidR="00CE6827">
        <w:rPr>
          <w:rFonts w:cs="Times New Roman"/>
          <w:szCs w:val="24"/>
        </w:rPr>
        <w:t xml:space="preserve">benthic </w:t>
      </w:r>
      <w:r w:rsidR="00EB1B40" w:rsidRPr="003C5C4F">
        <w:rPr>
          <w:rFonts w:cs="Times New Roman"/>
          <w:szCs w:val="24"/>
        </w:rPr>
        <w:t>megafauna from 2010 (red; Valentine and Benfield, 2013) and 2017 (green; McClain et al., 2019).</w:t>
      </w:r>
      <w:proofErr w:type="gramEnd"/>
      <w:r w:rsidR="00EB1B40" w:rsidRPr="003C5C4F">
        <w:rPr>
          <w:rFonts w:cs="Times New Roman"/>
          <w:szCs w:val="24"/>
        </w:rPr>
        <w:t xml:space="preserve">  Black vectors represent </w:t>
      </w:r>
      <w:r w:rsidR="00577C6C">
        <w:rPr>
          <w:rFonts w:cs="Times New Roman"/>
          <w:szCs w:val="24"/>
        </w:rPr>
        <w:t xml:space="preserve">the relative contribution of each </w:t>
      </w:r>
      <w:proofErr w:type="gramStart"/>
      <w:r w:rsidR="00577C6C">
        <w:rPr>
          <w:rFonts w:cs="Times New Roman"/>
          <w:szCs w:val="24"/>
        </w:rPr>
        <w:t>taxa</w:t>
      </w:r>
      <w:proofErr w:type="gramEnd"/>
      <w:r w:rsidR="00577C6C">
        <w:rPr>
          <w:rFonts w:cs="Times New Roman"/>
          <w:szCs w:val="24"/>
        </w:rPr>
        <w:t xml:space="preserve"> to the separation of groups along the horizontal axis. The vertical axis is jittered (i.e., arbitrary) to aid in visualization, and the borders of each data cloud were drawn </w:t>
      </w:r>
      <w:r w:rsidR="00CE6827">
        <w:rPr>
          <w:rFonts w:cs="Times New Roman"/>
          <w:szCs w:val="24"/>
        </w:rPr>
        <w:t>using convex-hulls</w:t>
      </w:r>
      <w:r w:rsidR="00577C6C">
        <w:rPr>
          <w:rFonts w:cs="Times New Roman"/>
          <w:szCs w:val="24"/>
        </w:rPr>
        <w:t>.</w:t>
      </w:r>
    </w:p>
    <w:p w14:paraId="46F0D690" w14:textId="2C78E756" w:rsidR="00C35468" w:rsidRDefault="00C35468" w:rsidP="003E6F8E">
      <w:pPr>
        <w:spacing w:before="240"/>
        <w:jc w:val="center"/>
        <w:rPr>
          <w:rFonts w:cs="Times New Roman"/>
          <w:b/>
          <w:noProof/>
          <w:szCs w:val="24"/>
        </w:rPr>
      </w:pPr>
    </w:p>
    <w:p w14:paraId="354FABAE" w14:textId="77777777" w:rsidR="00AA4E68" w:rsidRDefault="00AA4E68" w:rsidP="003E6F8E">
      <w:pPr>
        <w:spacing w:before="240"/>
        <w:jc w:val="center"/>
        <w:rPr>
          <w:rFonts w:cs="Times New Roman"/>
          <w:b/>
          <w:noProof/>
          <w:szCs w:val="24"/>
        </w:rPr>
      </w:pPr>
    </w:p>
    <w:p w14:paraId="4C79F918" w14:textId="77777777" w:rsidR="00AA4E68" w:rsidRDefault="00AA4E68" w:rsidP="003E6F8E">
      <w:pPr>
        <w:spacing w:before="240"/>
        <w:jc w:val="center"/>
        <w:rPr>
          <w:rFonts w:cs="Times New Roman"/>
          <w:b/>
          <w:noProof/>
          <w:szCs w:val="24"/>
        </w:rPr>
      </w:pPr>
    </w:p>
    <w:p w14:paraId="7E55E11C" w14:textId="77777777" w:rsidR="00AA4E68" w:rsidRDefault="00AA4E68" w:rsidP="003E6F8E">
      <w:pPr>
        <w:spacing w:before="240"/>
        <w:jc w:val="center"/>
        <w:rPr>
          <w:rFonts w:cs="Times New Roman"/>
          <w:szCs w:val="24"/>
        </w:rPr>
      </w:pPr>
    </w:p>
    <w:p w14:paraId="2429CACA" w14:textId="679C55DF" w:rsidR="00682BA7" w:rsidRPr="00682BA7" w:rsidRDefault="00682BA7" w:rsidP="00682BA7">
      <w:pPr>
        <w:spacing w:before="240"/>
        <w:jc w:val="both"/>
        <w:rPr>
          <w:rFonts w:cs="Times New Roman"/>
          <w:b/>
          <w:szCs w:val="24"/>
        </w:rPr>
      </w:pPr>
      <w:r w:rsidRPr="00682BA7">
        <w:rPr>
          <w:rFonts w:cs="Times New Roman"/>
          <w:b/>
          <w:szCs w:val="24"/>
        </w:rPr>
        <w:lastRenderedPageBreak/>
        <w:t>LITERATURE CITED</w:t>
      </w:r>
    </w:p>
    <w:p w14:paraId="5D4BF121" w14:textId="77777777" w:rsidR="00444A35" w:rsidRPr="00444A35" w:rsidRDefault="00C35468" w:rsidP="00805649">
      <w:pPr>
        <w:pStyle w:val="EndNoteBibliography"/>
        <w:numPr>
          <w:ilvl w:val="0"/>
          <w:numId w:val="22"/>
        </w:numPr>
        <w:spacing w:after="120"/>
        <w:jc w:val="left"/>
      </w:pPr>
      <w:r>
        <w:rPr>
          <w:szCs w:val="24"/>
        </w:rPr>
        <w:fldChar w:fldCharType="begin"/>
      </w:r>
      <w:r>
        <w:rPr>
          <w:szCs w:val="24"/>
        </w:rPr>
        <w:instrText xml:space="preserve"> ADDIN EN.REFLIST </w:instrText>
      </w:r>
      <w:r>
        <w:rPr>
          <w:szCs w:val="24"/>
        </w:rPr>
        <w:fldChar w:fldCharType="separate"/>
      </w:r>
      <w:r w:rsidR="00444A35" w:rsidRPr="00444A35">
        <w:t>Anderson, M.J., 2001. A new method for non-parametric multivariate analysis of variance. Austral Ecol. 26, 32-46.</w:t>
      </w:r>
    </w:p>
    <w:p w14:paraId="38188EBF" w14:textId="77777777" w:rsidR="00444A35" w:rsidRPr="00444A35" w:rsidRDefault="00444A35" w:rsidP="00805649">
      <w:pPr>
        <w:pStyle w:val="EndNoteBibliography"/>
        <w:numPr>
          <w:ilvl w:val="0"/>
          <w:numId w:val="22"/>
        </w:numPr>
        <w:spacing w:after="120"/>
        <w:jc w:val="left"/>
      </w:pPr>
      <w:r w:rsidRPr="00444A35">
        <w:t>Anderson, M.J., 2006. Distance-based tests for homogeneity of multivariate dispersions. Biometrics 62, 245-253.</w:t>
      </w:r>
    </w:p>
    <w:p w14:paraId="7ED7EBEA" w14:textId="77777777" w:rsidR="00444A35" w:rsidRPr="00444A35" w:rsidRDefault="00444A35" w:rsidP="00805649">
      <w:pPr>
        <w:pStyle w:val="EndNoteBibliography"/>
        <w:numPr>
          <w:ilvl w:val="0"/>
          <w:numId w:val="22"/>
        </w:numPr>
        <w:spacing w:after="120"/>
        <w:jc w:val="left"/>
      </w:pPr>
      <w:r w:rsidRPr="00444A35">
        <w:t>Anderson, M.J., Ellingsen, K.E., McArdle, B.H., 2006. Multivariate dispersion as a measure of beta diversity. Ecol. Lett. 9, 683-693.</w:t>
      </w:r>
    </w:p>
    <w:p w14:paraId="63899AAC" w14:textId="77777777" w:rsidR="00444A35" w:rsidRPr="00444A35" w:rsidRDefault="00444A35" w:rsidP="00805649">
      <w:pPr>
        <w:pStyle w:val="EndNoteBibliography"/>
        <w:numPr>
          <w:ilvl w:val="0"/>
          <w:numId w:val="22"/>
        </w:numPr>
        <w:spacing w:after="120"/>
        <w:jc w:val="left"/>
      </w:pPr>
      <w:r w:rsidRPr="00444A35">
        <w:t>Anderson, M.J., Walsh, D.C.I., 2013. PERMANOVA, ANOSIM, and the Mantel test in the face of heterogeneous dispersions: What null hypothesis are you testing? Ecol. Monogr. 83, 557-574.</w:t>
      </w:r>
    </w:p>
    <w:p w14:paraId="5A382DD2" w14:textId="77777777" w:rsidR="00444A35" w:rsidRPr="00444A35" w:rsidRDefault="00444A35" w:rsidP="00805649">
      <w:pPr>
        <w:pStyle w:val="EndNoteBibliography"/>
        <w:numPr>
          <w:ilvl w:val="0"/>
          <w:numId w:val="22"/>
        </w:numPr>
        <w:spacing w:after="120"/>
        <w:jc w:val="left"/>
      </w:pPr>
      <w:r w:rsidRPr="00444A35">
        <w:t>Anderson, M.J., Willis, T.J., 2003. Canonical analysis of principal coordinates: A useful method of constrained ordination for ecology. Ecology 84, 511-525.</w:t>
      </w:r>
    </w:p>
    <w:p w14:paraId="5DC98796" w14:textId="77777777" w:rsidR="00805649" w:rsidRDefault="00805649" w:rsidP="00805649">
      <w:pPr>
        <w:pStyle w:val="NormalWeb"/>
        <w:numPr>
          <w:ilvl w:val="0"/>
          <w:numId w:val="22"/>
        </w:numPr>
      </w:pPr>
      <w:r>
        <w:t xml:space="preserve">Baguley, J. G., Montagna, P. A., Hyde, L. J., Kalke, R. D., &amp; Rowe, G. T. (2006). Metazoan meiofauna abundance in relation to environmental variables in the northern Gulf of Mexico deep sea, </w:t>
      </w:r>
      <w:r>
        <w:rPr>
          <w:i/>
          <w:iCs/>
        </w:rPr>
        <w:t>53</w:t>
      </w:r>
      <w:r>
        <w:t>, 1344–1362. https://doi.org/10.1016/j.dsr.2006.05.012</w:t>
      </w:r>
    </w:p>
    <w:p w14:paraId="2AB1A89B" w14:textId="77777777" w:rsidR="002D1103" w:rsidRPr="004A141B" w:rsidRDefault="002D1103" w:rsidP="002D1103">
      <w:pPr>
        <w:pStyle w:val="NormalWeb"/>
        <w:numPr>
          <w:ilvl w:val="0"/>
          <w:numId w:val="22"/>
        </w:numPr>
      </w:pPr>
      <w:r w:rsidRPr="004A141B">
        <w:t xml:space="preserve">Baguley, J., Montagna, P., Cooksey, C., Hyland, J., Bang, H., Morrison, C., … Ricci, M. (2015). Community response of deep-sea soft-sediment metazoan meiofauna to the Deepwater Horizon blowout and oil spill. </w:t>
      </w:r>
      <w:r w:rsidRPr="004A141B">
        <w:rPr>
          <w:i/>
          <w:iCs/>
        </w:rPr>
        <w:t>Marine Ecology Progress Series</w:t>
      </w:r>
      <w:r w:rsidRPr="004A141B">
        <w:t xml:space="preserve">, </w:t>
      </w:r>
      <w:r w:rsidRPr="004A141B">
        <w:rPr>
          <w:i/>
          <w:iCs/>
        </w:rPr>
        <w:t>528</w:t>
      </w:r>
      <w:r w:rsidRPr="004A141B">
        <w:t>, 127–140. https://doi.org/10.3354/meps11290</w:t>
      </w:r>
    </w:p>
    <w:p w14:paraId="5758081A" w14:textId="77777777" w:rsidR="00805649" w:rsidRDefault="00805649" w:rsidP="00805649">
      <w:pPr>
        <w:pStyle w:val="ListParagraph"/>
        <w:numPr>
          <w:ilvl w:val="0"/>
          <w:numId w:val="22"/>
        </w:numPr>
        <w:spacing w:before="0" w:after="0"/>
      </w:pPr>
      <w:r w:rsidRPr="004A141B">
        <w:t xml:space="preserve">Brooks GR, Larson RA, Schwing PT, Romero I, Moore C, Reichart GJ, Jilbert T, Chanton JP, Hastings DW, Overholt WA, Marks KP, Kostka JE, Holmes CW, Hollander D (2015). Sediment Pulse in the NE Gulf of Mexico Following the 2010 DWH Blowout. PLoS ONE, 10(7): e0132341. </w:t>
      </w:r>
      <w:r>
        <w:t>doi:10.1371/journal.pone.013234</w:t>
      </w:r>
    </w:p>
    <w:p w14:paraId="2D5024E1" w14:textId="77777777" w:rsidR="00805649" w:rsidRDefault="00444A35" w:rsidP="00805649">
      <w:pPr>
        <w:pStyle w:val="ListParagraph"/>
        <w:numPr>
          <w:ilvl w:val="0"/>
          <w:numId w:val="22"/>
        </w:numPr>
        <w:spacing w:before="0" w:after="0"/>
      </w:pPr>
      <w:r w:rsidRPr="00444A35">
        <w:t>Chao, A., Chazdon, R.L., Colwell, R.K., Shen, T.J., 2005. A new statistical approach for assessing similarity of species composition with incidence and abundance data. Ecol. Lett. 8, 148-159.</w:t>
      </w:r>
    </w:p>
    <w:p w14:paraId="2609EB44" w14:textId="76A38E59" w:rsidR="00444A35" w:rsidRPr="00444A35" w:rsidRDefault="00444A35" w:rsidP="00805649">
      <w:pPr>
        <w:pStyle w:val="ListParagraph"/>
        <w:numPr>
          <w:ilvl w:val="0"/>
          <w:numId w:val="22"/>
        </w:numPr>
        <w:spacing w:before="0" w:after="0"/>
      </w:pPr>
      <w:r w:rsidRPr="00444A35">
        <w:t>Chao, A., Chazdon, R.L., Colwell, R.K., Shen, T.J., 2006. Abundance-based similarity indices and their estimation when there are unseen species in samples. Biometrics 62, 361-371.</w:t>
      </w:r>
    </w:p>
    <w:p w14:paraId="007EBD61" w14:textId="77777777" w:rsidR="002D1103" w:rsidRPr="004A141B" w:rsidRDefault="002D1103" w:rsidP="002D1103">
      <w:pPr>
        <w:pStyle w:val="ListParagraph"/>
        <w:numPr>
          <w:ilvl w:val="0"/>
          <w:numId w:val="22"/>
        </w:numPr>
        <w:spacing w:before="0" w:after="0"/>
      </w:pPr>
      <w:r w:rsidRPr="004A141B">
        <w:t>DeLeo DM, Ruiz-Ramos DV, Baums IB, Cordes EE (2015) Response of deep-water corals to oil and chemical dispersant exposure. Deep-Sea Res II Top Stud Oceanogr 129:137–147. https://doi.org/10.1016/j.dsr2.2015.02.028</w:t>
      </w:r>
    </w:p>
    <w:p w14:paraId="626D34DE" w14:textId="77777777" w:rsidR="00444A35" w:rsidRPr="00444A35" w:rsidRDefault="00444A35" w:rsidP="00805649">
      <w:pPr>
        <w:pStyle w:val="EndNoteBibliography"/>
        <w:numPr>
          <w:ilvl w:val="0"/>
          <w:numId w:val="22"/>
        </w:numPr>
        <w:spacing w:after="120"/>
        <w:jc w:val="left"/>
      </w:pPr>
      <w:r w:rsidRPr="00444A35">
        <w:t>Dufrene, M., Legendre, P., 1997. Species assemblages and indicator species: The need for a flexible asymmetrical approach. Ecol. Monogr. 67, 345-366.</w:t>
      </w:r>
    </w:p>
    <w:p w14:paraId="399B2C99" w14:textId="700CE3C5" w:rsidR="002D1103" w:rsidRPr="004A141B" w:rsidRDefault="002D1103" w:rsidP="002D1103">
      <w:pPr>
        <w:pStyle w:val="ListParagraph"/>
        <w:numPr>
          <w:ilvl w:val="0"/>
          <w:numId w:val="22"/>
        </w:numPr>
        <w:spacing w:before="0" w:after="0"/>
      </w:pPr>
      <w:r w:rsidRPr="004A141B">
        <w:t>Fisher CR, Demopoulos AWJ, Cordes EE,</w:t>
      </w:r>
      <w:r>
        <w:t xml:space="preserve"> Baums IB, White HK et al (2014A</w:t>
      </w:r>
      <w:r w:rsidRPr="004A141B">
        <w:t xml:space="preserve">) Coral communities as indicators of ecosystem-level impacts of the Deepwater Horizon Spill. Bioscience 64:796–807. </w:t>
      </w:r>
      <w:hyperlink r:id="rId18" w:history="1">
        <w:r w:rsidRPr="004A141B">
          <w:rPr>
            <w:rStyle w:val="Hyperlink"/>
          </w:rPr>
          <w:t>https://doi.org/10.1093/biosci/biu129</w:t>
        </w:r>
      </w:hyperlink>
    </w:p>
    <w:p w14:paraId="110AB4F7" w14:textId="22FBEFBB" w:rsidR="002D1103" w:rsidRPr="004A141B" w:rsidRDefault="002D1103" w:rsidP="002D1103">
      <w:pPr>
        <w:pStyle w:val="ListParagraph"/>
        <w:numPr>
          <w:ilvl w:val="0"/>
          <w:numId w:val="22"/>
        </w:numPr>
        <w:spacing w:before="0" w:after="0"/>
      </w:pPr>
      <w:r w:rsidRPr="004A141B">
        <w:t>Fisher CR, Hsing P-Y, Kaiser CL, Yoerger D</w:t>
      </w:r>
      <w:r>
        <w:t>R, Roberts HH, Bourque JR (2014B</w:t>
      </w:r>
      <w:r w:rsidRPr="004A141B">
        <w:t xml:space="preserve">) Footprint of Deepwater Horizon blowout impact to deep-water coral communities. Proc Natl Acad Sci 111:11744–11749. </w:t>
      </w:r>
    </w:p>
    <w:p w14:paraId="60548688" w14:textId="77777777" w:rsidR="00AD0BB7" w:rsidRPr="00272EB2" w:rsidRDefault="00AD0BB7" w:rsidP="00AD0BB7">
      <w:pPr>
        <w:pStyle w:val="NormalWeb"/>
        <w:numPr>
          <w:ilvl w:val="0"/>
          <w:numId w:val="22"/>
        </w:numPr>
      </w:pPr>
      <w:r w:rsidRPr="00272EB2">
        <w:t xml:space="preserve">Gallaway BJ (ed.). (1988) Northern Gulf of Mexico Continental Slope Study, Final Report: Year 4 . Volume II: Synthesis Report. Final report submitted to the Minerals Management </w:t>
      </w:r>
      <w:r w:rsidRPr="00272EB2">
        <w:lastRenderedPageBreak/>
        <w:t>Service, New Orleans, LA . Contract No. 14-12-0001-30212 . OCS Study/MMS 88-0053 . 318 p.</w:t>
      </w:r>
    </w:p>
    <w:p w14:paraId="06C48D83" w14:textId="77777777" w:rsidR="002D1103" w:rsidRPr="004A141B" w:rsidRDefault="002D1103" w:rsidP="002D1103">
      <w:pPr>
        <w:pStyle w:val="NormalWeb"/>
        <w:numPr>
          <w:ilvl w:val="0"/>
          <w:numId w:val="22"/>
        </w:numPr>
      </w:pPr>
      <w:r w:rsidRPr="004A141B">
        <w:t xml:space="preserve">Girard, F., &amp; Fisher, C. R. (2018). Long-term impact of the Deepwater Horizon oil spill on deep-sea corals detected after seven years of monitoring. </w:t>
      </w:r>
      <w:r w:rsidRPr="004A141B">
        <w:rPr>
          <w:i/>
          <w:iCs/>
        </w:rPr>
        <w:t>Biological Conservation</w:t>
      </w:r>
      <w:r w:rsidRPr="004A141B">
        <w:t xml:space="preserve">, </w:t>
      </w:r>
      <w:r w:rsidRPr="004A141B">
        <w:rPr>
          <w:i/>
          <w:iCs/>
        </w:rPr>
        <w:t>225</w:t>
      </w:r>
      <w:r w:rsidRPr="004A141B">
        <w:t>(June), 117–127. https://doi.org/10.1016/j.biocon.2018.06.028</w:t>
      </w:r>
    </w:p>
    <w:p w14:paraId="3D758081" w14:textId="77777777" w:rsidR="002D1103" w:rsidRPr="00C57A12" w:rsidRDefault="002D1103" w:rsidP="002D1103">
      <w:pPr>
        <w:pStyle w:val="ListParagraph"/>
        <w:numPr>
          <w:ilvl w:val="0"/>
          <w:numId w:val="22"/>
        </w:numPr>
        <w:spacing w:before="100" w:beforeAutospacing="1" w:after="100" w:afterAutospacing="1"/>
        <w:rPr>
          <w:rFonts w:eastAsiaTheme="minorEastAsia"/>
        </w:rPr>
      </w:pPr>
      <w:r w:rsidRPr="00C57A12">
        <w:rPr>
          <w:rFonts w:eastAsiaTheme="minorEastAsia"/>
        </w:rPr>
        <w:t>Girard, F., Cruz, R., Glickman, O., Harpster, T., &amp; Fisher, C. R. (2019). In situ growth of deep-sea octocorals after the Deepwater Horizon oil spill.  Elem Sci Anth, 7: 12. DOI: https://doi.org/10.1525/elementa.349</w:t>
      </w:r>
    </w:p>
    <w:p w14:paraId="6FE08784" w14:textId="77777777" w:rsidR="002D1103" w:rsidRDefault="00AD0BB7" w:rsidP="002D1103">
      <w:pPr>
        <w:pStyle w:val="ListParagraph"/>
        <w:numPr>
          <w:ilvl w:val="0"/>
          <w:numId w:val="22"/>
        </w:numPr>
      </w:pPr>
      <w:r w:rsidRPr="00272EB2">
        <w:t>Haedrich RL, Devine JA, Kendall VJ (2008) Predictors of species richness in the deep-benthic fauna of the northern Gulf of Mexico. Deep-Sea Research II 55: 2650–2656.</w:t>
      </w:r>
    </w:p>
    <w:p w14:paraId="25C62CB2" w14:textId="77777777" w:rsidR="002D1103" w:rsidRPr="004A141B" w:rsidRDefault="002D1103" w:rsidP="002D1103">
      <w:pPr>
        <w:pStyle w:val="ListParagraph"/>
        <w:numPr>
          <w:ilvl w:val="0"/>
          <w:numId w:val="22"/>
        </w:numPr>
        <w:spacing w:before="0" w:after="0"/>
      </w:pPr>
      <w:r w:rsidRPr="004A141B">
        <w:t>Hsing P-Y, Fu B, Larcom E, Berlet SP, Shank TM, Govindarajan AF, Lukasiewiccz AJ, Dixson PM, Fisher CR (2013) Evidence of lasting impact of the Deepwater Horizon oil spill on a deep Gulf of Mexico coral community. Elementa: Sci Anthropocene 1:000012. https://doi.org/10.12952/journal.elementa.000012</w:t>
      </w:r>
    </w:p>
    <w:p w14:paraId="7CF046AB" w14:textId="77777777" w:rsidR="002D1103" w:rsidRDefault="00444A35" w:rsidP="002D1103">
      <w:pPr>
        <w:pStyle w:val="ListParagraph"/>
        <w:numPr>
          <w:ilvl w:val="0"/>
          <w:numId w:val="22"/>
        </w:numPr>
      </w:pPr>
      <w:r w:rsidRPr="00444A35">
        <w:t xml:space="preserve">Jones, D.L., 2017. The Fathom Toolbox for MATLAB: Software for multivariate ecological and oceanographic analysis. University of South Florida, College of Marine Science, St. Petersburg, FL, USA. Available from: </w:t>
      </w:r>
      <w:hyperlink r:id="rId19" w:history="1">
        <w:r w:rsidRPr="00444A35">
          <w:rPr>
            <w:rStyle w:val="Hyperlink"/>
          </w:rPr>
          <w:t>https://www.marine.usf.edu/research/matlab-resources/</w:t>
        </w:r>
      </w:hyperlink>
      <w:r w:rsidRPr="00444A35">
        <w:t>.</w:t>
      </w:r>
    </w:p>
    <w:p w14:paraId="668E24C9" w14:textId="28D400D7" w:rsidR="002D1103" w:rsidRDefault="00444A35" w:rsidP="002D1103">
      <w:pPr>
        <w:pStyle w:val="ListParagraph"/>
        <w:numPr>
          <w:ilvl w:val="0"/>
          <w:numId w:val="22"/>
        </w:numPr>
      </w:pPr>
      <w:r w:rsidRPr="00444A35">
        <w:t>Kilborn, J.P., 2020. The Darkside Toolbox for MATLAB. University of South Florida, College of Marine Science, St. Petersburg, FL.</w:t>
      </w:r>
    </w:p>
    <w:p w14:paraId="14449B16" w14:textId="76261745" w:rsidR="002D1103" w:rsidRPr="002D1103" w:rsidRDefault="002D1103" w:rsidP="002D1103">
      <w:pPr>
        <w:pStyle w:val="EndNoteBibliography"/>
        <w:numPr>
          <w:ilvl w:val="0"/>
          <w:numId w:val="22"/>
        </w:numPr>
        <w:spacing w:after="120"/>
        <w:jc w:val="left"/>
      </w:pPr>
      <w:r w:rsidRPr="002D1103">
        <w:rPr>
          <w:color w:val="000000"/>
        </w:rPr>
        <w:t>Kleindienst, S., Grim, S., Sogin, M. </w:t>
      </w:r>
      <w:r w:rsidRPr="002D1103">
        <w:rPr>
          <w:i/>
          <w:color w:val="000000"/>
        </w:rPr>
        <w:t>et al.</w:t>
      </w:r>
      <w:r w:rsidRPr="002D1103">
        <w:rPr>
          <w:color w:val="000000"/>
        </w:rPr>
        <w:t> Diverse, rare microbial taxa responded to the </w:t>
      </w:r>
      <w:r w:rsidRPr="002D1103">
        <w:rPr>
          <w:i/>
          <w:color w:val="000000"/>
        </w:rPr>
        <w:t>Deepwater Horizon</w:t>
      </w:r>
      <w:r w:rsidRPr="002D1103">
        <w:rPr>
          <w:color w:val="000000"/>
        </w:rPr>
        <w:t> deep-sea hydrocarbon plume. </w:t>
      </w:r>
      <w:r w:rsidRPr="002D1103">
        <w:rPr>
          <w:i/>
          <w:color w:val="000000"/>
        </w:rPr>
        <w:t>ISME J</w:t>
      </w:r>
      <w:r w:rsidRPr="002D1103">
        <w:rPr>
          <w:color w:val="000000"/>
        </w:rPr>
        <w:t> </w:t>
      </w:r>
      <w:r w:rsidRPr="002D1103">
        <w:rPr>
          <w:b/>
          <w:bCs/>
          <w:color w:val="000000"/>
        </w:rPr>
        <w:t>10, </w:t>
      </w:r>
      <w:r w:rsidRPr="002D1103">
        <w:rPr>
          <w:color w:val="000000"/>
        </w:rPr>
        <w:t>400–415 (2016). https://doi.org/10.1038/ismej.2015.121</w:t>
      </w:r>
    </w:p>
    <w:p w14:paraId="622A37FC" w14:textId="26FE58F6" w:rsidR="00444A35" w:rsidRPr="002D1103" w:rsidRDefault="00AD0BB7" w:rsidP="002D1103">
      <w:pPr>
        <w:pStyle w:val="ListParagraph"/>
        <w:widowControl w:val="0"/>
        <w:numPr>
          <w:ilvl w:val="0"/>
          <w:numId w:val="22"/>
        </w:numPr>
        <w:autoSpaceDE w:val="0"/>
        <w:autoSpaceDN w:val="0"/>
        <w:adjustRightInd w:val="0"/>
        <w:rPr>
          <w:color w:val="000000"/>
        </w:rPr>
      </w:pPr>
      <w:r w:rsidRPr="00C34753">
        <w:t xml:space="preserve">Larson, R.A., Brooks, G.R., Schwing, P.T., Carter, S., Hollander, D.J. (2018).  High Resolution Investigation of Event-Driven Sedimentation: Northeastern Gulf of Mexico.  Anthropocene, 24, 40–50, </w:t>
      </w:r>
      <w:r w:rsidRPr="002D1103">
        <w:rPr>
          <w:iCs/>
        </w:rPr>
        <w:t>10.1016/j.ancene.2018.11.002</w:t>
      </w:r>
      <w:r w:rsidRPr="00C34753">
        <w:t>.</w:t>
      </w:r>
      <w:r w:rsidR="00444A35" w:rsidRPr="00444A35">
        <w:t>Legendre, P., Legendre, L., 2012. Numerical Ecology, Third English edition ed. Elsevier, Amsterdam, The Netherlands.</w:t>
      </w:r>
    </w:p>
    <w:p w14:paraId="2ADE9135" w14:textId="77777777" w:rsidR="002D1103" w:rsidRPr="004A141B" w:rsidRDefault="002D1103" w:rsidP="002D1103">
      <w:pPr>
        <w:pStyle w:val="ListParagraph"/>
        <w:numPr>
          <w:ilvl w:val="0"/>
          <w:numId w:val="22"/>
        </w:numPr>
        <w:spacing w:before="100" w:beforeAutospacing="1" w:after="100" w:afterAutospacing="1"/>
        <w:rPr>
          <w:rFonts w:eastAsiaTheme="minorEastAsia"/>
        </w:rPr>
      </w:pPr>
      <w:r w:rsidRPr="004A141B">
        <w:rPr>
          <w:rFonts w:eastAsiaTheme="minorEastAsia"/>
        </w:rPr>
        <w:t xml:space="preserve">Limouzy-Paris, C., M. F. McGowan, W. J. R., &amp; J. P. Umaran, and S. S. C. (1994). DIVERSITY OF FISH LARVAE IN THE FLORIDA KEYS: RESULTS FROM SEFCAR. </w:t>
      </w:r>
      <w:r w:rsidRPr="004A141B">
        <w:rPr>
          <w:rFonts w:eastAsiaTheme="minorEastAsia"/>
          <w:i/>
          <w:iCs/>
        </w:rPr>
        <w:t>Bulletin of Marine Science</w:t>
      </w:r>
      <w:r w:rsidRPr="004A141B">
        <w:rPr>
          <w:rFonts w:eastAsiaTheme="minorEastAsia"/>
        </w:rPr>
        <w:t xml:space="preserve">, </w:t>
      </w:r>
      <w:r w:rsidRPr="004A141B">
        <w:rPr>
          <w:rFonts w:eastAsiaTheme="minorEastAsia"/>
          <w:i/>
          <w:iCs/>
        </w:rPr>
        <w:t>54</w:t>
      </w:r>
      <w:r w:rsidRPr="004A141B">
        <w:rPr>
          <w:rFonts w:eastAsiaTheme="minorEastAsia"/>
        </w:rPr>
        <w:t>(3), 857–870.</w:t>
      </w:r>
    </w:p>
    <w:p w14:paraId="411E1E12" w14:textId="77777777" w:rsidR="002D1103" w:rsidRPr="004A141B" w:rsidRDefault="002D1103" w:rsidP="002D1103">
      <w:pPr>
        <w:pStyle w:val="ListParagraph"/>
        <w:numPr>
          <w:ilvl w:val="0"/>
          <w:numId w:val="22"/>
        </w:numPr>
        <w:spacing w:before="0" w:after="0"/>
      </w:pPr>
      <w:r w:rsidRPr="004A141B">
        <w:t xml:space="preserve">Mason, O. U., Scott, N. M., Gonzalez, A., Robbins-Pianka, A., Bælum, J., Kimbrel, J., … Jansson, J. K. (2014). Metagenomics reveals sediment microbial community response to Deepwater Horizon oil spill. </w:t>
      </w:r>
      <w:r w:rsidRPr="004A141B">
        <w:rPr>
          <w:i/>
          <w:iCs/>
        </w:rPr>
        <w:t>The ISME Journal</w:t>
      </w:r>
      <w:r w:rsidRPr="004A141B">
        <w:t xml:space="preserve">, </w:t>
      </w:r>
      <w:r w:rsidRPr="004A141B">
        <w:rPr>
          <w:i/>
          <w:iCs/>
        </w:rPr>
        <w:t>8</w:t>
      </w:r>
      <w:r w:rsidRPr="004A141B">
        <w:t xml:space="preserve">(7), 1464–1475. </w:t>
      </w:r>
      <w:hyperlink r:id="rId20" w:history="1">
        <w:r w:rsidRPr="004A141B">
          <w:rPr>
            <w:rStyle w:val="Hyperlink"/>
          </w:rPr>
          <w:t>https://doi.org/10.1038/ismej.2013.254</w:t>
        </w:r>
      </w:hyperlink>
    </w:p>
    <w:p w14:paraId="34A5719B" w14:textId="77777777" w:rsidR="00444A35" w:rsidRDefault="00444A35" w:rsidP="00805649">
      <w:pPr>
        <w:pStyle w:val="EndNoteBibliography"/>
        <w:numPr>
          <w:ilvl w:val="0"/>
          <w:numId w:val="22"/>
        </w:numPr>
        <w:spacing w:after="120"/>
        <w:jc w:val="left"/>
      </w:pPr>
      <w:r w:rsidRPr="00444A35">
        <w:t>McArdle, B.H., Anderson, M.J., 2001. Fitting multivariate models to community data: A comment on distance-based redundancy analysis. Ecology 82, 290-297.</w:t>
      </w:r>
    </w:p>
    <w:p w14:paraId="62CD0341" w14:textId="77777777" w:rsidR="00AD0BB7" w:rsidRPr="004A141B" w:rsidRDefault="00AD0BB7" w:rsidP="00AD0BB7">
      <w:pPr>
        <w:pStyle w:val="NormalWeb"/>
        <w:numPr>
          <w:ilvl w:val="0"/>
          <w:numId w:val="22"/>
        </w:numPr>
      </w:pPr>
      <w:r w:rsidRPr="004A141B">
        <w:t>Mcclain, C. R., Nunnally, C., &amp; Benfield, M. C. (2019). Persistent and substantial impacts of the Deepwater Horizon oil spill on deep-sea megafauna.</w:t>
      </w:r>
      <w:r>
        <w:t xml:space="preserve"> </w:t>
      </w:r>
      <w:r w:rsidRPr="00B12726">
        <w:t>R. Soc. open sci. 6: 191164. http://dx.doi.org/10.1098/rsos.191164</w:t>
      </w:r>
    </w:p>
    <w:p w14:paraId="47FAF0FD" w14:textId="77777777" w:rsidR="005E2D90" w:rsidRPr="004A141B" w:rsidRDefault="005E2D90" w:rsidP="005E2D90">
      <w:pPr>
        <w:pStyle w:val="ListParagraph"/>
        <w:numPr>
          <w:ilvl w:val="0"/>
          <w:numId w:val="22"/>
        </w:numPr>
        <w:spacing w:before="0" w:after="0"/>
      </w:pPr>
      <w:r w:rsidRPr="004A141B">
        <w:t xml:space="preserve">Mojtahid M, Jorissen F, Durrieu J, Galgani F, Howa H, Redois F, Camps R (2006). Benthic foraminifera as bio-indicators of drill cutting disposal in tropical east Atlantic outer shelf environments.  Marine Micropaleontology 61:58-75.  </w:t>
      </w:r>
    </w:p>
    <w:p w14:paraId="68B3D717" w14:textId="77777777" w:rsidR="00AD0BB7" w:rsidRPr="004A141B" w:rsidRDefault="00AD0BB7" w:rsidP="00AD0BB7">
      <w:pPr>
        <w:pStyle w:val="ListParagraph"/>
        <w:numPr>
          <w:ilvl w:val="0"/>
          <w:numId w:val="22"/>
        </w:numPr>
        <w:spacing w:before="0" w:after="0"/>
      </w:pPr>
      <w:r w:rsidRPr="004A141B">
        <w:t>Montagna P, Baguley JG, Cooksey C, Hartwell I, Hyde LJ, Hyland JL, Kalke RD, Kracker LM, Reuscher M, Rhodes ACE (2013) Deep-sea benthic footprint of the Deepwater Horizon blowout. PLoS One 8(8):e70540. https://doi.org/10.1371/journal.pone.0070540</w:t>
      </w:r>
    </w:p>
    <w:p w14:paraId="4EDAD970" w14:textId="77777777" w:rsidR="005E2D90" w:rsidRPr="004A141B" w:rsidRDefault="005E2D90" w:rsidP="005E2D90">
      <w:pPr>
        <w:pStyle w:val="ListParagraph"/>
        <w:numPr>
          <w:ilvl w:val="0"/>
          <w:numId w:val="22"/>
        </w:numPr>
        <w:spacing w:before="0" w:after="0"/>
      </w:pPr>
      <w:r w:rsidRPr="004A141B">
        <w:lastRenderedPageBreak/>
        <w:t>Montagna PA, Baguley JG, Cooksey C, Hyland JL (2017</w:t>
      </w:r>
      <w:r>
        <w:t>B</w:t>
      </w:r>
      <w:r w:rsidRPr="004A141B">
        <w:t>) Persistent impacts to the deep soft-bottom benthos one year after the Deepwater Horizon event. Integr Environ Assess Manag 13:342–351. https://doi.org/10.1002/ieam.1791</w:t>
      </w:r>
    </w:p>
    <w:p w14:paraId="3CD4853D" w14:textId="77777777" w:rsidR="005E2D90" w:rsidRPr="004A141B" w:rsidRDefault="005E2D90" w:rsidP="005E2D90">
      <w:pPr>
        <w:pStyle w:val="ListParagraph"/>
        <w:numPr>
          <w:ilvl w:val="0"/>
          <w:numId w:val="22"/>
        </w:numPr>
        <w:spacing w:before="0" w:after="0"/>
      </w:pPr>
      <w:r w:rsidRPr="004A141B">
        <w:t>Montagna PA, Girard F (2020) Deep-sea benthic faunal impacts and community evolution before, during and after the Deepwater Horizon event (Chap. 22). In: Murawski SA, Ainsworth C, Gilbert S, Hollander D, Paris CB, Schlüter M, Wetzel D (eds) Deep oil spills: facts, fate, effects. Springer, Cham</w:t>
      </w:r>
    </w:p>
    <w:p w14:paraId="1B34AC36" w14:textId="77777777" w:rsidR="005E2D90" w:rsidRPr="004A141B" w:rsidRDefault="005E2D90" w:rsidP="005E2D90">
      <w:pPr>
        <w:pStyle w:val="NormalWeb"/>
        <w:numPr>
          <w:ilvl w:val="0"/>
          <w:numId w:val="22"/>
        </w:numPr>
      </w:pPr>
      <w:r w:rsidRPr="004A141B">
        <w:t xml:space="preserve">Overholt, W. A., Schwing, P., Raz, K. M., Hastings, D., Hollander, D. J., &amp; Kostka, J. E. (2019). The core sea floor microbiome in the Gulf of Mexico is remarkably consistent and shows evidence of recovery from disturbance caused by major oil spills. </w:t>
      </w:r>
      <w:r w:rsidRPr="004A141B">
        <w:rPr>
          <w:i/>
          <w:iCs/>
        </w:rPr>
        <w:t>Environmental Microbiology</w:t>
      </w:r>
      <w:r w:rsidRPr="004A141B">
        <w:t xml:space="preserve">, </w:t>
      </w:r>
      <w:r w:rsidRPr="004A141B">
        <w:rPr>
          <w:i/>
          <w:iCs/>
        </w:rPr>
        <w:t>21</w:t>
      </w:r>
      <w:r w:rsidRPr="004A141B">
        <w:t>(11), 4316–4329. https://doi.org/10.1111/1462-2920.14794</w:t>
      </w:r>
    </w:p>
    <w:p w14:paraId="3B9858C8" w14:textId="77777777" w:rsidR="00AD0BB7" w:rsidRPr="00F20767" w:rsidRDefault="00AD0BB7" w:rsidP="00AD0BB7">
      <w:pPr>
        <w:pStyle w:val="ListParagraph"/>
        <w:numPr>
          <w:ilvl w:val="0"/>
          <w:numId w:val="22"/>
        </w:numPr>
        <w:spacing w:before="100" w:beforeAutospacing="1" w:after="100" w:afterAutospacing="1"/>
        <w:rPr>
          <w:rFonts w:eastAsiaTheme="minorEastAsia"/>
        </w:rPr>
      </w:pPr>
      <w:r w:rsidRPr="00F20767">
        <w:rPr>
          <w:rFonts w:eastAsiaTheme="minorEastAsia"/>
        </w:rPr>
        <w:t>Pequengnat WE, Gallaway BJ, Pequegnat LH (1990) Aspects of the ecology of the deep-water fauna of the Gulf of Mexico. American Zoologist 30:45-64.</w:t>
      </w:r>
    </w:p>
    <w:p w14:paraId="13D963B5" w14:textId="77777777" w:rsidR="005E2D90" w:rsidRPr="004A141B" w:rsidRDefault="005E2D90" w:rsidP="005E2D90">
      <w:pPr>
        <w:pStyle w:val="ListParagraph"/>
        <w:numPr>
          <w:ilvl w:val="0"/>
          <w:numId w:val="22"/>
        </w:numPr>
        <w:spacing w:before="100" w:beforeAutospacing="1" w:after="100" w:afterAutospacing="1"/>
        <w:rPr>
          <w:rFonts w:eastAsiaTheme="minorEastAsia"/>
        </w:rPr>
      </w:pPr>
      <w:r w:rsidRPr="004A141B">
        <w:rPr>
          <w:rFonts w:eastAsiaTheme="minorEastAsia"/>
        </w:rPr>
        <w:t xml:space="preserve">Powell, S. M., Haedrich, R. L., &amp; McEachran, J. D. (2017). The Deep-sea Demersal Fish Fauna of the Northern Gulf of Mexico. </w:t>
      </w:r>
      <w:r w:rsidRPr="004A141B">
        <w:rPr>
          <w:rFonts w:eastAsiaTheme="minorEastAsia"/>
          <w:i/>
          <w:iCs/>
        </w:rPr>
        <w:t>Journal of the Northwest Atlantic Fisheries Society</w:t>
      </w:r>
      <w:r w:rsidRPr="004A141B">
        <w:rPr>
          <w:rFonts w:eastAsiaTheme="minorEastAsia"/>
        </w:rPr>
        <w:t xml:space="preserve">, </w:t>
      </w:r>
      <w:r w:rsidRPr="004A141B">
        <w:rPr>
          <w:rFonts w:eastAsiaTheme="minorEastAsia"/>
          <w:i/>
          <w:iCs/>
        </w:rPr>
        <w:t>31</w:t>
      </w:r>
      <w:r w:rsidRPr="004A141B">
        <w:rPr>
          <w:rFonts w:eastAsiaTheme="minorEastAsia"/>
        </w:rPr>
        <w:t>(December), 19–33. https://doi.org/10.2960/J.v31.a2</w:t>
      </w:r>
    </w:p>
    <w:p w14:paraId="399D67EB" w14:textId="77777777" w:rsidR="00AD0BB7" w:rsidRDefault="00AD0BB7" w:rsidP="00AD0BB7">
      <w:pPr>
        <w:pStyle w:val="ListParagraph"/>
        <w:numPr>
          <w:ilvl w:val="0"/>
          <w:numId w:val="22"/>
        </w:numPr>
      </w:pPr>
      <w:r w:rsidRPr="00F20767">
        <w:t>Rowe GT, Kennicutt MC (2008) Introduction to the Deep Gulf of Mexico Benthos Program Deep Sea Research II 55:2536-2540.</w:t>
      </w:r>
    </w:p>
    <w:p w14:paraId="2085C9B9" w14:textId="77777777" w:rsidR="00AD0BB7" w:rsidRPr="004A141B" w:rsidRDefault="00AD0BB7" w:rsidP="00AD0BB7">
      <w:pPr>
        <w:pStyle w:val="ListParagraph"/>
        <w:numPr>
          <w:ilvl w:val="0"/>
          <w:numId w:val="22"/>
        </w:numPr>
        <w:spacing w:before="0" w:after="0"/>
      </w:pPr>
      <w:r>
        <w:t>Reusc</w:t>
      </w:r>
      <w:r w:rsidRPr="004A141B">
        <w:t>her MG, Baguley JG, Conrad-Forrest N, Cooksey C, Hyland JL, Lewis C, Montagna PA, Ricker RW, Rohal M, Washburn T (2017) Temporal patterns of the Deepwater Horizon impacts on the benthic infauna of the northern Gulf of Mexico continental slope. PLoS One 12(6):e0179923. https://doi.org/10.1371/journal.pone.0179923</w:t>
      </w:r>
    </w:p>
    <w:p w14:paraId="123BBE5B" w14:textId="77777777" w:rsidR="00AD0BB7" w:rsidRPr="004A141B" w:rsidRDefault="00AD0BB7" w:rsidP="00AD0BB7">
      <w:pPr>
        <w:pStyle w:val="ListParagraph"/>
        <w:numPr>
          <w:ilvl w:val="0"/>
          <w:numId w:val="22"/>
        </w:numPr>
        <w:spacing w:before="0" w:after="0"/>
      </w:pPr>
      <w:r w:rsidRPr="004A141B">
        <w:t xml:space="preserve">Schwing PT, O’Malley BJ, Hollander DJ (2018A) Resilience of Benthic Foraminifera in the Northern Gulf of Mexico Following the Deepwater Horizon Event (2011-2015).  Ecological Indicators 84:753-764, </w:t>
      </w:r>
      <w:hyperlink r:id="rId21" w:history="1">
        <w:r w:rsidRPr="004A141B">
          <w:rPr>
            <w:rStyle w:val="Hyperlink"/>
          </w:rPr>
          <w:t>http://dx.doi.org/10.1016/j.ecolind.2017.09.044</w:t>
        </w:r>
      </w:hyperlink>
      <w:r w:rsidRPr="004A141B">
        <w:t>.</w:t>
      </w:r>
    </w:p>
    <w:p w14:paraId="27BF41B3" w14:textId="77777777" w:rsidR="00AD0BB7" w:rsidRPr="004A141B" w:rsidRDefault="00AD0BB7" w:rsidP="00AD0BB7">
      <w:pPr>
        <w:pStyle w:val="NormalWeb"/>
        <w:numPr>
          <w:ilvl w:val="0"/>
          <w:numId w:val="22"/>
        </w:numPr>
      </w:pPr>
      <w:r w:rsidRPr="004A141B">
        <w:t xml:space="preserve">Valentine, M. M., &amp; Benfield, M. C. (2013). Characterization of epibenthic and demersal megafauna at Mississippi Canyon 252 shortly after the Deepwater Horizon Oil Spill. </w:t>
      </w:r>
      <w:r w:rsidRPr="004A141B">
        <w:rPr>
          <w:i/>
          <w:iCs/>
        </w:rPr>
        <w:t>Marine Pollution Bulletin</w:t>
      </w:r>
      <w:r w:rsidRPr="004A141B">
        <w:t xml:space="preserve">, </w:t>
      </w:r>
      <w:r w:rsidRPr="004A141B">
        <w:rPr>
          <w:i/>
          <w:iCs/>
        </w:rPr>
        <w:t>77</w:t>
      </w:r>
      <w:r w:rsidRPr="004A141B">
        <w:t>(1–2), 196–209. https://doi.org/10.1016/j.marpolbul.2013.10.004</w:t>
      </w:r>
    </w:p>
    <w:p w14:paraId="76E80A47" w14:textId="77777777" w:rsidR="005E2D90" w:rsidRPr="004A141B" w:rsidRDefault="005E2D90" w:rsidP="005E2D90">
      <w:pPr>
        <w:pStyle w:val="ListParagraph"/>
        <w:numPr>
          <w:ilvl w:val="0"/>
          <w:numId w:val="22"/>
        </w:numPr>
        <w:spacing w:before="0" w:after="0"/>
      </w:pPr>
      <w:r w:rsidRPr="004A141B">
        <w:t>Washburn T, Rhodes ACE, Montagna PA (2016) Benthic taxa as potential indicators of a deep-sea oil spill. Ecol Indic 71:587–597. https://doi.org/10.1016/j.ecolind.2016.07.045</w:t>
      </w:r>
    </w:p>
    <w:p w14:paraId="096D2711" w14:textId="77777777" w:rsidR="00AD0BB7" w:rsidRDefault="00AD0BB7" w:rsidP="00AD0BB7">
      <w:pPr>
        <w:pStyle w:val="ListParagraph"/>
        <w:numPr>
          <w:ilvl w:val="0"/>
          <w:numId w:val="22"/>
        </w:numPr>
        <w:spacing w:before="0" w:after="0"/>
      </w:pPr>
      <w:r w:rsidRPr="004A141B">
        <w:t>Washburn T, Reuscher MG, Montagna PA, Cooksey C, Hyland JL (2017) Macrobenthic community structure in the deep Gulf of Mexico one year after the Deepwater Horizon blowout.  Deep-Sea Res I 127:21–30. https://doi.org/10.1016/j.dsr.2017.06.001</w:t>
      </w:r>
    </w:p>
    <w:p w14:paraId="6A0F6B0D" w14:textId="77777777" w:rsidR="005E2D90" w:rsidRPr="004A141B" w:rsidRDefault="005E2D90" w:rsidP="005E2D90">
      <w:pPr>
        <w:pStyle w:val="ListParagraph"/>
        <w:numPr>
          <w:ilvl w:val="0"/>
          <w:numId w:val="22"/>
        </w:numPr>
        <w:spacing w:before="0" w:after="0"/>
      </w:pPr>
      <w:r w:rsidRPr="004A141B">
        <w:t xml:space="preserve">White HK, Hsing PY, Cho W, Shank TM, Cordes EE, Quattrinni AM, Nelson RK, Camilli R, Demopoulos AWJ, German CR, Brooks JM, Robert HH, Shedd W, Reddy AM, Fisher CR (2012) Impact of the Deepwater Horizon oil spill on a deep-water coral community in the Gulf of Mexico. Proc Natl Acad Sci 109:20303–20308. </w:t>
      </w:r>
      <w:hyperlink r:id="rId22" w:history="1">
        <w:r w:rsidRPr="004A141B">
          <w:rPr>
            <w:rStyle w:val="Hyperlink"/>
          </w:rPr>
          <w:t>https://doi.org/10.1073/pnas.1118029109</w:t>
        </w:r>
      </w:hyperlink>
    </w:p>
    <w:p w14:paraId="6C8ACF60" w14:textId="77777777" w:rsidR="005E2D90" w:rsidRPr="004A141B" w:rsidRDefault="005E2D90" w:rsidP="005E2D90">
      <w:pPr>
        <w:pStyle w:val="ListParagraph"/>
        <w:numPr>
          <w:ilvl w:val="0"/>
          <w:numId w:val="22"/>
        </w:numPr>
        <w:spacing w:before="0" w:after="0"/>
      </w:pPr>
      <w:r w:rsidRPr="004A141B">
        <w:t>White HK, Lyons SL, Harrison SJ, Findley DM, Liu Y, Kujawinski EB (2014) Long-term persistence of dispersants following the Deepwater Horizon oil spill. Environ Sci Technol Lett 1:295–299. https://doi.org/10.1021/ez500168r</w:t>
      </w:r>
    </w:p>
    <w:p w14:paraId="30343658" w14:textId="77777777" w:rsidR="005E2D90" w:rsidRDefault="005E2D90" w:rsidP="005E2D90">
      <w:pPr>
        <w:pStyle w:val="NormalWeb"/>
        <w:numPr>
          <w:ilvl w:val="0"/>
          <w:numId w:val="22"/>
        </w:numPr>
      </w:pPr>
      <w:r>
        <w:t xml:space="preserve">Yang, T., Nigro, L. M., Gutierrez, T., Ambrosio, L. D., Joye, S. B., Highsmith, R., &amp; Teske, A. (2016A). Deep-Sea Research II Pulsed blooms and persistent oil-degrading bacterial populations in the water column during and after the Deepwater Horizon blowout. </w:t>
      </w:r>
      <w:r>
        <w:rPr>
          <w:i/>
          <w:iCs/>
        </w:rPr>
        <w:t>Deep-Sea Research Part II</w:t>
      </w:r>
      <w:r>
        <w:t xml:space="preserve">, </w:t>
      </w:r>
      <w:r>
        <w:rPr>
          <w:i/>
          <w:iCs/>
        </w:rPr>
        <w:t>129</w:t>
      </w:r>
      <w:r>
        <w:t xml:space="preserve">, 282–291. </w:t>
      </w:r>
      <w:hyperlink r:id="rId23" w:history="1">
        <w:r w:rsidRPr="00E22481">
          <w:rPr>
            <w:rStyle w:val="Hyperlink"/>
          </w:rPr>
          <w:t>https://doi.org/10.1016/j.dsr2.2014.01.014</w:t>
        </w:r>
      </w:hyperlink>
    </w:p>
    <w:p w14:paraId="754819B7" w14:textId="335791AE" w:rsidR="005E2D90" w:rsidRPr="004A141B" w:rsidRDefault="005E2D90" w:rsidP="005E2D90">
      <w:pPr>
        <w:pStyle w:val="NormalWeb"/>
        <w:numPr>
          <w:ilvl w:val="0"/>
          <w:numId w:val="22"/>
        </w:numPr>
      </w:pPr>
      <w:r>
        <w:lastRenderedPageBreak/>
        <w:t xml:space="preserve">Yang, T., Speare, K., McKay, L., MacGregor, B.J., Joye, S.B., Teske, A. (2016B).  Distinct bacterial communities in surficial seafloor sediments following the 2010 Deepwater Horizon Blowout.  Frontiers in Microbiology, 7, 1-18, </w:t>
      </w:r>
      <w:r w:rsidRPr="0001625A">
        <w:t>doi: 10.3389/fmicb.2016.01384</w:t>
      </w:r>
    </w:p>
    <w:p w14:paraId="31C05C0E" w14:textId="77777777" w:rsidR="00AD0BB7" w:rsidRPr="00444A35" w:rsidRDefault="00AD0BB7" w:rsidP="00AD0BB7">
      <w:pPr>
        <w:pStyle w:val="EndNoteBibliography"/>
        <w:spacing w:after="120"/>
        <w:ind w:left="720"/>
        <w:jc w:val="left"/>
      </w:pPr>
    </w:p>
    <w:p w14:paraId="7B65BC41" w14:textId="46C953EC" w:rsidR="00DE23E8" w:rsidRPr="0091785E" w:rsidRDefault="00C35468" w:rsidP="00444A35">
      <w:pPr>
        <w:spacing w:after="120"/>
        <w:ind w:left="288" w:hanging="288"/>
        <w:rPr>
          <w:rFonts w:cs="Times New Roman"/>
          <w:szCs w:val="24"/>
        </w:rPr>
      </w:pPr>
      <w:r>
        <w:rPr>
          <w:rFonts w:cs="Times New Roman"/>
          <w:szCs w:val="24"/>
        </w:rPr>
        <w:fldChar w:fldCharType="end"/>
      </w:r>
    </w:p>
    <w:sectPr w:rsidR="00DE23E8" w:rsidRPr="0091785E" w:rsidSect="0017003C">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81505" w14:textId="77777777" w:rsidR="00C65DD1" w:rsidRDefault="00C65DD1" w:rsidP="00117666">
      <w:pPr>
        <w:spacing w:after="0"/>
      </w:pPr>
      <w:r>
        <w:separator/>
      </w:r>
    </w:p>
  </w:endnote>
  <w:endnote w:type="continuationSeparator" w:id="0">
    <w:p w14:paraId="329BC438" w14:textId="77777777" w:rsidR="00C65DD1" w:rsidRDefault="00C65DD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Palatino Linotype">
    <w:panose1 w:val="02040502050505030304"/>
    <w:charset w:val="00"/>
    <w:family w:val="auto"/>
    <w:pitch w:val="variable"/>
    <w:sig w:usb0="E0000287" w:usb1="40000013"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C65DD1" w:rsidRPr="00577C4C" w:rsidRDefault="00C65DD1">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6B59FCC6" w:rsidR="00C65DD1" w:rsidRPr="00577C4C" w:rsidRDefault="00C65DD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D2BBA">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50BC4D33" w14:textId="6B59FCC6" w:rsidR="002D1103" w:rsidRPr="00577C4C" w:rsidRDefault="002D110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E2D90">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C65DD1" w:rsidRPr="00577C4C" w:rsidRDefault="00C65DD1">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4FA0B2C4" w:rsidR="00C65DD1" w:rsidRPr="00577C4C" w:rsidRDefault="00C65DD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D2BBA">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570F0D09" w14:textId="4FA0B2C4" w:rsidR="002D1103" w:rsidRPr="00577C4C" w:rsidRDefault="002D110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E2D90">
                      <w:rPr>
                        <w:noProof/>
                        <w:color w:val="000000" w:themeColor="text1"/>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3DFA1" w14:textId="77777777" w:rsidR="00C65DD1" w:rsidRDefault="00C65DD1" w:rsidP="00117666">
      <w:pPr>
        <w:spacing w:after="0"/>
      </w:pPr>
      <w:r>
        <w:separator/>
      </w:r>
    </w:p>
  </w:footnote>
  <w:footnote w:type="continuationSeparator" w:id="0">
    <w:p w14:paraId="42A62293" w14:textId="77777777" w:rsidR="00C65DD1" w:rsidRDefault="00C65DD1"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C65DD1" w:rsidRPr="009151AA" w:rsidRDefault="00C65DD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C65DD1" w:rsidRDefault="00C65DD1"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6AE2DF2"/>
    <w:multiLevelType w:val="hybridMultilevel"/>
    <w:tmpl w:val="84C28916"/>
    <w:lvl w:ilvl="0" w:tplc="7264035C">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nsid w:val="781760B3"/>
    <w:multiLevelType w:val="hybridMultilevel"/>
    <w:tmpl w:val="B5E4733E"/>
    <w:lvl w:ilvl="0" w:tplc="0409000F">
      <w:start w:val="1"/>
      <w:numFmt w:val="decimal"/>
      <w:lvlText w:val="%1."/>
      <w:lvlJc w:val="left"/>
      <w:pPr>
        <w:ind w:left="720" w:hanging="360"/>
      </w:pPr>
    </w:lvl>
    <w:lvl w:ilvl="1" w:tplc="3006AA28">
      <w:start w:val="1"/>
      <w:numFmt w:val="lowerLetter"/>
      <w:lvlText w:val="%2."/>
      <w:lvlJc w:val="left"/>
      <w:pPr>
        <w:ind w:left="1440" w:hanging="360"/>
      </w:pPr>
      <w:rPr>
        <w:b w:val="0"/>
        <w:i w:val="0"/>
      </w:rPr>
    </w:lvl>
    <w:lvl w:ilvl="2" w:tplc="43D00B26">
      <w:start w:val="1"/>
      <w:numFmt w:val="lowerRoman"/>
      <w:lvlText w:val="%3."/>
      <w:lvlJc w:val="right"/>
      <w:pPr>
        <w:ind w:left="2160" w:hanging="180"/>
      </w:pPr>
      <w:rPr>
        <w:i w:val="0"/>
      </w:rPr>
    </w:lvl>
    <w:lvl w:ilvl="3" w:tplc="EAE4B90C">
      <w:start w:val="1"/>
      <w:numFmt w:val="decimal"/>
      <w:lvlText w:val="%4."/>
      <w:lvlJc w:val="left"/>
      <w:pPr>
        <w:ind w:left="2880" w:hanging="360"/>
      </w:pPr>
      <w:rPr>
        <w:i w:val="0"/>
      </w:rPr>
    </w:lvl>
    <w:lvl w:ilvl="4" w:tplc="7E0044FE">
      <w:start w:val="1"/>
      <w:numFmt w:val="lowerLetter"/>
      <w:lvlText w:val="%5."/>
      <w:lvlJc w:val="left"/>
      <w:pPr>
        <w:ind w:left="3600" w:hanging="360"/>
      </w:pPr>
      <w:rPr>
        <w:i w:val="0"/>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9731B7"/>
    <w:multiLevelType w:val="hybridMultilevel"/>
    <w:tmpl w:val="D69A5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8"/>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ical Indicato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efe52sesd0f6evw2nvv0zexre9sv02092t&quot;&gt;jpk_USF_CMS-14Apr2017&lt;record-ids&gt;&lt;item&gt;506&lt;/item&gt;&lt;item&gt;509&lt;/item&gt;&lt;item&gt;541&lt;/item&gt;&lt;item&gt;544&lt;/item&gt;&lt;item&gt;598&lt;/item&gt;&lt;item&gt;601&lt;/item&gt;&lt;item&gt;646&lt;/item&gt;&lt;item&gt;1663&lt;/item&gt;&lt;item&gt;1665&lt;/item&gt;&lt;item&gt;1666&lt;/item&gt;&lt;item&gt;1709&lt;/item&gt;&lt;item&gt;1767&lt;/item&gt;&lt;/record-ids&gt;&lt;/item&gt;&lt;/Libraries&gt;"/>
  </w:docVars>
  <w:rsids>
    <w:rsidRoot w:val="00ED20B5"/>
    <w:rsid w:val="00004D0E"/>
    <w:rsid w:val="0001436A"/>
    <w:rsid w:val="00034304"/>
    <w:rsid w:val="00035434"/>
    <w:rsid w:val="00052A14"/>
    <w:rsid w:val="00070E5F"/>
    <w:rsid w:val="00077D53"/>
    <w:rsid w:val="00083B7C"/>
    <w:rsid w:val="000C324F"/>
    <w:rsid w:val="00105FD9"/>
    <w:rsid w:val="00117666"/>
    <w:rsid w:val="001549D3"/>
    <w:rsid w:val="00160065"/>
    <w:rsid w:val="0017003C"/>
    <w:rsid w:val="00177D84"/>
    <w:rsid w:val="001A30A4"/>
    <w:rsid w:val="001D0380"/>
    <w:rsid w:val="00267D18"/>
    <w:rsid w:val="00274347"/>
    <w:rsid w:val="002774DC"/>
    <w:rsid w:val="002868E2"/>
    <w:rsid w:val="002869C3"/>
    <w:rsid w:val="00292E49"/>
    <w:rsid w:val="002936E4"/>
    <w:rsid w:val="002B4A57"/>
    <w:rsid w:val="002C63A9"/>
    <w:rsid w:val="002C74CA"/>
    <w:rsid w:val="002C783D"/>
    <w:rsid w:val="002D1103"/>
    <w:rsid w:val="002D55A0"/>
    <w:rsid w:val="002F1C5F"/>
    <w:rsid w:val="002F60F7"/>
    <w:rsid w:val="003123F4"/>
    <w:rsid w:val="0035246F"/>
    <w:rsid w:val="003544FB"/>
    <w:rsid w:val="003B5EB6"/>
    <w:rsid w:val="003C45C8"/>
    <w:rsid w:val="003C5C4F"/>
    <w:rsid w:val="003D2F2D"/>
    <w:rsid w:val="003D3C88"/>
    <w:rsid w:val="003E6F8E"/>
    <w:rsid w:val="003F4004"/>
    <w:rsid w:val="00401590"/>
    <w:rsid w:val="00405609"/>
    <w:rsid w:val="004079D4"/>
    <w:rsid w:val="00433506"/>
    <w:rsid w:val="00444A35"/>
    <w:rsid w:val="00447801"/>
    <w:rsid w:val="00452E9C"/>
    <w:rsid w:val="004735C8"/>
    <w:rsid w:val="004947A6"/>
    <w:rsid w:val="004961FF"/>
    <w:rsid w:val="004A397A"/>
    <w:rsid w:val="004F10F4"/>
    <w:rsid w:val="00504E16"/>
    <w:rsid w:val="0050770E"/>
    <w:rsid w:val="00517A89"/>
    <w:rsid w:val="005250F2"/>
    <w:rsid w:val="00537A74"/>
    <w:rsid w:val="005639BF"/>
    <w:rsid w:val="00565982"/>
    <w:rsid w:val="00577C6C"/>
    <w:rsid w:val="00593EEA"/>
    <w:rsid w:val="005A5EEE"/>
    <w:rsid w:val="005B69F9"/>
    <w:rsid w:val="005B7A16"/>
    <w:rsid w:val="005C7E4A"/>
    <w:rsid w:val="005E2D90"/>
    <w:rsid w:val="005F7497"/>
    <w:rsid w:val="006375C7"/>
    <w:rsid w:val="00654E8F"/>
    <w:rsid w:val="00660D05"/>
    <w:rsid w:val="00666EE1"/>
    <w:rsid w:val="006760FF"/>
    <w:rsid w:val="006820B1"/>
    <w:rsid w:val="00682BA7"/>
    <w:rsid w:val="006B30A9"/>
    <w:rsid w:val="006B3894"/>
    <w:rsid w:val="006B7D14"/>
    <w:rsid w:val="006D1992"/>
    <w:rsid w:val="00701727"/>
    <w:rsid w:val="0070566C"/>
    <w:rsid w:val="00714C50"/>
    <w:rsid w:val="00725A7D"/>
    <w:rsid w:val="00726390"/>
    <w:rsid w:val="007448C9"/>
    <w:rsid w:val="00745645"/>
    <w:rsid w:val="00747D3C"/>
    <w:rsid w:val="007501BE"/>
    <w:rsid w:val="007633DF"/>
    <w:rsid w:val="00777CDC"/>
    <w:rsid w:val="00790BB3"/>
    <w:rsid w:val="0079517C"/>
    <w:rsid w:val="007B226C"/>
    <w:rsid w:val="007C206C"/>
    <w:rsid w:val="007E5602"/>
    <w:rsid w:val="00805649"/>
    <w:rsid w:val="00817DD6"/>
    <w:rsid w:val="00820CEE"/>
    <w:rsid w:val="008343E3"/>
    <w:rsid w:val="0083759F"/>
    <w:rsid w:val="00860F92"/>
    <w:rsid w:val="00885156"/>
    <w:rsid w:val="00892920"/>
    <w:rsid w:val="008E38AE"/>
    <w:rsid w:val="008E3ACC"/>
    <w:rsid w:val="008F23D1"/>
    <w:rsid w:val="009021F8"/>
    <w:rsid w:val="009151AA"/>
    <w:rsid w:val="00916063"/>
    <w:rsid w:val="0091785E"/>
    <w:rsid w:val="0093429D"/>
    <w:rsid w:val="00943573"/>
    <w:rsid w:val="0095079F"/>
    <w:rsid w:val="009632E0"/>
    <w:rsid w:val="00964134"/>
    <w:rsid w:val="00970F7D"/>
    <w:rsid w:val="009817BA"/>
    <w:rsid w:val="00991F21"/>
    <w:rsid w:val="00994A3D"/>
    <w:rsid w:val="009C2B12"/>
    <w:rsid w:val="00A174D9"/>
    <w:rsid w:val="00A45424"/>
    <w:rsid w:val="00A51711"/>
    <w:rsid w:val="00A54A34"/>
    <w:rsid w:val="00A76A01"/>
    <w:rsid w:val="00AA4D24"/>
    <w:rsid w:val="00AA4E68"/>
    <w:rsid w:val="00AB6715"/>
    <w:rsid w:val="00AD0BB7"/>
    <w:rsid w:val="00B1671E"/>
    <w:rsid w:val="00B24945"/>
    <w:rsid w:val="00B25EB8"/>
    <w:rsid w:val="00B32662"/>
    <w:rsid w:val="00B37F4D"/>
    <w:rsid w:val="00B56FBE"/>
    <w:rsid w:val="00C03F14"/>
    <w:rsid w:val="00C35468"/>
    <w:rsid w:val="00C44D68"/>
    <w:rsid w:val="00C52A7B"/>
    <w:rsid w:val="00C56BAF"/>
    <w:rsid w:val="00C65DD1"/>
    <w:rsid w:val="00C679AA"/>
    <w:rsid w:val="00C75972"/>
    <w:rsid w:val="00CA1383"/>
    <w:rsid w:val="00CD066B"/>
    <w:rsid w:val="00CE4FEE"/>
    <w:rsid w:val="00CE6827"/>
    <w:rsid w:val="00D0530F"/>
    <w:rsid w:val="00D060CF"/>
    <w:rsid w:val="00D073EE"/>
    <w:rsid w:val="00D31D33"/>
    <w:rsid w:val="00D53AFD"/>
    <w:rsid w:val="00D76A5F"/>
    <w:rsid w:val="00DB59C3"/>
    <w:rsid w:val="00DC09FD"/>
    <w:rsid w:val="00DC259A"/>
    <w:rsid w:val="00DC505D"/>
    <w:rsid w:val="00DD2BBA"/>
    <w:rsid w:val="00DE1C09"/>
    <w:rsid w:val="00DE23E8"/>
    <w:rsid w:val="00E52377"/>
    <w:rsid w:val="00E537AD"/>
    <w:rsid w:val="00E64E17"/>
    <w:rsid w:val="00E866C9"/>
    <w:rsid w:val="00E95AA5"/>
    <w:rsid w:val="00EA3D3C"/>
    <w:rsid w:val="00EB1B40"/>
    <w:rsid w:val="00EC090A"/>
    <w:rsid w:val="00ED20B5"/>
    <w:rsid w:val="00F13749"/>
    <w:rsid w:val="00F46900"/>
    <w:rsid w:val="00F52A04"/>
    <w:rsid w:val="00F53C97"/>
    <w:rsid w:val="00F61D89"/>
    <w:rsid w:val="00FD5EEB"/>
    <w:rsid w:val="00FE1C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rsid w:val="00C35468"/>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C35468"/>
    <w:rPr>
      <w:rFonts w:ascii="Times New Roman" w:hAnsi="Times New Roman" w:cs="Times New Roman"/>
      <w:noProof/>
      <w:sz w:val="24"/>
    </w:rPr>
  </w:style>
  <w:style w:type="paragraph" w:customStyle="1" w:styleId="EndNoteBibliography">
    <w:name w:val="EndNote Bibliography"/>
    <w:basedOn w:val="Normal"/>
    <w:link w:val="EndNoteBibliographyChar"/>
    <w:rsid w:val="00C35468"/>
    <w:pPr>
      <w:jc w:val="center"/>
    </w:pPr>
    <w:rPr>
      <w:rFonts w:cs="Times New Roman"/>
      <w:noProof/>
    </w:rPr>
  </w:style>
  <w:style w:type="character" w:customStyle="1" w:styleId="EndNoteBibliographyChar">
    <w:name w:val="EndNote Bibliography Char"/>
    <w:basedOn w:val="DefaultParagraphFont"/>
    <w:link w:val="EndNoteBibliography"/>
    <w:rsid w:val="00C35468"/>
    <w:rPr>
      <w:rFonts w:ascii="Times New Roman" w:hAnsi="Times New Roman" w:cs="Times New Roman"/>
      <w:noProof/>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rsid w:val="00C35468"/>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C35468"/>
    <w:rPr>
      <w:rFonts w:ascii="Times New Roman" w:hAnsi="Times New Roman" w:cs="Times New Roman"/>
      <w:noProof/>
      <w:sz w:val="24"/>
    </w:rPr>
  </w:style>
  <w:style w:type="paragraph" w:customStyle="1" w:styleId="EndNoteBibliography">
    <w:name w:val="EndNote Bibliography"/>
    <w:basedOn w:val="Normal"/>
    <w:link w:val="EndNoteBibliographyChar"/>
    <w:rsid w:val="00C35468"/>
    <w:pPr>
      <w:jc w:val="center"/>
    </w:pPr>
    <w:rPr>
      <w:rFonts w:cs="Times New Roman"/>
      <w:noProof/>
    </w:rPr>
  </w:style>
  <w:style w:type="character" w:customStyle="1" w:styleId="EndNoteBibliographyChar">
    <w:name w:val="EndNote Bibliography Char"/>
    <w:basedOn w:val="DefaultParagraphFont"/>
    <w:link w:val="EndNoteBibliography"/>
    <w:rsid w:val="00C35468"/>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46444688">
      <w:bodyDiv w:val="1"/>
      <w:marLeft w:val="0"/>
      <w:marRight w:val="0"/>
      <w:marTop w:val="0"/>
      <w:marBottom w:val="0"/>
      <w:divBdr>
        <w:top w:val="none" w:sz="0" w:space="0" w:color="auto"/>
        <w:left w:val="none" w:sz="0" w:space="0" w:color="auto"/>
        <w:bottom w:val="none" w:sz="0" w:space="0" w:color="auto"/>
        <w:right w:val="none" w:sz="0" w:space="0" w:color="auto"/>
      </w:divBdr>
    </w:div>
    <w:div w:id="348996196">
      <w:bodyDiv w:val="1"/>
      <w:marLeft w:val="0"/>
      <w:marRight w:val="0"/>
      <w:marTop w:val="0"/>
      <w:marBottom w:val="0"/>
      <w:divBdr>
        <w:top w:val="none" w:sz="0" w:space="0" w:color="auto"/>
        <w:left w:val="none" w:sz="0" w:space="0" w:color="auto"/>
        <w:bottom w:val="none" w:sz="0" w:space="0" w:color="auto"/>
        <w:right w:val="none" w:sz="0" w:space="0" w:color="auto"/>
      </w:divBdr>
    </w:div>
    <w:div w:id="125897890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13976297">
      <w:bodyDiv w:val="1"/>
      <w:marLeft w:val="0"/>
      <w:marRight w:val="0"/>
      <w:marTop w:val="0"/>
      <w:marBottom w:val="0"/>
      <w:divBdr>
        <w:top w:val="none" w:sz="0" w:space="0" w:color="auto"/>
        <w:left w:val="none" w:sz="0" w:space="0" w:color="auto"/>
        <w:bottom w:val="none" w:sz="0" w:space="0" w:color="auto"/>
        <w:right w:val="none" w:sz="0" w:space="0" w:color="auto"/>
      </w:divBdr>
    </w:div>
    <w:div w:id="1758555863">
      <w:bodyDiv w:val="1"/>
      <w:marLeft w:val="0"/>
      <w:marRight w:val="0"/>
      <w:marTop w:val="0"/>
      <w:marBottom w:val="0"/>
      <w:divBdr>
        <w:top w:val="none" w:sz="0" w:space="0" w:color="auto"/>
        <w:left w:val="none" w:sz="0" w:space="0" w:color="auto"/>
        <w:bottom w:val="none" w:sz="0" w:space="0" w:color="auto"/>
        <w:right w:val="none" w:sz="0" w:space="0" w:color="auto"/>
      </w:divBdr>
    </w:div>
    <w:div w:id="192553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s://doi.org/10.1038/ismej.2013.254" TargetMode="External"/><Relationship Id="rId21" Type="http://schemas.openxmlformats.org/officeDocument/2006/relationships/hyperlink" Target="http://dx.doi.org/10.1016/j.ecolind.2017.09.044" TargetMode="External"/><Relationship Id="rId22" Type="http://schemas.openxmlformats.org/officeDocument/2006/relationships/hyperlink" Target="https://doi.org/10.1073/pnas.1118029109" TargetMode="External"/><Relationship Id="rId23" Type="http://schemas.openxmlformats.org/officeDocument/2006/relationships/hyperlink" Target="https://doi.org/10.1016/j.dsr2.2014.01.014"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image" Target="media/image2.emf"/><Relationship Id="rId14" Type="http://schemas.openxmlformats.org/officeDocument/2006/relationships/image" Target="media/image3.png"/><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png"/><Relationship Id="rId18" Type="http://schemas.openxmlformats.org/officeDocument/2006/relationships/hyperlink" Target="https://doi.org/10.1093/biosci/biu129" TargetMode="External"/><Relationship Id="rId19" Type="http://schemas.openxmlformats.org/officeDocument/2006/relationships/hyperlink" Target="https://www.marine.usf.edu/research/matlab-resourc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3C6CAC2-0D80-1041-B4BF-C7ED6A72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\Users\joshua.stocco\Documents\Templates\Frontiers_Word_Templates\Supplementary_Material.dotx</Template>
  <TotalTime>1</TotalTime>
  <Pages>15</Pages>
  <Words>4065</Words>
  <Characters>23173</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Patrick Schwing</cp:lastModifiedBy>
  <cp:revision>3</cp:revision>
  <cp:lastPrinted>2013-10-03T12:51:00Z</cp:lastPrinted>
  <dcterms:created xsi:type="dcterms:W3CDTF">2020-06-09T13:18:00Z</dcterms:created>
  <dcterms:modified xsi:type="dcterms:W3CDTF">2020-06-10T13:11:00Z</dcterms:modified>
</cp:coreProperties>
</file>