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29489" w14:textId="735A03AA" w:rsidR="00FF3503" w:rsidRDefault="006570BA" w:rsidP="00FF3503">
      <w:pPr>
        <w:spacing w:before="100" w:beforeAutospacing="1" w:after="100" w:afterAutospacing="1"/>
        <w:jc w:val="center"/>
        <w:rPr>
          <w:rFonts w:ascii="Myriad Pro" w:hAnsi="Myriad Pro"/>
          <w:szCs w:val="24"/>
        </w:rPr>
      </w:pPr>
      <w:r w:rsidRPr="006570BA">
        <w:rPr>
          <w:rFonts w:ascii="Myriad Pro" w:hAnsi="Myriad Pro"/>
          <w:szCs w:val="24"/>
        </w:rPr>
        <w:t>Supplementary</w:t>
      </w:r>
      <w:r w:rsidR="00FF3503" w:rsidRPr="006570BA">
        <w:rPr>
          <w:rFonts w:ascii="Myriad Pro" w:hAnsi="Myriad Pro"/>
          <w:szCs w:val="24"/>
        </w:rPr>
        <w:t xml:space="preserve"> Information for</w:t>
      </w:r>
    </w:p>
    <w:p w14:paraId="5F4B7DC7" w14:textId="77777777" w:rsidR="006570BA" w:rsidRPr="006570BA" w:rsidRDefault="006570BA" w:rsidP="00FF3503">
      <w:pPr>
        <w:spacing w:before="100" w:beforeAutospacing="1" w:after="100" w:afterAutospacing="1"/>
        <w:jc w:val="center"/>
        <w:rPr>
          <w:rFonts w:ascii="Myriad Pro" w:hAnsi="Myriad Pro"/>
          <w:szCs w:val="24"/>
        </w:rPr>
      </w:pPr>
    </w:p>
    <w:p w14:paraId="34306ABC" w14:textId="407B6FB6" w:rsidR="004B0C53" w:rsidRDefault="004B0C53" w:rsidP="004B0C53">
      <w:pPr>
        <w:jc w:val="center"/>
        <w:rPr>
          <w:b/>
          <w:sz w:val="32"/>
          <w:szCs w:val="32"/>
        </w:rPr>
      </w:pPr>
      <w:r w:rsidRPr="00E0254C">
        <w:rPr>
          <w:b/>
          <w:sz w:val="32"/>
          <w:szCs w:val="32"/>
        </w:rPr>
        <w:t>The</w:t>
      </w:r>
      <w:r>
        <w:rPr>
          <w:b/>
          <w:sz w:val="32"/>
          <w:szCs w:val="32"/>
        </w:rPr>
        <w:t xml:space="preserve"> long-term</w:t>
      </w:r>
      <w:r w:rsidRPr="00E0254C">
        <w:rPr>
          <w:b/>
          <w:sz w:val="32"/>
          <w:szCs w:val="32"/>
        </w:rPr>
        <w:t xml:space="preserve"> life-cycle of Nevado de Toluca volcano (Mexico): Insights into the </w:t>
      </w:r>
      <w:r>
        <w:rPr>
          <w:b/>
          <w:sz w:val="32"/>
          <w:szCs w:val="32"/>
        </w:rPr>
        <w:t>origin</w:t>
      </w:r>
      <w:r w:rsidRPr="00E0254C">
        <w:rPr>
          <w:b/>
          <w:sz w:val="32"/>
          <w:szCs w:val="32"/>
        </w:rPr>
        <w:t xml:space="preserve"> of petrologic </w:t>
      </w:r>
      <w:r>
        <w:rPr>
          <w:b/>
          <w:sz w:val="32"/>
          <w:szCs w:val="32"/>
        </w:rPr>
        <w:t>modes</w:t>
      </w:r>
    </w:p>
    <w:p w14:paraId="5A79628C" w14:textId="77777777" w:rsidR="004B0C53" w:rsidRDefault="004B0C53" w:rsidP="004B0C53">
      <w:pPr>
        <w:jc w:val="center"/>
        <w:rPr>
          <w:b/>
          <w:sz w:val="32"/>
          <w:szCs w:val="32"/>
        </w:rPr>
      </w:pPr>
    </w:p>
    <w:p w14:paraId="37F3CD90" w14:textId="1FF425BC" w:rsidR="006570BA" w:rsidRPr="00D02D64" w:rsidRDefault="006570BA" w:rsidP="006570BA">
      <w:pPr>
        <w:pStyle w:val="Authors"/>
        <w:jc w:val="center"/>
      </w:pPr>
      <w:r w:rsidRPr="00D02D64">
        <w:t>Gregor Weber</w:t>
      </w:r>
      <w:r w:rsidRPr="00D02D64">
        <w:rPr>
          <w:vertAlign w:val="superscript"/>
        </w:rPr>
        <w:t>1</w:t>
      </w:r>
      <w:r w:rsidRPr="00D02D64">
        <w:t xml:space="preserve">, </w:t>
      </w:r>
      <w:r>
        <w:t>Luca Caricchi</w:t>
      </w:r>
      <w:r w:rsidRPr="002B223D">
        <w:rPr>
          <w:vertAlign w:val="superscript"/>
        </w:rPr>
        <w:t>1</w:t>
      </w:r>
      <w:r w:rsidR="00CD518E">
        <w:t xml:space="preserve"> and</w:t>
      </w:r>
      <w:r>
        <w:t xml:space="preserve"> </w:t>
      </w:r>
      <w:r w:rsidR="00471703">
        <w:t>José L.</w:t>
      </w:r>
      <w:r w:rsidRPr="00D02D64">
        <w:t xml:space="preserve"> Arce</w:t>
      </w:r>
      <w:r w:rsidRPr="00D02D64">
        <w:rPr>
          <w:vertAlign w:val="superscript"/>
        </w:rPr>
        <w:t>2</w:t>
      </w:r>
    </w:p>
    <w:p w14:paraId="1F21ED5F" w14:textId="77777777" w:rsidR="006570BA" w:rsidRPr="006570BA" w:rsidRDefault="006570BA" w:rsidP="006570BA">
      <w:pPr>
        <w:jc w:val="center"/>
        <w:rPr>
          <w:sz w:val="22"/>
          <w:szCs w:val="22"/>
          <w:lang w:val="en-GB"/>
        </w:rPr>
      </w:pPr>
      <w:r w:rsidRPr="006570BA">
        <w:rPr>
          <w:sz w:val="22"/>
          <w:szCs w:val="22"/>
          <w:vertAlign w:val="superscript"/>
        </w:rPr>
        <w:t>1</w:t>
      </w:r>
      <w:r w:rsidRPr="006570BA">
        <w:rPr>
          <w:sz w:val="22"/>
          <w:szCs w:val="22"/>
          <w:lang w:val="en-GB"/>
        </w:rPr>
        <w:t xml:space="preserve"> Department of Earth Sciences, University of Geneva, Geneva, Switzerland.</w:t>
      </w:r>
    </w:p>
    <w:p w14:paraId="739C2A1A" w14:textId="77777777" w:rsidR="006570BA" w:rsidRPr="006570BA" w:rsidRDefault="006570BA" w:rsidP="006570BA">
      <w:pPr>
        <w:pStyle w:val="Affiliation"/>
        <w:jc w:val="center"/>
        <w:rPr>
          <w:sz w:val="22"/>
          <w:szCs w:val="22"/>
          <w:lang w:val="es-MX"/>
        </w:rPr>
      </w:pPr>
      <w:r w:rsidRPr="006570BA">
        <w:rPr>
          <w:sz w:val="22"/>
          <w:szCs w:val="22"/>
          <w:vertAlign w:val="superscript"/>
          <w:lang w:val="fr-CH"/>
        </w:rPr>
        <w:t>2</w:t>
      </w:r>
      <w:r w:rsidRPr="006570BA">
        <w:rPr>
          <w:sz w:val="22"/>
          <w:szCs w:val="22"/>
          <w:lang w:val="fr-CH"/>
        </w:rPr>
        <w:t xml:space="preserve"> </w:t>
      </w:r>
      <w:r w:rsidRPr="006570BA">
        <w:rPr>
          <w:sz w:val="22"/>
          <w:szCs w:val="22"/>
          <w:lang w:val="es-MX"/>
        </w:rPr>
        <w:t>Instituto de Geología, Universidad Nacional Autónoma de México, Coyoacán, México</w:t>
      </w:r>
      <w:r w:rsidRPr="006570BA">
        <w:rPr>
          <w:sz w:val="22"/>
          <w:szCs w:val="22"/>
          <w:lang w:val="fr-CH"/>
        </w:rPr>
        <w:t>.</w:t>
      </w:r>
    </w:p>
    <w:p w14:paraId="59503831" w14:textId="77777777" w:rsidR="006570BA" w:rsidRPr="004B0C53" w:rsidRDefault="006570BA" w:rsidP="006570BA">
      <w:pPr>
        <w:pStyle w:val="Affiliation"/>
        <w:jc w:val="center"/>
      </w:pPr>
    </w:p>
    <w:p w14:paraId="75888A29" w14:textId="68AEBD4D" w:rsidR="006570BA" w:rsidRPr="000C1C6B" w:rsidRDefault="006570BA" w:rsidP="006570BA">
      <w:pPr>
        <w:pStyle w:val="Affiliation"/>
        <w:jc w:val="center"/>
        <w:rPr>
          <w:sz w:val="22"/>
          <w:szCs w:val="22"/>
        </w:rPr>
      </w:pPr>
      <w:r w:rsidRPr="000C1C6B">
        <w:rPr>
          <w:sz w:val="22"/>
          <w:szCs w:val="22"/>
        </w:rPr>
        <w:t>Corresponding author: Gregor Weber (</w:t>
      </w:r>
      <w:hyperlink r:id="rId8" w:history="1">
        <w:r w:rsidRPr="000C1C6B">
          <w:rPr>
            <w:rStyle w:val="Hyperlink"/>
          </w:rPr>
          <w:t>gregor.weber@unige.ch</w:t>
        </w:r>
      </w:hyperlink>
      <w:r w:rsidRPr="000C1C6B">
        <w:rPr>
          <w:sz w:val="22"/>
          <w:szCs w:val="22"/>
        </w:rPr>
        <w:t>)</w:t>
      </w:r>
    </w:p>
    <w:p w14:paraId="347237BD" w14:textId="7008D361" w:rsidR="00094365" w:rsidRDefault="00094365" w:rsidP="000B2E64">
      <w:pPr>
        <w:spacing w:before="100" w:beforeAutospacing="1" w:after="100" w:afterAutospacing="1"/>
        <w:jc w:val="center"/>
        <w:rPr>
          <w:rFonts w:ascii="Myriad Pro" w:hAnsi="Myriad Pro"/>
          <w:sz w:val="22"/>
          <w:szCs w:val="22"/>
        </w:rPr>
      </w:pPr>
    </w:p>
    <w:p w14:paraId="1DA22428" w14:textId="2AB67E98" w:rsidR="006570BA" w:rsidRDefault="006570BA" w:rsidP="000B2E64">
      <w:pPr>
        <w:spacing w:before="100" w:beforeAutospacing="1" w:after="100" w:afterAutospacing="1"/>
        <w:jc w:val="center"/>
        <w:rPr>
          <w:rFonts w:ascii="Myriad Pro" w:hAnsi="Myriad Pro"/>
          <w:sz w:val="22"/>
          <w:szCs w:val="22"/>
        </w:rPr>
      </w:pPr>
    </w:p>
    <w:p w14:paraId="36236962" w14:textId="18FCAD2E" w:rsidR="006570BA" w:rsidRDefault="006570BA" w:rsidP="000B2E64">
      <w:pPr>
        <w:spacing w:before="100" w:beforeAutospacing="1" w:after="100" w:afterAutospacing="1"/>
        <w:jc w:val="center"/>
        <w:rPr>
          <w:rFonts w:ascii="Myriad Pro" w:hAnsi="Myriad Pro"/>
          <w:sz w:val="22"/>
          <w:szCs w:val="22"/>
        </w:rPr>
      </w:pPr>
    </w:p>
    <w:p w14:paraId="308C8F62" w14:textId="3D0B3341" w:rsidR="006570BA" w:rsidRDefault="006570BA" w:rsidP="000B2E64">
      <w:pPr>
        <w:spacing w:before="100" w:beforeAutospacing="1" w:after="100" w:afterAutospacing="1"/>
        <w:jc w:val="center"/>
        <w:rPr>
          <w:rFonts w:ascii="Myriad Pro" w:hAnsi="Myriad Pro"/>
          <w:sz w:val="22"/>
          <w:szCs w:val="22"/>
        </w:rPr>
      </w:pPr>
    </w:p>
    <w:p w14:paraId="71BA1096" w14:textId="1E135E3A" w:rsidR="006570BA" w:rsidRDefault="006570BA" w:rsidP="000B2E64">
      <w:pPr>
        <w:spacing w:before="100" w:beforeAutospacing="1" w:after="100" w:afterAutospacing="1"/>
        <w:jc w:val="center"/>
        <w:rPr>
          <w:rFonts w:ascii="Myriad Pro" w:hAnsi="Myriad Pro"/>
          <w:sz w:val="22"/>
          <w:szCs w:val="22"/>
        </w:rPr>
      </w:pPr>
    </w:p>
    <w:p w14:paraId="68129E06" w14:textId="75ACC50D" w:rsidR="006570BA" w:rsidRDefault="006570BA" w:rsidP="000B2E64">
      <w:pPr>
        <w:spacing w:before="100" w:beforeAutospacing="1" w:after="100" w:afterAutospacing="1"/>
        <w:jc w:val="center"/>
        <w:rPr>
          <w:rFonts w:ascii="Myriad Pro" w:hAnsi="Myriad Pro"/>
          <w:sz w:val="22"/>
          <w:szCs w:val="22"/>
        </w:rPr>
      </w:pPr>
    </w:p>
    <w:p w14:paraId="00107AF0" w14:textId="1BEF106E" w:rsidR="006570BA" w:rsidRDefault="006570BA" w:rsidP="000B2E64">
      <w:pPr>
        <w:spacing w:before="100" w:beforeAutospacing="1" w:after="100" w:afterAutospacing="1"/>
        <w:jc w:val="center"/>
        <w:rPr>
          <w:rFonts w:ascii="Myriad Pro" w:hAnsi="Myriad Pro"/>
          <w:sz w:val="22"/>
          <w:szCs w:val="22"/>
        </w:rPr>
      </w:pPr>
    </w:p>
    <w:p w14:paraId="3D561158" w14:textId="4DA1B95D" w:rsidR="006570BA" w:rsidRDefault="006570BA" w:rsidP="000B2E64">
      <w:pPr>
        <w:spacing w:before="100" w:beforeAutospacing="1" w:after="100" w:afterAutospacing="1"/>
        <w:jc w:val="center"/>
        <w:rPr>
          <w:rFonts w:ascii="Myriad Pro" w:hAnsi="Myriad Pro"/>
          <w:sz w:val="22"/>
          <w:szCs w:val="22"/>
        </w:rPr>
      </w:pPr>
    </w:p>
    <w:p w14:paraId="505112B4" w14:textId="48105848" w:rsidR="006570BA" w:rsidRDefault="006570BA" w:rsidP="000B2E64">
      <w:pPr>
        <w:spacing w:before="100" w:beforeAutospacing="1" w:after="100" w:afterAutospacing="1"/>
        <w:jc w:val="center"/>
        <w:rPr>
          <w:rFonts w:ascii="Myriad Pro" w:hAnsi="Myriad Pro"/>
          <w:sz w:val="22"/>
          <w:szCs w:val="22"/>
        </w:rPr>
      </w:pPr>
    </w:p>
    <w:p w14:paraId="3617A7E9" w14:textId="56A39DA7" w:rsidR="006570BA" w:rsidRDefault="006570BA" w:rsidP="000B2E64">
      <w:pPr>
        <w:spacing w:before="100" w:beforeAutospacing="1" w:after="100" w:afterAutospacing="1"/>
        <w:jc w:val="center"/>
        <w:rPr>
          <w:rFonts w:ascii="Myriad Pro" w:hAnsi="Myriad Pro"/>
          <w:sz w:val="22"/>
          <w:szCs w:val="22"/>
        </w:rPr>
      </w:pPr>
    </w:p>
    <w:p w14:paraId="5DE3E456" w14:textId="5DD3EE3F" w:rsidR="006570BA" w:rsidRDefault="006570BA" w:rsidP="000B2E64">
      <w:pPr>
        <w:spacing w:before="100" w:beforeAutospacing="1" w:after="100" w:afterAutospacing="1"/>
        <w:jc w:val="center"/>
        <w:rPr>
          <w:rFonts w:ascii="Myriad Pro" w:hAnsi="Myriad Pro"/>
          <w:sz w:val="22"/>
          <w:szCs w:val="22"/>
        </w:rPr>
      </w:pPr>
    </w:p>
    <w:p w14:paraId="2667D5A2" w14:textId="73160F88" w:rsidR="006570BA" w:rsidRDefault="006570BA" w:rsidP="000B2E64">
      <w:pPr>
        <w:spacing w:before="100" w:beforeAutospacing="1" w:after="100" w:afterAutospacing="1"/>
        <w:jc w:val="center"/>
        <w:rPr>
          <w:rFonts w:ascii="Myriad Pro" w:hAnsi="Myriad Pro"/>
          <w:sz w:val="22"/>
          <w:szCs w:val="22"/>
        </w:rPr>
      </w:pPr>
    </w:p>
    <w:p w14:paraId="305EBC68" w14:textId="77777777" w:rsidR="006570BA" w:rsidRPr="00CE6EAA" w:rsidRDefault="006570BA" w:rsidP="000B2E64">
      <w:pPr>
        <w:spacing w:before="100" w:beforeAutospacing="1" w:after="100" w:afterAutospacing="1"/>
        <w:jc w:val="center"/>
        <w:rPr>
          <w:rFonts w:ascii="Myriad Pro" w:hAnsi="Myriad Pro"/>
          <w:sz w:val="22"/>
          <w:szCs w:val="22"/>
        </w:rPr>
      </w:pPr>
    </w:p>
    <w:p w14:paraId="2218C341" w14:textId="363853B2" w:rsidR="00015F74" w:rsidRDefault="00015F74">
      <w:pPr>
        <w:rPr>
          <w:rFonts w:ascii="Myriad Pro" w:hAnsi="Myriad Pro"/>
          <w:b/>
        </w:rPr>
      </w:pPr>
    </w:p>
    <w:p w14:paraId="29EF9DFF" w14:textId="3C3F26F4" w:rsidR="007722BD" w:rsidRDefault="007722BD">
      <w:pPr>
        <w:rPr>
          <w:rFonts w:ascii="Myriad Pro" w:hAnsi="Myriad Pro"/>
          <w:b/>
        </w:rPr>
      </w:pPr>
    </w:p>
    <w:p w14:paraId="5DC645F7" w14:textId="131E56CB" w:rsidR="007722BD" w:rsidRDefault="007722BD">
      <w:pPr>
        <w:rPr>
          <w:rFonts w:ascii="Myriad Pro" w:hAnsi="Myriad Pro"/>
          <w:b/>
        </w:rPr>
      </w:pPr>
    </w:p>
    <w:p w14:paraId="0DF45A01" w14:textId="4629B5BA" w:rsidR="007722BD" w:rsidRDefault="007722BD">
      <w:pPr>
        <w:rPr>
          <w:rFonts w:ascii="Myriad Pro" w:hAnsi="Myriad Pro"/>
          <w:b/>
        </w:rPr>
      </w:pPr>
    </w:p>
    <w:p w14:paraId="48E9582C" w14:textId="5A6EF589" w:rsidR="00163B67" w:rsidRDefault="00163B67" w:rsidP="0066722B">
      <w:pPr>
        <w:pStyle w:val="SMcaption"/>
        <w:rPr>
          <w:rFonts w:ascii="Myriad Pro" w:hAnsi="Myriad Pro"/>
          <w:sz w:val="22"/>
          <w:szCs w:val="22"/>
        </w:rPr>
      </w:pPr>
    </w:p>
    <w:p w14:paraId="6DCE6FF1" w14:textId="23A97553" w:rsidR="004B0C53" w:rsidRDefault="004B0C53" w:rsidP="0066722B">
      <w:pPr>
        <w:pStyle w:val="SMcaption"/>
        <w:rPr>
          <w:rFonts w:ascii="Myriad Pro" w:hAnsi="Myriad Pro"/>
          <w:sz w:val="22"/>
          <w:szCs w:val="22"/>
        </w:rPr>
      </w:pPr>
    </w:p>
    <w:p w14:paraId="0B35D531" w14:textId="02234584" w:rsidR="00163B67" w:rsidRDefault="007673C0" w:rsidP="0066722B">
      <w:pPr>
        <w:pStyle w:val="SMcaption"/>
        <w:rPr>
          <w:rFonts w:ascii="Myriad Pro" w:hAnsi="Myriad Pro"/>
          <w:sz w:val="22"/>
          <w:szCs w:val="22"/>
        </w:rPr>
      </w:pPr>
      <w:r>
        <w:rPr>
          <w:rFonts w:ascii="Myriad Pro" w:hAnsi="Myriad Pro"/>
          <w:sz w:val="22"/>
          <w:szCs w:val="22"/>
        </w:rPr>
        <w:pict w14:anchorId="3DBFF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442.8pt">
            <v:imagedata r:id="rId9" o:title="MinModes"/>
          </v:shape>
        </w:pict>
      </w:r>
    </w:p>
    <w:p w14:paraId="0C17F188" w14:textId="66EF9E92" w:rsidR="004B0C53" w:rsidRDefault="004B0C53" w:rsidP="004B0C53">
      <w:pPr>
        <w:pStyle w:val="SMcaption"/>
        <w:spacing w:line="360" w:lineRule="auto"/>
        <w:rPr>
          <w:sz w:val="22"/>
          <w:szCs w:val="22"/>
        </w:rPr>
      </w:pPr>
      <w:r>
        <w:rPr>
          <w:sz w:val="22"/>
          <w:szCs w:val="22"/>
        </w:rPr>
        <w:t xml:space="preserve">Fig. S1: </w:t>
      </w:r>
      <w:r w:rsidR="00315AD3">
        <w:rPr>
          <w:sz w:val="22"/>
          <w:szCs w:val="22"/>
        </w:rPr>
        <w:t xml:space="preserve">Mineral and liquid modes for Nevado de Toluca volcano. The fractions were estimated by point counting on </w:t>
      </w:r>
      <w:r w:rsidR="00CA0A82">
        <w:rPr>
          <w:sz w:val="22"/>
          <w:szCs w:val="22"/>
        </w:rPr>
        <w:t xml:space="preserve">at least 5 BSE images and 1 petrographic section for each of the eruptions. </w:t>
      </w:r>
      <w:r w:rsidR="00315AD3">
        <w:rPr>
          <w:sz w:val="22"/>
          <w:szCs w:val="22"/>
        </w:rPr>
        <w:t xml:space="preserve">a) The fractions of groundmass (red) and </w:t>
      </w:r>
      <w:proofErr w:type="spellStart"/>
      <w:r w:rsidR="00315AD3">
        <w:rPr>
          <w:sz w:val="22"/>
          <w:szCs w:val="22"/>
        </w:rPr>
        <w:t>macrocrystals</w:t>
      </w:r>
      <w:proofErr w:type="spellEnd"/>
      <w:r w:rsidR="00315AD3">
        <w:rPr>
          <w:sz w:val="22"/>
          <w:szCs w:val="22"/>
        </w:rPr>
        <w:t xml:space="preserve"> (orange) is shown for 18 eruptions from Nevado de Toluca in stratigraphic order with </w:t>
      </w:r>
      <w:proofErr w:type="spellStart"/>
      <w:r w:rsidR="00315AD3">
        <w:rPr>
          <w:sz w:val="22"/>
          <w:szCs w:val="22"/>
        </w:rPr>
        <w:t>decrasing</w:t>
      </w:r>
      <w:proofErr w:type="spellEnd"/>
      <w:r w:rsidR="00315AD3">
        <w:rPr>
          <w:sz w:val="22"/>
          <w:szCs w:val="22"/>
        </w:rPr>
        <w:t xml:space="preserve"> age from left to right. Age data was taken from Torres-Orozco et al., (2017). b) Fractions of </w:t>
      </w:r>
      <w:proofErr w:type="spellStart"/>
      <w:r w:rsidR="00315AD3">
        <w:rPr>
          <w:sz w:val="22"/>
          <w:szCs w:val="22"/>
        </w:rPr>
        <w:t>macrocrystal</w:t>
      </w:r>
      <w:proofErr w:type="spellEnd"/>
      <w:r w:rsidR="00315AD3">
        <w:rPr>
          <w:sz w:val="22"/>
          <w:szCs w:val="22"/>
        </w:rPr>
        <w:t xml:space="preserve"> phases in the studied eruptions. Plagioclase (</w:t>
      </w:r>
      <w:proofErr w:type="spellStart"/>
      <w:r w:rsidR="00315AD3">
        <w:rPr>
          <w:sz w:val="22"/>
          <w:szCs w:val="22"/>
        </w:rPr>
        <w:t>plag</w:t>
      </w:r>
      <w:proofErr w:type="spellEnd"/>
      <w:r w:rsidR="00315AD3">
        <w:rPr>
          <w:sz w:val="22"/>
          <w:szCs w:val="22"/>
        </w:rPr>
        <w:t>, beige), hornblende (</w:t>
      </w:r>
      <w:proofErr w:type="spellStart"/>
      <w:r w:rsidR="00315AD3">
        <w:rPr>
          <w:sz w:val="22"/>
          <w:szCs w:val="22"/>
        </w:rPr>
        <w:t>hbl</w:t>
      </w:r>
      <w:proofErr w:type="spellEnd"/>
      <w:r w:rsidR="00315AD3">
        <w:rPr>
          <w:sz w:val="22"/>
          <w:szCs w:val="22"/>
        </w:rPr>
        <w:t>, light brown), orthopyroxene (</w:t>
      </w:r>
      <w:proofErr w:type="spellStart"/>
      <w:r w:rsidR="00CA0A82">
        <w:rPr>
          <w:sz w:val="22"/>
          <w:szCs w:val="22"/>
        </w:rPr>
        <w:t>opx</w:t>
      </w:r>
      <w:proofErr w:type="spellEnd"/>
      <w:r w:rsidR="00CA0A82">
        <w:rPr>
          <w:sz w:val="22"/>
          <w:szCs w:val="22"/>
        </w:rPr>
        <w:t>, dark grey</w:t>
      </w:r>
      <w:r w:rsidR="00315AD3">
        <w:rPr>
          <w:sz w:val="22"/>
          <w:szCs w:val="22"/>
        </w:rPr>
        <w:t>), clinopyroxene (</w:t>
      </w:r>
      <w:proofErr w:type="spellStart"/>
      <w:r w:rsidR="00CA0A82">
        <w:rPr>
          <w:sz w:val="22"/>
          <w:szCs w:val="22"/>
        </w:rPr>
        <w:t>cpx</w:t>
      </w:r>
      <w:proofErr w:type="spellEnd"/>
      <w:r w:rsidR="00CA0A82">
        <w:rPr>
          <w:sz w:val="22"/>
          <w:szCs w:val="22"/>
        </w:rPr>
        <w:t>, dark red</w:t>
      </w:r>
      <w:r w:rsidR="00315AD3">
        <w:rPr>
          <w:sz w:val="22"/>
          <w:szCs w:val="22"/>
        </w:rPr>
        <w:t xml:space="preserve">), </w:t>
      </w:r>
      <w:r w:rsidR="00CA0A82">
        <w:rPr>
          <w:sz w:val="22"/>
          <w:szCs w:val="22"/>
        </w:rPr>
        <w:t>Fe-</w:t>
      </w:r>
      <w:proofErr w:type="spellStart"/>
      <w:r w:rsidR="00CA0A82">
        <w:rPr>
          <w:sz w:val="22"/>
          <w:szCs w:val="22"/>
        </w:rPr>
        <w:t>Ti</w:t>
      </w:r>
      <w:proofErr w:type="spellEnd"/>
      <w:r w:rsidR="00CA0A82">
        <w:rPr>
          <w:sz w:val="22"/>
          <w:szCs w:val="22"/>
        </w:rPr>
        <w:t xml:space="preserve"> oxides (ox, red), quartz (</w:t>
      </w:r>
      <w:proofErr w:type="spellStart"/>
      <w:r w:rsidR="00CA0A82">
        <w:rPr>
          <w:sz w:val="22"/>
          <w:szCs w:val="22"/>
        </w:rPr>
        <w:t>qtz</w:t>
      </w:r>
      <w:proofErr w:type="spellEnd"/>
      <w:r w:rsidR="00CA0A82">
        <w:rPr>
          <w:sz w:val="22"/>
          <w:szCs w:val="22"/>
        </w:rPr>
        <w:t>, green) and biotite (</w:t>
      </w:r>
      <w:proofErr w:type="spellStart"/>
      <w:r w:rsidR="00CA0A82">
        <w:rPr>
          <w:sz w:val="22"/>
          <w:szCs w:val="22"/>
        </w:rPr>
        <w:t>bt</w:t>
      </w:r>
      <w:proofErr w:type="spellEnd"/>
      <w:r w:rsidR="00CA0A82">
        <w:rPr>
          <w:sz w:val="22"/>
          <w:szCs w:val="22"/>
        </w:rPr>
        <w:t>, light blue).</w:t>
      </w:r>
    </w:p>
    <w:p w14:paraId="7834E07B" w14:textId="4859DDEE" w:rsidR="001E03C9" w:rsidRDefault="001E03C9" w:rsidP="0066722B">
      <w:pPr>
        <w:pStyle w:val="SMcaption"/>
        <w:rPr>
          <w:rFonts w:ascii="Myriad Pro" w:hAnsi="Myriad Pro"/>
          <w:sz w:val="22"/>
          <w:szCs w:val="22"/>
        </w:rPr>
      </w:pPr>
    </w:p>
    <w:p w14:paraId="3AA3C7E8" w14:textId="33C887B6" w:rsidR="001E03C9" w:rsidRDefault="001E03C9" w:rsidP="0066722B">
      <w:pPr>
        <w:pStyle w:val="SMcaption"/>
        <w:rPr>
          <w:rFonts w:ascii="Myriad Pro" w:hAnsi="Myriad Pro"/>
          <w:sz w:val="22"/>
          <w:szCs w:val="22"/>
        </w:rPr>
      </w:pPr>
    </w:p>
    <w:p w14:paraId="2F0B2D6E" w14:textId="04B021FF" w:rsidR="001E03C9" w:rsidRDefault="001E03C9" w:rsidP="0066722B">
      <w:pPr>
        <w:pStyle w:val="SMcaption"/>
        <w:rPr>
          <w:rFonts w:ascii="Myriad Pro" w:hAnsi="Myriad Pro"/>
          <w:sz w:val="22"/>
          <w:szCs w:val="22"/>
        </w:rPr>
      </w:pPr>
    </w:p>
    <w:p w14:paraId="7414F186" w14:textId="10624B78" w:rsidR="001E03C9" w:rsidRDefault="001E03C9" w:rsidP="0066722B">
      <w:pPr>
        <w:pStyle w:val="SMcaption"/>
        <w:rPr>
          <w:rFonts w:ascii="Myriad Pro" w:hAnsi="Myriad Pro"/>
          <w:sz w:val="22"/>
          <w:szCs w:val="22"/>
        </w:rPr>
      </w:pPr>
    </w:p>
    <w:p w14:paraId="17F730BB" w14:textId="054AD211" w:rsidR="001E03C9" w:rsidRDefault="007673C0" w:rsidP="001E03C9">
      <w:pPr>
        <w:pStyle w:val="SMcaption"/>
        <w:spacing w:line="360" w:lineRule="auto"/>
        <w:rPr>
          <w:sz w:val="22"/>
          <w:szCs w:val="22"/>
        </w:rPr>
      </w:pPr>
      <w:r>
        <w:rPr>
          <w:sz w:val="22"/>
          <w:szCs w:val="22"/>
        </w:rPr>
        <w:pict w14:anchorId="2636E32E">
          <v:shape id="_x0000_i1026" type="#_x0000_t75" style="width:366pt;height:458.4pt">
            <v:imagedata r:id="rId10" o:title="11 Amphibole"/>
          </v:shape>
        </w:pict>
      </w:r>
    </w:p>
    <w:p w14:paraId="181EC789" w14:textId="77777777" w:rsidR="00A021F3" w:rsidRDefault="00A021F3" w:rsidP="004B0C53">
      <w:pPr>
        <w:pStyle w:val="SMcaption"/>
        <w:spacing w:line="360" w:lineRule="auto"/>
        <w:rPr>
          <w:sz w:val="22"/>
          <w:szCs w:val="22"/>
        </w:rPr>
      </w:pPr>
    </w:p>
    <w:p w14:paraId="20C9F462" w14:textId="5D16598D" w:rsidR="004B0C53" w:rsidRDefault="004B0C53" w:rsidP="001E03C9">
      <w:pPr>
        <w:pStyle w:val="SMcaption"/>
        <w:spacing w:line="360" w:lineRule="auto"/>
        <w:rPr>
          <w:sz w:val="22"/>
          <w:szCs w:val="22"/>
        </w:rPr>
      </w:pPr>
      <w:r>
        <w:rPr>
          <w:sz w:val="22"/>
          <w:szCs w:val="22"/>
        </w:rPr>
        <w:t xml:space="preserve">Fig. S2: </w:t>
      </w:r>
      <w:r w:rsidR="00AD10F3">
        <w:rPr>
          <w:sz w:val="22"/>
          <w:szCs w:val="22"/>
        </w:rPr>
        <w:t>Bivariate</w:t>
      </w:r>
      <w:r w:rsidR="00513BC5">
        <w:rPr>
          <w:sz w:val="22"/>
          <w:szCs w:val="22"/>
        </w:rPr>
        <w:t xml:space="preserve"> plots of amphibole compositional</w:t>
      </w:r>
      <w:r w:rsidR="00AD10F3">
        <w:rPr>
          <w:sz w:val="22"/>
          <w:szCs w:val="22"/>
        </w:rPr>
        <w:t xml:space="preserve"> data.</w:t>
      </w:r>
      <w:r w:rsidR="00A021F3">
        <w:rPr>
          <w:sz w:val="22"/>
          <w:szCs w:val="22"/>
        </w:rPr>
        <w:t xml:space="preserve"> </w:t>
      </w:r>
      <w:r w:rsidR="00931D5C">
        <w:rPr>
          <w:sz w:val="22"/>
          <w:szCs w:val="22"/>
        </w:rPr>
        <w:t>Different symbols reflect different eruptions and color coding was done for eruptive stages. Si per formula unit (</w:t>
      </w:r>
      <w:proofErr w:type="spellStart"/>
      <w:r w:rsidR="00931D5C">
        <w:rPr>
          <w:sz w:val="22"/>
          <w:szCs w:val="22"/>
        </w:rPr>
        <w:t>p.f.u</w:t>
      </w:r>
      <w:proofErr w:type="spellEnd"/>
      <w:r w:rsidR="00931D5C">
        <w:rPr>
          <w:sz w:val="22"/>
          <w:szCs w:val="22"/>
        </w:rPr>
        <w:t xml:space="preserve">) versus </w:t>
      </w:r>
      <w:proofErr w:type="spellStart"/>
      <w:r w:rsidR="00931D5C">
        <w:rPr>
          <w:sz w:val="22"/>
          <w:szCs w:val="22"/>
        </w:rPr>
        <w:t>Al</w:t>
      </w:r>
      <w:r w:rsidR="00931D5C" w:rsidRPr="00931D5C">
        <w:rPr>
          <w:sz w:val="22"/>
          <w:szCs w:val="22"/>
          <w:vertAlign w:val="superscript"/>
        </w:rPr>
        <w:t>T</w:t>
      </w:r>
      <w:proofErr w:type="spellEnd"/>
      <w:r w:rsidR="00931D5C">
        <w:rPr>
          <w:sz w:val="22"/>
          <w:szCs w:val="22"/>
        </w:rPr>
        <w:t xml:space="preserve"> </w:t>
      </w:r>
      <w:proofErr w:type="spellStart"/>
      <w:r w:rsidR="00931D5C">
        <w:rPr>
          <w:sz w:val="22"/>
          <w:szCs w:val="22"/>
        </w:rPr>
        <w:t>p.f.u</w:t>
      </w:r>
      <w:proofErr w:type="spellEnd"/>
      <w:r w:rsidR="00931D5C">
        <w:rPr>
          <w:sz w:val="22"/>
          <w:szCs w:val="22"/>
        </w:rPr>
        <w:t xml:space="preserve">. (T and C-sites) for a) Recent Nevado and Young PD stages and b) for Domes and Old Nevado stages. c) Na </w:t>
      </w:r>
      <w:proofErr w:type="spellStart"/>
      <w:r w:rsidR="00931D5C">
        <w:rPr>
          <w:sz w:val="22"/>
          <w:szCs w:val="22"/>
        </w:rPr>
        <w:t>p.f.u</w:t>
      </w:r>
      <w:proofErr w:type="spellEnd"/>
      <w:r w:rsidR="00931D5C">
        <w:rPr>
          <w:sz w:val="22"/>
          <w:szCs w:val="22"/>
        </w:rPr>
        <w:t xml:space="preserve"> (A and B-sites) versus </w:t>
      </w:r>
      <w:proofErr w:type="spellStart"/>
      <w:r w:rsidR="00931D5C">
        <w:rPr>
          <w:sz w:val="22"/>
          <w:szCs w:val="22"/>
        </w:rPr>
        <w:t>Fe</w:t>
      </w:r>
      <w:r w:rsidR="00931D5C" w:rsidRPr="00931D5C">
        <w:rPr>
          <w:sz w:val="22"/>
          <w:szCs w:val="22"/>
          <w:vertAlign w:val="superscript"/>
        </w:rPr>
        <w:t>T</w:t>
      </w:r>
      <w:proofErr w:type="spellEnd"/>
      <w:r w:rsidR="00931D5C">
        <w:rPr>
          <w:sz w:val="22"/>
          <w:szCs w:val="22"/>
        </w:rPr>
        <w:t xml:space="preserve"> </w:t>
      </w:r>
      <w:proofErr w:type="spellStart"/>
      <w:r w:rsidR="00931D5C">
        <w:rPr>
          <w:sz w:val="22"/>
          <w:szCs w:val="22"/>
        </w:rPr>
        <w:t>p.f.u</w:t>
      </w:r>
      <w:proofErr w:type="spellEnd"/>
      <w:r w:rsidR="00931D5C">
        <w:rPr>
          <w:sz w:val="22"/>
          <w:szCs w:val="22"/>
        </w:rPr>
        <w:t xml:space="preserve">. (B and C-sites) for Young PD and Recent Nevado stages. d) Na </w:t>
      </w:r>
      <w:proofErr w:type="spellStart"/>
      <w:r w:rsidR="00931D5C">
        <w:rPr>
          <w:sz w:val="22"/>
          <w:szCs w:val="22"/>
        </w:rPr>
        <w:t>p.f.u</w:t>
      </w:r>
      <w:proofErr w:type="spellEnd"/>
      <w:r w:rsidR="00931D5C">
        <w:rPr>
          <w:sz w:val="22"/>
          <w:szCs w:val="22"/>
        </w:rPr>
        <w:t xml:space="preserve"> (A and B-sites) for Old Nevado and Domes. </w:t>
      </w:r>
      <w:proofErr w:type="spellStart"/>
      <w:r w:rsidR="00931D5C">
        <w:rPr>
          <w:sz w:val="22"/>
          <w:szCs w:val="22"/>
        </w:rPr>
        <w:t>Al</w:t>
      </w:r>
      <w:r w:rsidR="00931D5C" w:rsidRPr="00931D5C">
        <w:rPr>
          <w:sz w:val="22"/>
          <w:szCs w:val="22"/>
          <w:vertAlign w:val="superscript"/>
        </w:rPr>
        <w:t>T</w:t>
      </w:r>
      <w:proofErr w:type="spellEnd"/>
      <w:r w:rsidR="00931D5C">
        <w:rPr>
          <w:sz w:val="22"/>
          <w:szCs w:val="22"/>
        </w:rPr>
        <w:t xml:space="preserve"> </w:t>
      </w:r>
      <w:proofErr w:type="spellStart"/>
      <w:r w:rsidR="00931D5C">
        <w:rPr>
          <w:sz w:val="22"/>
          <w:szCs w:val="22"/>
        </w:rPr>
        <w:t>p.f.u</w:t>
      </w:r>
      <w:proofErr w:type="spellEnd"/>
      <w:r w:rsidR="00931D5C">
        <w:rPr>
          <w:sz w:val="22"/>
          <w:szCs w:val="22"/>
        </w:rPr>
        <w:t xml:space="preserve">. (T and C-sites) versus Mg </w:t>
      </w:r>
      <w:proofErr w:type="spellStart"/>
      <w:r w:rsidR="00931D5C">
        <w:rPr>
          <w:sz w:val="22"/>
          <w:szCs w:val="22"/>
        </w:rPr>
        <w:t>p.f.u</w:t>
      </w:r>
      <w:proofErr w:type="spellEnd"/>
      <w:r w:rsidR="00931D5C">
        <w:rPr>
          <w:sz w:val="22"/>
          <w:szCs w:val="22"/>
        </w:rPr>
        <w:t xml:space="preserve">. (C-sites) for e) Recent Nevado and Young PD stages and f) for Domes and Old Nevado stages. Dashed circles were drawn to illustrate compositional bimodality in amphibole compositions that can be observed for various eruptions. </w:t>
      </w:r>
    </w:p>
    <w:p w14:paraId="08541DD1" w14:textId="4201F2DE" w:rsidR="004B0C53" w:rsidRDefault="004B0C53" w:rsidP="001E03C9">
      <w:pPr>
        <w:pStyle w:val="SMcaption"/>
        <w:spacing w:line="360" w:lineRule="auto"/>
        <w:rPr>
          <w:sz w:val="22"/>
          <w:szCs w:val="22"/>
        </w:rPr>
      </w:pPr>
      <w:r>
        <w:rPr>
          <w:rFonts w:ascii="Myriad Pro" w:hAnsi="Myriad Pro"/>
          <w:noProof/>
          <w:sz w:val="22"/>
          <w:szCs w:val="22"/>
          <w:lang w:val="de-DE" w:eastAsia="de-DE"/>
        </w:rPr>
        <w:lastRenderedPageBreak/>
        <w:drawing>
          <wp:inline distT="0" distB="0" distL="0" distR="0" wp14:anchorId="1E089F90" wp14:editId="2A947FE5">
            <wp:extent cx="2677169" cy="6362700"/>
            <wp:effectExtent l="0" t="0" r="0" b="0"/>
            <wp:docPr id="3" name="Picture 3" descr="C:\Users\Greg\AppData\Local\Microsoft\Windows\INetCache\Content.Word\MeltCalc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reg\AppData\Local\Microsoft\Windows\INetCache\Content.Word\MeltCalc_comparis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862" cy="6364347"/>
                    </a:xfrm>
                    <a:prstGeom prst="rect">
                      <a:avLst/>
                    </a:prstGeom>
                    <a:noFill/>
                    <a:ln>
                      <a:noFill/>
                    </a:ln>
                  </pic:spPr>
                </pic:pic>
              </a:graphicData>
            </a:graphic>
          </wp:inline>
        </w:drawing>
      </w:r>
    </w:p>
    <w:p w14:paraId="75202B03" w14:textId="6FEAE781" w:rsidR="004B0C53" w:rsidRDefault="004B0C53" w:rsidP="004B0C53">
      <w:pPr>
        <w:pStyle w:val="SMcaption"/>
        <w:spacing w:line="360" w:lineRule="auto"/>
        <w:rPr>
          <w:sz w:val="22"/>
          <w:szCs w:val="22"/>
        </w:rPr>
      </w:pPr>
      <w:r>
        <w:rPr>
          <w:sz w:val="22"/>
          <w:szCs w:val="22"/>
        </w:rPr>
        <w:t xml:space="preserve">Fig. S3: </w:t>
      </w:r>
      <w:r w:rsidR="00931D5C">
        <w:rPr>
          <w:sz w:val="22"/>
          <w:szCs w:val="22"/>
        </w:rPr>
        <w:t>Comparison of groundmass and melt inclusion compositions (green squares), bulk-rock analyses (black diamonds) and amphibole equilibrium melts calculated using the approach of Zhang et al., (2017). The SiO2 (wt.%) is plotted versus a) TiO</w:t>
      </w:r>
      <w:r w:rsidR="00931D5C" w:rsidRPr="00931D5C">
        <w:rPr>
          <w:sz w:val="22"/>
          <w:szCs w:val="22"/>
          <w:vertAlign w:val="subscript"/>
        </w:rPr>
        <w:t>2</w:t>
      </w:r>
      <w:r w:rsidR="00931D5C">
        <w:rPr>
          <w:sz w:val="22"/>
          <w:szCs w:val="22"/>
        </w:rPr>
        <w:t xml:space="preserve"> (wt.%), b) </w:t>
      </w:r>
      <w:proofErr w:type="spellStart"/>
      <w:r w:rsidR="00931D5C">
        <w:rPr>
          <w:sz w:val="22"/>
          <w:szCs w:val="22"/>
        </w:rPr>
        <w:t>MgO</w:t>
      </w:r>
      <w:proofErr w:type="spellEnd"/>
      <w:r w:rsidR="00931D5C">
        <w:rPr>
          <w:sz w:val="22"/>
          <w:szCs w:val="22"/>
        </w:rPr>
        <w:t xml:space="preserve"> (wt.%) and c) </w:t>
      </w:r>
      <w:proofErr w:type="spellStart"/>
      <w:r w:rsidR="00931D5C">
        <w:rPr>
          <w:sz w:val="22"/>
          <w:szCs w:val="22"/>
        </w:rPr>
        <w:t>FeO</w:t>
      </w:r>
      <w:r w:rsidR="00931D5C" w:rsidRPr="00931D5C">
        <w:rPr>
          <w:sz w:val="22"/>
          <w:szCs w:val="22"/>
          <w:vertAlign w:val="subscript"/>
        </w:rPr>
        <w:t>total</w:t>
      </w:r>
      <w:proofErr w:type="spellEnd"/>
      <w:r w:rsidR="00931D5C">
        <w:rPr>
          <w:sz w:val="22"/>
          <w:szCs w:val="22"/>
        </w:rPr>
        <w:t xml:space="preserve"> (wt.%). For deta</w:t>
      </w:r>
      <w:bookmarkStart w:id="0" w:name="_GoBack"/>
      <w:bookmarkEnd w:id="0"/>
      <w:r w:rsidR="00931D5C">
        <w:rPr>
          <w:sz w:val="22"/>
          <w:szCs w:val="22"/>
        </w:rPr>
        <w:t>ils on the calculation, the reader is referred to the main text.</w:t>
      </w:r>
    </w:p>
    <w:p w14:paraId="5FCF1659" w14:textId="21C032CE" w:rsidR="004B0C53" w:rsidRDefault="004B0C53" w:rsidP="001E03C9">
      <w:pPr>
        <w:pStyle w:val="SMcaption"/>
        <w:spacing w:line="360" w:lineRule="auto"/>
        <w:rPr>
          <w:sz w:val="22"/>
          <w:szCs w:val="22"/>
        </w:rPr>
      </w:pPr>
    </w:p>
    <w:p w14:paraId="6569D4E3" w14:textId="2818F051" w:rsidR="00931D5C" w:rsidRDefault="00931D5C" w:rsidP="001E03C9">
      <w:pPr>
        <w:pStyle w:val="SMcaption"/>
        <w:spacing w:line="360" w:lineRule="auto"/>
        <w:rPr>
          <w:sz w:val="22"/>
          <w:szCs w:val="22"/>
        </w:rPr>
      </w:pPr>
    </w:p>
    <w:p w14:paraId="08F70401" w14:textId="7B83C7E7" w:rsidR="00931D5C" w:rsidRDefault="00931D5C" w:rsidP="001E03C9">
      <w:pPr>
        <w:pStyle w:val="SMcaption"/>
        <w:spacing w:line="360" w:lineRule="auto"/>
        <w:rPr>
          <w:sz w:val="22"/>
          <w:szCs w:val="22"/>
        </w:rPr>
      </w:pPr>
    </w:p>
    <w:sectPr w:rsidR="00931D5C" w:rsidSect="00F125EE">
      <w:headerReference w:type="default" r:id="rId12"/>
      <w:footerReference w:type="default" r:id="rId1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E9DCF" w14:textId="77777777" w:rsidR="0003356F" w:rsidRDefault="0003356F">
      <w:r>
        <w:separator/>
      </w:r>
    </w:p>
  </w:endnote>
  <w:endnote w:type="continuationSeparator" w:id="0">
    <w:p w14:paraId="1BD64A73" w14:textId="77777777" w:rsidR="0003356F" w:rsidRDefault="00033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2CA8BF72" w:rsidR="00F125EE" w:rsidRDefault="00F125EE">
    <w:pPr>
      <w:pStyle w:val="Footer"/>
      <w:jc w:val="right"/>
    </w:pPr>
  </w:p>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1399F" w14:textId="77777777" w:rsidR="0003356F" w:rsidRDefault="0003356F">
      <w:r>
        <w:separator/>
      </w:r>
    </w:p>
  </w:footnote>
  <w:footnote w:type="continuationSeparator" w:id="0">
    <w:p w14:paraId="26ADE520" w14:textId="77777777" w:rsidR="0003356F" w:rsidRDefault="000335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1F455C4"/>
    <w:multiLevelType w:val="hybridMultilevel"/>
    <w:tmpl w:val="009A7F1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202C"/>
    <w:rsid w:val="00015231"/>
    <w:rsid w:val="00015F74"/>
    <w:rsid w:val="0003356F"/>
    <w:rsid w:val="00037B9A"/>
    <w:rsid w:val="00043571"/>
    <w:rsid w:val="00051088"/>
    <w:rsid w:val="000520A0"/>
    <w:rsid w:val="0006226B"/>
    <w:rsid w:val="00063273"/>
    <w:rsid w:val="00065EBD"/>
    <w:rsid w:val="0007061D"/>
    <w:rsid w:val="00083B44"/>
    <w:rsid w:val="000850DC"/>
    <w:rsid w:val="00094365"/>
    <w:rsid w:val="000A441B"/>
    <w:rsid w:val="000B0A92"/>
    <w:rsid w:val="000B2E64"/>
    <w:rsid w:val="000C2771"/>
    <w:rsid w:val="000D68BD"/>
    <w:rsid w:val="000E372E"/>
    <w:rsid w:val="000F0DCE"/>
    <w:rsid w:val="00111843"/>
    <w:rsid w:val="00112C5B"/>
    <w:rsid w:val="00113908"/>
    <w:rsid w:val="00114193"/>
    <w:rsid w:val="001154E6"/>
    <w:rsid w:val="00115A38"/>
    <w:rsid w:val="0011687B"/>
    <w:rsid w:val="00124F82"/>
    <w:rsid w:val="001278E3"/>
    <w:rsid w:val="00130743"/>
    <w:rsid w:val="00130B50"/>
    <w:rsid w:val="0016337A"/>
    <w:rsid w:val="00163B67"/>
    <w:rsid w:val="00164269"/>
    <w:rsid w:val="0017065B"/>
    <w:rsid w:val="00174AB4"/>
    <w:rsid w:val="00182934"/>
    <w:rsid w:val="0018625B"/>
    <w:rsid w:val="00191E3E"/>
    <w:rsid w:val="001966FD"/>
    <w:rsid w:val="00197826"/>
    <w:rsid w:val="001A1BDE"/>
    <w:rsid w:val="001B77F0"/>
    <w:rsid w:val="001C7B4E"/>
    <w:rsid w:val="001D3E37"/>
    <w:rsid w:val="001E03C9"/>
    <w:rsid w:val="001F0876"/>
    <w:rsid w:val="001F167C"/>
    <w:rsid w:val="001F5E91"/>
    <w:rsid w:val="0020183F"/>
    <w:rsid w:val="00206410"/>
    <w:rsid w:val="002077B9"/>
    <w:rsid w:val="00221209"/>
    <w:rsid w:val="00221C70"/>
    <w:rsid w:val="002251AF"/>
    <w:rsid w:val="00227D86"/>
    <w:rsid w:val="0023067C"/>
    <w:rsid w:val="002372E5"/>
    <w:rsid w:val="00243B68"/>
    <w:rsid w:val="00262D72"/>
    <w:rsid w:val="002750C8"/>
    <w:rsid w:val="002800B6"/>
    <w:rsid w:val="00293971"/>
    <w:rsid w:val="002A4C7A"/>
    <w:rsid w:val="002B35D4"/>
    <w:rsid w:val="002C030F"/>
    <w:rsid w:val="002C2B1F"/>
    <w:rsid w:val="002F3966"/>
    <w:rsid w:val="00311E79"/>
    <w:rsid w:val="00315AD3"/>
    <w:rsid w:val="00320E2C"/>
    <w:rsid w:val="00323F33"/>
    <w:rsid w:val="003248A0"/>
    <w:rsid w:val="0032519D"/>
    <w:rsid w:val="00331D75"/>
    <w:rsid w:val="00355362"/>
    <w:rsid w:val="00363E44"/>
    <w:rsid w:val="00387840"/>
    <w:rsid w:val="00395E86"/>
    <w:rsid w:val="003A2FD8"/>
    <w:rsid w:val="003B40E6"/>
    <w:rsid w:val="003C007A"/>
    <w:rsid w:val="003D06E8"/>
    <w:rsid w:val="003E05D5"/>
    <w:rsid w:val="003E1980"/>
    <w:rsid w:val="003F2FAD"/>
    <w:rsid w:val="003F6CB3"/>
    <w:rsid w:val="003F6E14"/>
    <w:rsid w:val="00405336"/>
    <w:rsid w:val="00425B12"/>
    <w:rsid w:val="0043317A"/>
    <w:rsid w:val="004568BC"/>
    <w:rsid w:val="004571D5"/>
    <w:rsid w:val="00462F1B"/>
    <w:rsid w:val="0046356B"/>
    <w:rsid w:val="00471163"/>
    <w:rsid w:val="00471703"/>
    <w:rsid w:val="00477182"/>
    <w:rsid w:val="004779CB"/>
    <w:rsid w:val="00481118"/>
    <w:rsid w:val="004B0C53"/>
    <w:rsid w:val="004B2481"/>
    <w:rsid w:val="004C530B"/>
    <w:rsid w:val="004D2A8C"/>
    <w:rsid w:val="004E21A8"/>
    <w:rsid w:val="004E42D8"/>
    <w:rsid w:val="004E43F6"/>
    <w:rsid w:val="004E7BA2"/>
    <w:rsid w:val="004F16C1"/>
    <w:rsid w:val="004F7EDF"/>
    <w:rsid w:val="005001AC"/>
    <w:rsid w:val="00501A8A"/>
    <w:rsid w:val="005104AF"/>
    <w:rsid w:val="00511C2D"/>
    <w:rsid w:val="00513BC5"/>
    <w:rsid w:val="00517016"/>
    <w:rsid w:val="00517691"/>
    <w:rsid w:val="00527D71"/>
    <w:rsid w:val="00527D84"/>
    <w:rsid w:val="00530723"/>
    <w:rsid w:val="005314B5"/>
    <w:rsid w:val="0054432F"/>
    <w:rsid w:val="00552C23"/>
    <w:rsid w:val="005607DD"/>
    <w:rsid w:val="005654B0"/>
    <w:rsid w:val="00572DFF"/>
    <w:rsid w:val="00576086"/>
    <w:rsid w:val="005910D7"/>
    <w:rsid w:val="005A558C"/>
    <w:rsid w:val="005A7B88"/>
    <w:rsid w:val="005B186E"/>
    <w:rsid w:val="005C6651"/>
    <w:rsid w:val="005D6D71"/>
    <w:rsid w:val="005E2120"/>
    <w:rsid w:val="005E28F8"/>
    <w:rsid w:val="005E6513"/>
    <w:rsid w:val="0060479D"/>
    <w:rsid w:val="0060727B"/>
    <w:rsid w:val="00611F9E"/>
    <w:rsid w:val="006237D4"/>
    <w:rsid w:val="00630B22"/>
    <w:rsid w:val="0064060E"/>
    <w:rsid w:val="00646C4F"/>
    <w:rsid w:val="00651114"/>
    <w:rsid w:val="00656992"/>
    <w:rsid w:val="006570BA"/>
    <w:rsid w:val="006622CF"/>
    <w:rsid w:val="00664A12"/>
    <w:rsid w:val="0066722B"/>
    <w:rsid w:val="00670299"/>
    <w:rsid w:val="0068469F"/>
    <w:rsid w:val="00691985"/>
    <w:rsid w:val="00693596"/>
    <w:rsid w:val="006962C1"/>
    <w:rsid w:val="006A1B64"/>
    <w:rsid w:val="006B03AD"/>
    <w:rsid w:val="006C1189"/>
    <w:rsid w:val="006C4BA6"/>
    <w:rsid w:val="006D08DF"/>
    <w:rsid w:val="006E1A85"/>
    <w:rsid w:val="006F4695"/>
    <w:rsid w:val="006F602A"/>
    <w:rsid w:val="007002DA"/>
    <w:rsid w:val="007108F5"/>
    <w:rsid w:val="00710D3D"/>
    <w:rsid w:val="00713AF2"/>
    <w:rsid w:val="00713E5B"/>
    <w:rsid w:val="007402FC"/>
    <w:rsid w:val="007411A1"/>
    <w:rsid w:val="00753E6C"/>
    <w:rsid w:val="007563F2"/>
    <w:rsid w:val="00764008"/>
    <w:rsid w:val="007673C0"/>
    <w:rsid w:val="007722BD"/>
    <w:rsid w:val="007B5075"/>
    <w:rsid w:val="007E2E68"/>
    <w:rsid w:val="007E6EDC"/>
    <w:rsid w:val="007F08D1"/>
    <w:rsid w:val="007F3B30"/>
    <w:rsid w:val="00807D35"/>
    <w:rsid w:val="008115D9"/>
    <w:rsid w:val="00825950"/>
    <w:rsid w:val="00842B5A"/>
    <w:rsid w:val="0085069C"/>
    <w:rsid w:val="00884C54"/>
    <w:rsid w:val="00885C9B"/>
    <w:rsid w:val="008927D0"/>
    <w:rsid w:val="008D5D2A"/>
    <w:rsid w:val="008E2CF1"/>
    <w:rsid w:val="008F020B"/>
    <w:rsid w:val="008F08DC"/>
    <w:rsid w:val="008F5A8A"/>
    <w:rsid w:val="009055D1"/>
    <w:rsid w:val="009108C2"/>
    <w:rsid w:val="00914B63"/>
    <w:rsid w:val="00922705"/>
    <w:rsid w:val="00924546"/>
    <w:rsid w:val="00931D5C"/>
    <w:rsid w:val="00932FE5"/>
    <w:rsid w:val="009354F3"/>
    <w:rsid w:val="009447DC"/>
    <w:rsid w:val="0095296C"/>
    <w:rsid w:val="00961BA5"/>
    <w:rsid w:val="009678A2"/>
    <w:rsid w:val="009743A9"/>
    <w:rsid w:val="00975720"/>
    <w:rsid w:val="0098559B"/>
    <w:rsid w:val="009859A7"/>
    <w:rsid w:val="00990250"/>
    <w:rsid w:val="009A5287"/>
    <w:rsid w:val="009B2AC5"/>
    <w:rsid w:val="009B7984"/>
    <w:rsid w:val="009C1EF4"/>
    <w:rsid w:val="009F4BED"/>
    <w:rsid w:val="009F7D93"/>
    <w:rsid w:val="00A021F3"/>
    <w:rsid w:val="00A276DF"/>
    <w:rsid w:val="00A3084A"/>
    <w:rsid w:val="00A3403B"/>
    <w:rsid w:val="00A50033"/>
    <w:rsid w:val="00A51A12"/>
    <w:rsid w:val="00A6228E"/>
    <w:rsid w:val="00A627D4"/>
    <w:rsid w:val="00A74DA2"/>
    <w:rsid w:val="00A76C72"/>
    <w:rsid w:val="00A92733"/>
    <w:rsid w:val="00AA3C2A"/>
    <w:rsid w:val="00AA76F3"/>
    <w:rsid w:val="00AC6B0A"/>
    <w:rsid w:val="00AC7DA6"/>
    <w:rsid w:val="00AD10F3"/>
    <w:rsid w:val="00AD499C"/>
    <w:rsid w:val="00AE29A6"/>
    <w:rsid w:val="00AF24D3"/>
    <w:rsid w:val="00AF799B"/>
    <w:rsid w:val="00B068F0"/>
    <w:rsid w:val="00B21DF1"/>
    <w:rsid w:val="00B30334"/>
    <w:rsid w:val="00B3147F"/>
    <w:rsid w:val="00B36869"/>
    <w:rsid w:val="00B43B31"/>
    <w:rsid w:val="00B446CC"/>
    <w:rsid w:val="00B47CFA"/>
    <w:rsid w:val="00B5008C"/>
    <w:rsid w:val="00B56949"/>
    <w:rsid w:val="00B57F00"/>
    <w:rsid w:val="00B626CB"/>
    <w:rsid w:val="00B62F9F"/>
    <w:rsid w:val="00B7560C"/>
    <w:rsid w:val="00B77E40"/>
    <w:rsid w:val="00B82C22"/>
    <w:rsid w:val="00B93DBA"/>
    <w:rsid w:val="00B9440A"/>
    <w:rsid w:val="00B952C1"/>
    <w:rsid w:val="00B968D7"/>
    <w:rsid w:val="00B97A1A"/>
    <w:rsid w:val="00BA3953"/>
    <w:rsid w:val="00BB2D2A"/>
    <w:rsid w:val="00BC7537"/>
    <w:rsid w:val="00BD58CF"/>
    <w:rsid w:val="00BE3FD9"/>
    <w:rsid w:val="00BE5AEB"/>
    <w:rsid w:val="00BF1BEB"/>
    <w:rsid w:val="00BF1BF9"/>
    <w:rsid w:val="00BF38FF"/>
    <w:rsid w:val="00C04CC1"/>
    <w:rsid w:val="00C071FC"/>
    <w:rsid w:val="00C15D95"/>
    <w:rsid w:val="00C22C02"/>
    <w:rsid w:val="00C27F6F"/>
    <w:rsid w:val="00C30E83"/>
    <w:rsid w:val="00C50C6D"/>
    <w:rsid w:val="00C600D9"/>
    <w:rsid w:val="00C604D5"/>
    <w:rsid w:val="00C634D7"/>
    <w:rsid w:val="00C66E1C"/>
    <w:rsid w:val="00C73E09"/>
    <w:rsid w:val="00C8288B"/>
    <w:rsid w:val="00C8783E"/>
    <w:rsid w:val="00C878AF"/>
    <w:rsid w:val="00CA0A82"/>
    <w:rsid w:val="00CC1384"/>
    <w:rsid w:val="00CD3720"/>
    <w:rsid w:val="00CD518E"/>
    <w:rsid w:val="00CE6EAA"/>
    <w:rsid w:val="00CF1848"/>
    <w:rsid w:val="00CF5C2F"/>
    <w:rsid w:val="00CF7328"/>
    <w:rsid w:val="00D04BCF"/>
    <w:rsid w:val="00D10134"/>
    <w:rsid w:val="00D143D9"/>
    <w:rsid w:val="00D4372A"/>
    <w:rsid w:val="00D60BB0"/>
    <w:rsid w:val="00D611D0"/>
    <w:rsid w:val="00D65708"/>
    <w:rsid w:val="00D77260"/>
    <w:rsid w:val="00D8159F"/>
    <w:rsid w:val="00D909E3"/>
    <w:rsid w:val="00DC4CA6"/>
    <w:rsid w:val="00DC7229"/>
    <w:rsid w:val="00DD1D04"/>
    <w:rsid w:val="00DD79D7"/>
    <w:rsid w:val="00E0780F"/>
    <w:rsid w:val="00E20431"/>
    <w:rsid w:val="00E257C8"/>
    <w:rsid w:val="00E3549D"/>
    <w:rsid w:val="00E40896"/>
    <w:rsid w:val="00E43D2D"/>
    <w:rsid w:val="00E449CB"/>
    <w:rsid w:val="00E44A7D"/>
    <w:rsid w:val="00E53F61"/>
    <w:rsid w:val="00E63760"/>
    <w:rsid w:val="00E64049"/>
    <w:rsid w:val="00E9773B"/>
    <w:rsid w:val="00EB2418"/>
    <w:rsid w:val="00EC13A3"/>
    <w:rsid w:val="00EC7C85"/>
    <w:rsid w:val="00ED69CA"/>
    <w:rsid w:val="00EE3431"/>
    <w:rsid w:val="00EE35AB"/>
    <w:rsid w:val="00EE5857"/>
    <w:rsid w:val="00EF25A3"/>
    <w:rsid w:val="00EF461E"/>
    <w:rsid w:val="00F03972"/>
    <w:rsid w:val="00F03CAC"/>
    <w:rsid w:val="00F125EE"/>
    <w:rsid w:val="00F12E98"/>
    <w:rsid w:val="00F22029"/>
    <w:rsid w:val="00F23E46"/>
    <w:rsid w:val="00F3515C"/>
    <w:rsid w:val="00F43982"/>
    <w:rsid w:val="00F4749A"/>
    <w:rsid w:val="00F47BA3"/>
    <w:rsid w:val="00F56E67"/>
    <w:rsid w:val="00F630EA"/>
    <w:rsid w:val="00F6474F"/>
    <w:rsid w:val="00F65535"/>
    <w:rsid w:val="00F7007E"/>
    <w:rsid w:val="00F73193"/>
    <w:rsid w:val="00F73B6A"/>
    <w:rsid w:val="00F74F95"/>
    <w:rsid w:val="00F80705"/>
    <w:rsid w:val="00F93818"/>
    <w:rsid w:val="00FA1481"/>
    <w:rsid w:val="00FB1C42"/>
    <w:rsid w:val="00FB32EC"/>
    <w:rsid w:val="00FD7B3D"/>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13D47872-2CFA-441A-9055-F22D9943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uiPriority="10" w:qFormat="1"/>
    <w:lsdException w:name="Subtitle" w:qFormat="1"/>
    <w:lsdException w:name="Hyperlink" w:uiPriority="99"/>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customStyle="1" w:styleId="UnresolvedMention">
    <w:name w:val="Unresolved Mention"/>
    <w:basedOn w:val="DefaultParagraphFont"/>
    <w:rsid w:val="00E53F61"/>
    <w:rPr>
      <w:color w:val="605E5C"/>
      <w:shd w:val="clear" w:color="auto" w:fill="E1DFDD"/>
    </w:rPr>
  </w:style>
  <w:style w:type="paragraph" w:customStyle="1" w:styleId="Authors">
    <w:name w:val="Authors"/>
    <w:basedOn w:val="Normal"/>
    <w:rsid w:val="007722BD"/>
    <w:pPr>
      <w:spacing w:before="120" w:after="360"/>
    </w:pPr>
    <w:rPr>
      <w:b/>
      <w:szCs w:val="24"/>
    </w:rPr>
  </w:style>
  <w:style w:type="paragraph" w:customStyle="1" w:styleId="Affiliation">
    <w:name w:val="Affiliation"/>
    <w:basedOn w:val="Normal"/>
    <w:qFormat/>
    <w:rsid w:val="007722BD"/>
    <w:pPr>
      <w:spacing w:before="120"/>
    </w:pPr>
    <w:rPr>
      <w:szCs w:val="24"/>
    </w:rPr>
  </w:style>
  <w:style w:type="character" w:customStyle="1" w:styleId="affiliationdepartment">
    <w:name w:val="affiliation__department"/>
    <w:basedOn w:val="DefaultParagraphFont"/>
    <w:rsid w:val="007722BD"/>
  </w:style>
  <w:style w:type="character" w:customStyle="1" w:styleId="affiliationname">
    <w:name w:val="affiliation__name"/>
    <w:basedOn w:val="DefaultParagraphFont"/>
    <w:rsid w:val="007722BD"/>
  </w:style>
  <w:style w:type="character" w:customStyle="1" w:styleId="affiliationcity">
    <w:name w:val="affiliation__city"/>
    <w:basedOn w:val="DefaultParagraphFont"/>
    <w:rsid w:val="007722BD"/>
  </w:style>
  <w:style w:type="character" w:customStyle="1" w:styleId="affiliationcountry">
    <w:name w:val="affiliation__country"/>
    <w:basedOn w:val="DefaultParagraphFont"/>
    <w:rsid w:val="007722BD"/>
  </w:style>
  <w:style w:type="paragraph" w:customStyle="1" w:styleId="Heading-Secondary">
    <w:name w:val="Heading-Secondary"/>
    <w:basedOn w:val="Normal"/>
    <w:qFormat/>
    <w:rsid w:val="002372E5"/>
    <w:pPr>
      <w:keepNext/>
      <w:spacing w:before="240" w:after="120"/>
      <w:ind w:left="720"/>
      <w:outlineLvl w:val="0"/>
    </w:pPr>
    <w:rPr>
      <w:bCs/>
      <w:kern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96029119">
      <w:bodyDiv w:val="1"/>
      <w:marLeft w:val="0"/>
      <w:marRight w:val="0"/>
      <w:marTop w:val="0"/>
      <w:marBottom w:val="0"/>
      <w:divBdr>
        <w:top w:val="none" w:sz="0" w:space="0" w:color="auto"/>
        <w:left w:val="none" w:sz="0" w:space="0" w:color="auto"/>
        <w:bottom w:val="none" w:sz="0" w:space="0" w:color="auto"/>
        <w:right w:val="none" w:sz="0" w:space="0" w:color="auto"/>
      </w:divBdr>
      <w:divsChild>
        <w:div w:id="831216987">
          <w:marLeft w:val="0"/>
          <w:marRight w:val="0"/>
          <w:marTop w:val="0"/>
          <w:marBottom w:val="0"/>
          <w:divBdr>
            <w:top w:val="none" w:sz="0" w:space="0" w:color="auto"/>
            <w:left w:val="none" w:sz="0" w:space="0" w:color="auto"/>
            <w:bottom w:val="none" w:sz="0" w:space="0" w:color="auto"/>
            <w:right w:val="none" w:sz="0" w:space="0" w:color="auto"/>
          </w:divBdr>
        </w:div>
      </w:divsChild>
    </w:div>
    <w:div w:id="489096512">
      <w:bodyDiv w:val="1"/>
      <w:marLeft w:val="0"/>
      <w:marRight w:val="0"/>
      <w:marTop w:val="0"/>
      <w:marBottom w:val="0"/>
      <w:divBdr>
        <w:top w:val="none" w:sz="0" w:space="0" w:color="auto"/>
        <w:left w:val="none" w:sz="0" w:space="0" w:color="auto"/>
        <w:bottom w:val="none" w:sz="0" w:space="0" w:color="auto"/>
        <w:right w:val="none" w:sz="0" w:space="0" w:color="auto"/>
      </w:divBdr>
      <w:divsChild>
        <w:div w:id="1990863799">
          <w:marLeft w:val="0"/>
          <w:marRight w:val="0"/>
          <w:marTop w:val="0"/>
          <w:marBottom w:val="0"/>
          <w:divBdr>
            <w:top w:val="none" w:sz="0" w:space="0" w:color="auto"/>
            <w:left w:val="none" w:sz="0" w:space="0" w:color="auto"/>
            <w:bottom w:val="none" w:sz="0" w:space="0" w:color="auto"/>
            <w:right w:val="none" w:sz="0" w:space="0" w:color="auto"/>
          </w:divBdr>
        </w:div>
      </w:divsChild>
    </w:div>
    <w:div w:id="495272105">
      <w:bodyDiv w:val="1"/>
      <w:marLeft w:val="0"/>
      <w:marRight w:val="0"/>
      <w:marTop w:val="0"/>
      <w:marBottom w:val="0"/>
      <w:divBdr>
        <w:top w:val="none" w:sz="0" w:space="0" w:color="auto"/>
        <w:left w:val="none" w:sz="0" w:space="0" w:color="auto"/>
        <w:bottom w:val="none" w:sz="0" w:space="0" w:color="auto"/>
        <w:right w:val="none" w:sz="0" w:space="0" w:color="auto"/>
      </w:divBdr>
      <w:divsChild>
        <w:div w:id="2040888610">
          <w:marLeft w:val="0"/>
          <w:marRight w:val="0"/>
          <w:marTop w:val="0"/>
          <w:marBottom w:val="0"/>
          <w:divBdr>
            <w:top w:val="none" w:sz="0" w:space="0" w:color="auto"/>
            <w:left w:val="none" w:sz="0" w:space="0" w:color="auto"/>
            <w:bottom w:val="none" w:sz="0" w:space="0" w:color="auto"/>
            <w:right w:val="none" w:sz="0" w:space="0" w:color="auto"/>
          </w:divBdr>
        </w:div>
      </w:divsChild>
    </w:div>
    <w:div w:id="528759954">
      <w:bodyDiv w:val="1"/>
      <w:marLeft w:val="0"/>
      <w:marRight w:val="0"/>
      <w:marTop w:val="0"/>
      <w:marBottom w:val="0"/>
      <w:divBdr>
        <w:top w:val="none" w:sz="0" w:space="0" w:color="auto"/>
        <w:left w:val="none" w:sz="0" w:space="0" w:color="auto"/>
        <w:bottom w:val="none" w:sz="0" w:space="0" w:color="auto"/>
        <w:right w:val="none" w:sz="0" w:space="0" w:color="auto"/>
      </w:divBdr>
      <w:divsChild>
        <w:div w:id="544949841">
          <w:marLeft w:val="0"/>
          <w:marRight w:val="0"/>
          <w:marTop w:val="0"/>
          <w:marBottom w:val="0"/>
          <w:divBdr>
            <w:top w:val="none" w:sz="0" w:space="0" w:color="auto"/>
            <w:left w:val="none" w:sz="0" w:space="0" w:color="auto"/>
            <w:bottom w:val="none" w:sz="0" w:space="0" w:color="auto"/>
            <w:right w:val="none" w:sz="0" w:space="0" w:color="auto"/>
          </w:divBdr>
        </w:div>
      </w:divsChild>
    </w:div>
    <w:div w:id="703747619">
      <w:bodyDiv w:val="1"/>
      <w:marLeft w:val="0"/>
      <w:marRight w:val="0"/>
      <w:marTop w:val="0"/>
      <w:marBottom w:val="0"/>
      <w:divBdr>
        <w:top w:val="none" w:sz="0" w:space="0" w:color="auto"/>
        <w:left w:val="none" w:sz="0" w:space="0" w:color="auto"/>
        <w:bottom w:val="none" w:sz="0" w:space="0" w:color="auto"/>
        <w:right w:val="none" w:sz="0" w:space="0" w:color="auto"/>
      </w:divBdr>
      <w:divsChild>
        <w:div w:id="20127767">
          <w:marLeft w:val="0"/>
          <w:marRight w:val="0"/>
          <w:marTop w:val="0"/>
          <w:marBottom w:val="0"/>
          <w:divBdr>
            <w:top w:val="none" w:sz="0" w:space="0" w:color="auto"/>
            <w:left w:val="none" w:sz="0" w:space="0" w:color="auto"/>
            <w:bottom w:val="none" w:sz="0" w:space="0" w:color="auto"/>
            <w:right w:val="none" w:sz="0" w:space="0" w:color="auto"/>
          </w:divBdr>
        </w:div>
      </w:divsChild>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776436540">
      <w:bodyDiv w:val="1"/>
      <w:marLeft w:val="0"/>
      <w:marRight w:val="0"/>
      <w:marTop w:val="0"/>
      <w:marBottom w:val="0"/>
      <w:divBdr>
        <w:top w:val="none" w:sz="0" w:space="0" w:color="auto"/>
        <w:left w:val="none" w:sz="0" w:space="0" w:color="auto"/>
        <w:bottom w:val="none" w:sz="0" w:space="0" w:color="auto"/>
        <w:right w:val="none" w:sz="0" w:space="0" w:color="auto"/>
      </w:divBdr>
      <w:divsChild>
        <w:div w:id="2065641274">
          <w:marLeft w:val="0"/>
          <w:marRight w:val="0"/>
          <w:marTop w:val="0"/>
          <w:marBottom w:val="0"/>
          <w:divBdr>
            <w:top w:val="none" w:sz="0" w:space="0" w:color="auto"/>
            <w:left w:val="none" w:sz="0" w:space="0" w:color="auto"/>
            <w:bottom w:val="none" w:sz="0" w:space="0" w:color="auto"/>
            <w:right w:val="none" w:sz="0" w:space="0" w:color="auto"/>
          </w:divBdr>
        </w:div>
      </w:divsChild>
    </w:div>
    <w:div w:id="2103139690">
      <w:bodyDiv w:val="1"/>
      <w:marLeft w:val="0"/>
      <w:marRight w:val="0"/>
      <w:marTop w:val="0"/>
      <w:marBottom w:val="0"/>
      <w:divBdr>
        <w:top w:val="none" w:sz="0" w:space="0" w:color="auto"/>
        <w:left w:val="none" w:sz="0" w:space="0" w:color="auto"/>
        <w:bottom w:val="none" w:sz="0" w:space="0" w:color="auto"/>
        <w:right w:val="none" w:sz="0" w:space="0" w:color="auto"/>
      </w:divBdr>
      <w:divsChild>
        <w:div w:id="2142184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egor.weber@unige.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B725D-C711-4402-9E0F-106248511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307</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dc:description/>
  <cp:lastModifiedBy>Greg</cp:lastModifiedBy>
  <cp:revision>72</cp:revision>
  <cp:lastPrinted>2014-09-30T16:49:00Z</cp:lastPrinted>
  <dcterms:created xsi:type="dcterms:W3CDTF">2019-02-28T12:51:00Z</dcterms:created>
  <dcterms:modified xsi:type="dcterms:W3CDTF">2020-07-21T13:07:00Z</dcterms:modified>
</cp:coreProperties>
</file>