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3648CD76" w:rsidR="00654E8F" w:rsidRDefault="00654E8F" w:rsidP="0001436A">
      <w:pPr>
        <w:pStyle w:val="SupplementaryMaterial"/>
      </w:pPr>
      <w:r w:rsidRPr="001549D3">
        <w:t>Supplementary Material</w:t>
      </w:r>
    </w:p>
    <w:p w14:paraId="78D8592E" w14:textId="36851AB0" w:rsidR="008E5B34" w:rsidRPr="00BB66A3" w:rsidRDefault="004528D6" w:rsidP="008E5B34">
      <w:pPr>
        <w:pStyle w:val="Sinespaciado"/>
        <w:spacing w:line="360" w:lineRule="auto"/>
        <w:jc w:val="center"/>
        <w:rPr>
          <w:rFonts w:cs="Times New Roman"/>
          <w:b/>
          <w:sz w:val="32"/>
          <w:szCs w:val="24"/>
        </w:rPr>
      </w:pPr>
      <w:r w:rsidRPr="004528D6">
        <w:rPr>
          <w:rFonts w:cs="Times New Roman"/>
          <w:b/>
          <w:sz w:val="32"/>
          <w:szCs w:val="24"/>
          <w:lang w:val="en"/>
        </w:rPr>
        <w:t xml:space="preserve">Mutations selected after exposure to bacteriocin Lcn972 activate a Bce-like bacitracin resistance module in </w:t>
      </w:r>
      <w:bookmarkStart w:id="0" w:name="_GoBack"/>
      <w:r w:rsidRPr="004528D6">
        <w:rPr>
          <w:rFonts w:cs="Times New Roman"/>
          <w:b/>
          <w:i/>
          <w:sz w:val="32"/>
          <w:szCs w:val="24"/>
          <w:lang w:val="en"/>
        </w:rPr>
        <w:t>Lactococcus lactis</w:t>
      </w:r>
      <w:bookmarkEnd w:id="0"/>
    </w:p>
    <w:p w14:paraId="1EE240CF" w14:textId="77777777" w:rsidR="008E5B34" w:rsidRPr="00BB66A3" w:rsidRDefault="008E5B34" w:rsidP="008E5B34">
      <w:pPr>
        <w:rPr>
          <w:rFonts w:cs="Times New Roman"/>
          <w:b/>
          <w:szCs w:val="24"/>
          <w:vertAlign w:val="superscript"/>
          <w:lang w:val="es-ES"/>
        </w:rPr>
      </w:pPr>
      <w:r w:rsidRPr="00BB66A3">
        <w:rPr>
          <w:rFonts w:cs="Times New Roman"/>
          <w:b/>
          <w:szCs w:val="24"/>
          <w:lang w:val="es-ES"/>
        </w:rPr>
        <w:t>Ana Belén Campelo</w:t>
      </w:r>
      <w:r>
        <w:rPr>
          <w:rFonts w:cs="Times New Roman"/>
          <w:b/>
          <w:szCs w:val="24"/>
          <w:vertAlign w:val="superscript"/>
          <w:lang w:val="es-ES"/>
        </w:rPr>
        <w:t>1</w:t>
      </w:r>
      <w:r w:rsidRPr="00BB66A3">
        <w:rPr>
          <w:rFonts w:cs="Times New Roman"/>
          <w:b/>
          <w:szCs w:val="24"/>
          <w:lang w:val="es-ES"/>
        </w:rPr>
        <w:t>, Mª Jesús López-González</w:t>
      </w:r>
      <w:r>
        <w:rPr>
          <w:rFonts w:cs="Times New Roman"/>
          <w:b/>
          <w:szCs w:val="24"/>
          <w:vertAlign w:val="superscript"/>
          <w:lang w:val="es-ES"/>
        </w:rPr>
        <w:t>1,2</w:t>
      </w:r>
      <w:r w:rsidRPr="00BB66A3">
        <w:rPr>
          <w:rFonts w:cs="Times New Roman"/>
          <w:b/>
          <w:szCs w:val="24"/>
          <w:lang w:val="es-ES"/>
        </w:rPr>
        <w:t>, Susana Escobedo</w:t>
      </w:r>
      <w:r>
        <w:rPr>
          <w:rFonts w:cs="Times New Roman"/>
          <w:b/>
          <w:szCs w:val="24"/>
          <w:vertAlign w:val="superscript"/>
          <w:lang w:val="es-ES"/>
        </w:rPr>
        <w:t>1,2</w:t>
      </w:r>
      <w:r w:rsidRPr="00BB66A3">
        <w:rPr>
          <w:rFonts w:cs="Times New Roman"/>
          <w:b/>
          <w:szCs w:val="24"/>
          <w:lang w:val="es-ES"/>
        </w:rPr>
        <w:t>, Thomas Janzen</w:t>
      </w:r>
      <w:r>
        <w:rPr>
          <w:rFonts w:cs="Times New Roman"/>
          <w:b/>
          <w:szCs w:val="24"/>
          <w:vertAlign w:val="superscript"/>
          <w:lang w:val="es-ES"/>
        </w:rPr>
        <w:t>3</w:t>
      </w:r>
      <w:r w:rsidRPr="00BB66A3">
        <w:rPr>
          <w:rFonts w:cs="Times New Roman"/>
          <w:b/>
          <w:szCs w:val="24"/>
          <w:lang w:val="es-ES"/>
        </w:rPr>
        <w:t>, Ana Rute Neves</w:t>
      </w:r>
      <w:r>
        <w:rPr>
          <w:rFonts w:cs="Times New Roman"/>
          <w:b/>
          <w:szCs w:val="24"/>
          <w:vertAlign w:val="superscript"/>
          <w:lang w:val="es-ES"/>
        </w:rPr>
        <w:t>3</w:t>
      </w:r>
      <w:r w:rsidRPr="00BB66A3">
        <w:rPr>
          <w:rFonts w:cs="Times New Roman"/>
          <w:b/>
          <w:szCs w:val="24"/>
          <w:lang w:val="es-ES"/>
        </w:rPr>
        <w:t>, Ana Rodríguez</w:t>
      </w:r>
      <w:r>
        <w:rPr>
          <w:rFonts w:cs="Times New Roman"/>
          <w:b/>
          <w:szCs w:val="24"/>
          <w:vertAlign w:val="superscript"/>
          <w:lang w:val="es-ES"/>
        </w:rPr>
        <w:t>1,2</w:t>
      </w:r>
      <w:r w:rsidRPr="00BB66A3">
        <w:rPr>
          <w:rFonts w:cs="Times New Roman"/>
          <w:b/>
          <w:szCs w:val="24"/>
          <w:lang w:val="es-ES"/>
        </w:rPr>
        <w:t>, Beatriz Martínez</w:t>
      </w:r>
      <w:r>
        <w:rPr>
          <w:rFonts w:cs="Times New Roman"/>
          <w:b/>
          <w:szCs w:val="24"/>
          <w:vertAlign w:val="superscript"/>
          <w:lang w:val="es-ES"/>
        </w:rPr>
        <w:t>1,2,*</w:t>
      </w:r>
    </w:p>
    <w:p w14:paraId="68DD1765" w14:textId="77777777" w:rsidR="008E5B34" w:rsidRDefault="008E5B34" w:rsidP="008E5B34">
      <w:pPr>
        <w:pStyle w:val="Sinespaciado"/>
        <w:spacing w:line="360" w:lineRule="auto"/>
        <w:rPr>
          <w:rFonts w:cs="Times New Roman"/>
          <w:szCs w:val="24"/>
          <w:lang w:val="es-ES"/>
        </w:rPr>
      </w:pPr>
      <w:r>
        <w:rPr>
          <w:rFonts w:cs="Times New Roman"/>
          <w:szCs w:val="24"/>
          <w:vertAlign w:val="superscript"/>
          <w:lang w:val="es-ES"/>
        </w:rPr>
        <w:t>1</w:t>
      </w:r>
      <w:r w:rsidRPr="00BB66A3">
        <w:rPr>
          <w:rFonts w:cs="Times New Roman"/>
          <w:szCs w:val="24"/>
          <w:vertAlign w:val="superscript"/>
          <w:lang w:val="es-ES"/>
        </w:rPr>
        <w:t xml:space="preserve"> </w:t>
      </w:r>
      <w:r w:rsidRPr="00BB66A3">
        <w:rPr>
          <w:rFonts w:cs="Times New Roman"/>
          <w:szCs w:val="24"/>
          <w:lang w:val="es-ES"/>
        </w:rPr>
        <w:t>DairySafe group. Instituto de Produ</w:t>
      </w:r>
      <w:r>
        <w:rPr>
          <w:rFonts w:cs="Times New Roman"/>
          <w:szCs w:val="24"/>
          <w:lang w:val="es-ES"/>
        </w:rPr>
        <w:t xml:space="preserve">ctos Lácteos de Asturias (IPLA), Technology and Biotecnology of Dairy Products Department, </w:t>
      </w:r>
      <w:r w:rsidRPr="00BB66A3">
        <w:rPr>
          <w:rFonts w:cs="Times New Roman"/>
          <w:szCs w:val="24"/>
          <w:lang w:val="es-ES"/>
        </w:rPr>
        <w:t>Consejo Superior de Investigaciones Científicas (CSIC). Villaviciosa, Asturias, Spain.</w:t>
      </w:r>
    </w:p>
    <w:p w14:paraId="04D76180" w14:textId="77777777" w:rsidR="008E5B34" w:rsidRPr="00B1257A" w:rsidRDefault="008E5B34" w:rsidP="008E5B34">
      <w:pPr>
        <w:pStyle w:val="Sinespaciado"/>
        <w:spacing w:line="360" w:lineRule="auto"/>
        <w:rPr>
          <w:rFonts w:cs="Times New Roman"/>
          <w:szCs w:val="24"/>
          <w:lang w:val="es-ES"/>
        </w:rPr>
      </w:pPr>
      <w:r>
        <w:rPr>
          <w:rFonts w:cs="Times New Roman"/>
          <w:szCs w:val="24"/>
          <w:vertAlign w:val="superscript"/>
          <w:lang w:val="es-ES"/>
        </w:rPr>
        <w:t>2</w:t>
      </w:r>
      <w:r w:rsidRPr="00B1257A">
        <w:rPr>
          <w:lang w:val="es-ES"/>
        </w:rPr>
        <w:t xml:space="preserve"> </w:t>
      </w:r>
      <w:r w:rsidRPr="00B1257A">
        <w:rPr>
          <w:rFonts w:cs="Times New Roman"/>
          <w:szCs w:val="24"/>
          <w:lang w:val="es-ES"/>
        </w:rPr>
        <w:t>Instituto de Investigación Sanitaria del Principado de Asturias (ISPA), Oviedo, Asturias, Spain</w:t>
      </w:r>
      <w:r>
        <w:rPr>
          <w:rFonts w:cs="Times New Roman"/>
          <w:szCs w:val="24"/>
          <w:lang w:val="es-ES"/>
        </w:rPr>
        <w:t>.</w:t>
      </w:r>
    </w:p>
    <w:p w14:paraId="55C41CE0" w14:textId="77777777" w:rsidR="008E5B34" w:rsidRPr="00BB66A3" w:rsidRDefault="008E5B34" w:rsidP="008E5B34">
      <w:pPr>
        <w:pStyle w:val="Sinespaciado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3</w:t>
      </w:r>
      <w:r w:rsidRPr="00B1257A">
        <w:rPr>
          <w:rFonts w:cs="Times New Roman"/>
          <w:szCs w:val="24"/>
        </w:rPr>
        <w:t xml:space="preserve"> Chr Hansen A/S.</w:t>
      </w:r>
      <w:r w:rsidRPr="00BB66A3">
        <w:rPr>
          <w:rFonts w:cs="Times New Roman"/>
          <w:szCs w:val="24"/>
        </w:rPr>
        <w:t xml:space="preserve"> Hørsholm, Denmark.</w:t>
      </w:r>
    </w:p>
    <w:p w14:paraId="5F94B21D" w14:textId="77777777" w:rsidR="008E5B34" w:rsidRPr="00BB66A3" w:rsidRDefault="008E5B34" w:rsidP="008E5B34">
      <w:pPr>
        <w:pStyle w:val="Sinespaciado"/>
        <w:spacing w:line="360" w:lineRule="auto"/>
        <w:rPr>
          <w:rFonts w:cs="Times New Roman"/>
          <w:szCs w:val="24"/>
        </w:rPr>
      </w:pPr>
    </w:p>
    <w:p w14:paraId="6681DC39" w14:textId="77777777" w:rsidR="008E5B34" w:rsidRPr="00B1257A" w:rsidRDefault="008E5B34" w:rsidP="008E5B34">
      <w:pPr>
        <w:pStyle w:val="Sinespaciado"/>
        <w:spacing w:line="360" w:lineRule="auto"/>
        <w:rPr>
          <w:rFonts w:cs="Times New Roman"/>
          <w:b/>
          <w:szCs w:val="24"/>
        </w:rPr>
      </w:pPr>
      <w:r w:rsidRPr="00B1257A">
        <w:rPr>
          <w:rFonts w:cs="Times New Roman"/>
          <w:b/>
          <w:szCs w:val="24"/>
        </w:rPr>
        <w:t>* Correspondence:</w:t>
      </w:r>
    </w:p>
    <w:p w14:paraId="1EEA60CF" w14:textId="77777777" w:rsidR="008E5B34" w:rsidRPr="00BB66A3" w:rsidRDefault="008E5B34" w:rsidP="008E5B34">
      <w:pPr>
        <w:pStyle w:val="Sinespaciado"/>
        <w:spacing w:line="360" w:lineRule="auto"/>
        <w:rPr>
          <w:rFonts w:cs="Times New Roman"/>
          <w:szCs w:val="24"/>
          <w:lang w:val="es-ES"/>
        </w:rPr>
      </w:pPr>
      <w:r w:rsidRPr="00BB66A3">
        <w:rPr>
          <w:rFonts w:cs="Times New Roman"/>
          <w:szCs w:val="24"/>
          <w:lang w:val="es-ES"/>
        </w:rPr>
        <w:t>Beatriz Martínez</w:t>
      </w:r>
    </w:p>
    <w:p w14:paraId="2090A078" w14:textId="77777777" w:rsidR="008E5B34" w:rsidRPr="00BB66A3" w:rsidRDefault="008E5B34" w:rsidP="008E5B34">
      <w:pPr>
        <w:pStyle w:val="Sinespaciado"/>
        <w:spacing w:line="360" w:lineRule="auto"/>
        <w:rPr>
          <w:rFonts w:cs="Times New Roman"/>
          <w:szCs w:val="24"/>
          <w:lang w:val="es-ES"/>
        </w:rPr>
      </w:pPr>
      <w:r w:rsidRPr="00BB66A3">
        <w:rPr>
          <w:rFonts w:cs="Times New Roman"/>
          <w:szCs w:val="24"/>
          <w:lang w:val="es-ES"/>
        </w:rPr>
        <w:t>bmf1@ipla.csic.es</w:t>
      </w:r>
    </w:p>
    <w:p w14:paraId="389C252C" w14:textId="73AED2A3" w:rsidR="008E5B34" w:rsidRDefault="008E5B34" w:rsidP="008E5B34">
      <w:pPr>
        <w:pStyle w:val="Ttulo"/>
      </w:pPr>
    </w:p>
    <w:p w14:paraId="14D3B88B" w14:textId="77777777" w:rsidR="008E5B34" w:rsidRPr="008E5B34" w:rsidRDefault="008E5B34" w:rsidP="008E5B34">
      <w:pPr>
        <w:sectPr w:rsidR="008E5B34" w:rsidRPr="008E5B34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45C8A046" w14:textId="0E0FADB0" w:rsidR="008E5B34" w:rsidRDefault="008E5B34" w:rsidP="008E5B34">
      <w:r>
        <w:rPr>
          <w:noProof/>
          <w:lang w:val="es-ES" w:eastAsia="es-ES"/>
        </w:rPr>
        <w:lastRenderedPageBreak/>
        <w:drawing>
          <wp:inline distT="0" distB="0" distL="0" distR="0" wp14:anchorId="66639380" wp14:editId="4120454F">
            <wp:extent cx="8290800" cy="3402000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800" cy="340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6DF14" w14:textId="18071781" w:rsidR="008E5B34" w:rsidRDefault="008E5B34" w:rsidP="008E5B34"/>
    <w:p w14:paraId="55CF725F" w14:textId="32C235C9" w:rsidR="008E5B34" w:rsidRPr="008E5B34" w:rsidRDefault="008E5B34" w:rsidP="008E5B34">
      <w:pPr>
        <w:spacing w:before="0" w:after="0"/>
        <w:rPr>
          <w:rFonts w:eastAsia="Times New Roman" w:cs="Times New Roman"/>
          <w:szCs w:val="24"/>
        </w:rPr>
      </w:pPr>
      <w:r w:rsidRPr="008E5B34">
        <w:rPr>
          <w:rFonts w:eastAsiaTheme="minorEastAsia" w:cs="Times New Roman"/>
          <w:b/>
          <w:bCs/>
          <w:color w:val="000000" w:themeColor="text1"/>
          <w:kern w:val="24"/>
          <w:szCs w:val="24"/>
        </w:rPr>
        <w:t>Supplementary Figure 1. Activity of the P</w:t>
      </w:r>
      <w:r w:rsidRPr="008E5B34">
        <w:rPr>
          <w:rFonts w:eastAsiaTheme="minorEastAsia" w:cs="Times New Roman"/>
          <w:b/>
          <w:bCs/>
          <w:i/>
          <w:iCs/>
          <w:color w:val="000000" w:themeColor="text1"/>
          <w:kern w:val="24"/>
          <w:position w:val="-8"/>
          <w:szCs w:val="24"/>
          <w:vertAlign w:val="subscript"/>
        </w:rPr>
        <w:t>ysaD</w:t>
      </w:r>
      <w:r w:rsidRPr="008E5B34">
        <w:rPr>
          <w:rFonts w:eastAsiaTheme="minorEastAsia" w:cs="Times New Roman"/>
          <w:b/>
          <w:bCs/>
          <w:color w:val="000000" w:themeColor="text1"/>
          <w:kern w:val="24"/>
          <w:szCs w:val="24"/>
        </w:rPr>
        <w:t xml:space="preserve"> promoter in </w:t>
      </w:r>
      <w:r w:rsidRPr="008E5B34">
        <w:rPr>
          <w:rFonts w:eastAsiaTheme="minorEastAsia" w:cs="Times New Roman"/>
          <w:b/>
          <w:bCs/>
          <w:i/>
          <w:iCs/>
          <w:color w:val="000000" w:themeColor="text1"/>
          <w:kern w:val="24"/>
          <w:szCs w:val="24"/>
        </w:rPr>
        <w:t xml:space="preserve">L. lactis </w:t>
      </w:r>
      <w:r w:rsidRPr="008E5B34">
        <w:rPr>
          <w:rFonts w:eastAsiaTheme="minorEastAsia" w:cs="Times New Roman"/>
          <w:b/>
          <w:bCs/>
          <w:color w:val="000000" w:themeColor="text1"/>
          <w:kern w:val="24"/>
          <w:szCs w:val="24"/>
        </w:rPr>
        <w:t>determined by the reporter plasmid pPRC_P</w:t>
      </w:r>
      <w:r w:rsidRPr="008E5B34">
        <w:rPr>
          <w:rFonts w:eastAsiaTheme="minorEastAsia" w:cs="Times New Roman"/>
          <w:b/>
          <w:bCs/>
          <w:i/>
          <w:iCs/>
          <w:color w:val="000000" w:themeColor="text1"/>
          <w:kern w:val="24"/>
          <w:position w:val="-8"/>
          <w:szCs w:val="24"/>
          <w:vertAlign w:val="subscript"/>
        </w:rPr>
        <w:t>ysaD</w:t>
      </w:r>
      <w:r w:rsidRPr="008E5B34">
        <w:rPr>
          <w:rFonts w:eastAsiaTheme="minorEastAsia" w:cs="Times New Roman"/>
          <w:b/>
          <w:bCs/>
          <w:color w:val="000000" w:themeColor="text1"/>
          <w:kern w:val="24"/>
          <w:szCs w:val="24"/>
        </w:rPr>
        <w:t>::</w:t>
      </w:r>
      <w:r w:rsidRPr="008E5B34">
        <w:rPr>
          <w:rFonts w:eastAsiaTheme="minorEastAsia" w:cs="Times New Roman"/>
          <w:b/>
          <w:bCs/>
          <w:i/>
          <w:iCs/>
          <w:color w:val="000000" w:themeColor="text1"/>
          <w:kern w:val="24"/>
          <w:szCs w:val="24"/>
        </w:rPr>
        <w:t>mrfp</w:t>
      </w:r>
      <w:r w:rsidRPr="008E5B34">
        <w:rPr>
          <w:rFonts w:eastAsiaTheme="minorEastAsia" w:cs="Times New Roman"/>
          <w:b/>
          <w:bCs/>
          <w:color w:val="000000" w:themeColor="text1"/>
          <w:kern w:val="24"/>
          <w:szCs w:val="24"/>
        </w:rPr>
        <w:t>.</w:t>
      </w:r>
      <w:r w:rsidRPr="008E5B34">
        <w:rPr>
          <w:rFonts w:eastAsiaTheme="minorEastAsia" w:cs="Times New Roman"/>
          <w:color w:val="000000" w:themeColor="text1"/>
          <w:kern w:val="24"/>
          <w:szCs w:val="24"/>
        </w:rPr>
        <w:t xml:space="preserve"> Detection of mCherry fluorescence (F) was recorded at 605 nm after excitation at a wavelength of 580 nm and normalized by the OD</w:t>
      </w:r>
      <w:r w:rsidRPr="008E5B34">
        <w:rPr>
          <w:rFonts w:eastAsiaTheme="minorEastAsia" w:cs="Times New Roman"/>
          <w:color w:val="000000" w:themeColor="text1"/>
          <w:kern w:val="24"/>
          <w:position w:val="-8"/>
          <w:szCs w:val="24"/>
          <w:vertAlign w:val="subscript"/>
        </w:rPr>
        <w:t>600</w:t>
      </w:r>
      <w:r w:rsidRPr="008E5B34">
        <w:rPr>
          <w:rFonts w:eastAsiaTheme="minorEastAsia" w:cs="Times New Roman"/>
          <w:color w:val="000000" w:themeColor="text1"/>
          <w:kern w:val="24"/>
          <w:szCs w:val="24"/>
        </w:rPr>
        <w:t xml:space="preserve"> of the cell suspensions. A. Cells from </w:t>
      </w:r>
      <w:r w:rsidRPr="008E5B34">
        <w:rPr>
          <w:rFonts w:eastAsiaTheme="minorEastAsia" w:cs="Times New Roman"/>
          <w:i/>
          <w:iCs/>
          <w:color w:val="000000" w:themeColor="text1"/>
          <w:kern w:val="24"/>
          <w:szCs w:val="24"/>
        </w:rPr>
        <w:t xml:space="preserve">L. lactis </w:t>
      </w:r>
      <w:r w:rsidRPr="008E5B34">
        <w:rPr>
          <w:rFonts w:eastAsiaTheme="minorEastAsia" w:cs="Times New Roman"/>
          <w:color w:val="000000" w:themeColor="text1"/>
          <w:kern w:val="24"/>
          <w:szCs w:val="24"/>
        </w:rPr>
        <w:t xml:space="preserve">L81, L81-D1 and L81-E2 exponential and stationary phase cultures (only one biological replicate was analyzed, error bars are from technical replicates). B. </w:t>
      </w:r>
      <w:r w:rsidRPr="008E5B34">
        <w:rPr>
          <w:rFonts w:eastAsiaTheme="minorEastAsia" w:cs="Times New Roman"/>
          <w:i/>
          <w:iCs/>
          <w:color w:val="000000" w:themeColor="text1"/>
          <w:kern w:val="24"/>
          <w:szCs w:val="24"/>
        </w:rPr>
        <w:t xml:space="preserve">L. lactis </w:t>
      </w:r>
      <w:r w:rsidRPr="008E5B34">
        <w:rPr>
          <w:rFonts w:eastAsiaTheme="minorEastAsia" w:cs="Times New Roman"/>
          <w:color w:val="000000" w:themeColor="text1"/>
          <w:kern w:val="24"/>
          <w:szCs w:val="24"/>
        </w:rPr>
        <w:t>IL1403 (red bars) and NZ9000 (grey bars) after induction with bacitracin (X-axis). Average and standard deviation of three biological replicates is depicted.</w:t>
      </w:r>
    </w:p>
    <w:p w14:paraId="631D6FA0" w14:textId="77777777" w:rsidR="008E5B34" w:rsidRPr="008E5B34" w:rsidRDefault="008E5B34" w:rsidP="008E5B34"/>
    <w:sectPr w:rsidR="008E5B34" w:rsidRPr="008E5B34" w:rsidSect="008E5B34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1B498" w14:textId="77777777" w:rsidR="0094217E" w:rsidRDefault="0094217E" w:rsidP="00117666">
      <w:pPr>
        <w:spacing w:after="0"/>
      </w:pPr>
      <w:r>
        <w:separator/>
      </w:r>
    </w:p>
  </w:endnote>
  <w:endnote w:type="continuationSeparator" w:id="0">
    <w:p w14:paraId="52E42991" w14:textId="77777777" w:rsidR="0094217E" w:rsidRDefault="0094217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53D8F930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E5B3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53D8F930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E5B34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4D6F3B8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E5B3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4D6F3B8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E5B34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02ECE" w14:textId="77777777" w:rsidR="0094217E" w:rsidRDefault="0094217E" w:rsidP="00117666">
      <w:pPr>
        <w:spacing w:after="0"/>
      </w:pPr>
      <w:r>
        <w:separator/>
      </w:r>
    </w:p>
  </w:footnote>
  <w:footnote w:type="continuationSeparator" w:id="0">
    <w:p w14:paraId="358082B1" w14:textId="77777777" w:rsidR="0094217E" w:rsidRDefault="0094217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 wp14:anchorId="07D26A56" wp14:editId="2E460F0E">
          <wp:extent cx="1382534" cy="497091"/>
          <wp:effectExtent l="0" t="0" r="0" b="0"/>
          <wp:docPr id="3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A07FE"/>
    <w:rsid w:val="002B4A57"/>
    <w:rsid w:val="002C74CA"/>
    <w:rsid w:val="003123F4"/>
    <w:rsid w:val="003544FB"/>
    <w:rsid w:val="003D2F2D"/>
    <w:rsid w:val="00401590"/>
    <w:rsid w:val="00447801"/>
    <w:rsid w:val="004528D6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E5B34"/>
    <w:rsid w:val="009151AA"/>
    <w:rsid w:val="0093429D"/>
    <w:rsid w:val="0094217E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link w:val="SinespaciadoCar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5B3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E144507-D88A-408F-AA9A-D101FCB3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Beatriz</cp:lastModifiedBy>
  <cp:revision>2</cp:revision>
  <cp:lastPrinted>2013-10-03T12:51:00Z</cp:lastPrinted>
  <dcterms:created xsi:type="dcterms:W3CDTF">2020-07-28T07:55:00Z</dcterms:created>
  <dcterms:modified xsi:type="dcterms:W3CDTF">2020-07-28T07:55:00Z</dcterms:modified>
</cp:coreProperties>
</file>