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5974432C" w:rsidR="00654E8F" w:rsidRPr="00523AE9" w:rsidRDefault="00654E8F" w:rsidP="00523AE9">
      <w:pPr>
        <w:pStyle w:val="SupplementaryMaterial"/>
      </w:pPr>
      <w:r w:rsidRPr="00523AE9">
        <w:t>Supplementary Material</w:t>
      </w:r>
    </w:p>
    <w:p w14:paraId="0777D42E" w14:textId="77777777" w:rsidR="00523AE9" w:rsidRDefault="00523AE9" w:rsidP="00523AE9">
      <w:pPr>
        <w:spacing w:before="0" w:after="160" w:line="259" w:lineRule="auto"/>
        <w:jc w:val="both"/>
        <w:rPr>
          <w:rFonts w:eastAsia="Calibri" w:cs="Times New Roman"/>
          <w:b/>
          <w:bCs/>
          <w:szCs w:val="24"/>
          <w:lang w:val="it-IT"/>
        </w:rPr>
      </w:pPr>
      <w:bookmarkStart w:id="0" w:name="_Hlk34153556"/>
    </w:p>
    <w:p w14:paraId="7F1DF19C" w14:textId="5996C105" w:rsidR="00DB55B4" w:rsidRPr="00DB55B4" w:rsidRDefault="00DB55B4" w:rsidP="00523AE9">
      <w:pPr>
        <w:spacing w:before="0" w:after="160" w:line="259" w:lineRule="auto"/>
        <w:jc w:val="both"/>
        <w:rPr>
          <w:rFonts w:eastAsia="Calibri" w:cs="Times New Roman"/>
          <w:b/>
          <w:bCs/>
          <w:szCs w:val="24"/>
          <w:lang w:val="it-IT"/>
        </w:rPr>
      </w:pPr>
      <w:r w:rsidRPr="00DB55B4">
        <w:rPr>
          <w:rFonts w:eastAsia="Calibri" w:cs="Times New Roman"/>
          <w:b/>
          <w:bCs/>
          <w:szCs w:val="24"/>
          <w:lang w:val="it-IT"/>
        </w:rPr>
        <w:t xml:space="preserve">Supplementary Table 1: Comparison of baseline characteristics in previously published Cannabidiol open-label and randomized controlled trials. </w:t>
      </w:r>
    </w:p>
    <w:tbl>
      <w:tblPr>
        <w:tblStyle w:val="Grilledutableau1"/>
        <w:tblW w:w="14170" w:type="dxa"/>
        <w:jc w:val="center"/>
        <w:tblLayout w:type="fixed"/>
        <w:tblLook w:val="04A0" w:firstRow="1" w:lastRow="0" w:firstColumn="1" w:lastColumn="0" w:noHBand="0" w:noVBand="1"/>
      </w:tblPr>
      <w:tblGrid>
        <w:gridCol w:w="1388"/>
        <w:gridCol w:w="992"/>
        <w:gridCol w:w="992"/>
        <w:gridCol w:w="992"/>
        <w:gridCol w:w="876"/>
        <w:gridCol w:w="1108"/>
        <w:gridCol w:w="992"/>
        <w:gridCol w:w="992"/>
        <w:gridCol w:w="992"/>
        <w:gridCol w:w="877"/>
        <w:gridCol w:w="1107"/>
        <w:gridCol w:w="992"/>
        <w:gridCol w:w="992"/>
        <w:gridCol w:w="878"/>
      </w:tblGrid>
      <w:tr w:rsidR="00DB55B4" w:rsidRPr="00DB55B4" w14:paraId="7BEFA099" w14:textId="77777777" w:rsidTr="00591A66">
        <w:trPr>
          <w:trHeight w:val="300"/>
          <w:jc w:val="center"/>
        </w:trPr>
        <w:tc>
          <w:tcPr>
            <w:tcW w:w="1388" w:type="dxa"/>
            <w:tcBorders>
              <w:right w:val="single" w:sz="12" w:space="0" w:color="000000"/>
            </w:tcBorders>
            <w:shd w:val="clear" w:color="auto" w:fill="E7E6E6"/>
            <w:noWrap/>
            <w:vAlign w:val="center"/>
            <w:hideMark/>
          </w:tcPr>
          <w:p w14:paraId="3ACADB25" w14:textId="77777777" w:rsidR="00DB55B4" w:rsidRPr="00DB55B4" w:rsidRDefault="00DB55B4" w:rsidP="00591A66">
            <w:pPr>
              <w:spacing w:before="0" w:after="0"/>
              <w:jc w:val="center"/>
              <w:rPr>
                <w:rFonts w:eastAsia="Calibri" w:cs="Times New Roman"/>
                <w:sz w:val="12"/>
                <w:szCs w:val="12"/>
              </w:rPr>
            </w:pPr>
            <w:bookmarkStart w:id="1" w:name="_GoBack" w:colFirst="0" w:colLast="13"/>
          </w:p>
        </w:tc>
        <w:tc>
          <w:tcPr>
            <w:tcW w:w="3852" w:type="dxa"/>
            <w:gridSpan w:val="4"/>
            <w:tcBorders>
              <w:top w:val="single" w:sz="12" w:space="0" w:color="000000"/>
              <w:left w:val="single" w:sz="12" w:space="0" w:color="000000"/>
              <w:bottom w:val="single" w:sz="12" w:space="0" w:color="000000"/>
              <w:right w:val="single" w:sz="12" w:space="0" w:color="000000"/>
            </w:tcBorders>
            <w:shd w:val="clear" w:color="auto" w:fill="E7E6E6"/>
            <w:vAlign w:val="center"/>
          </w:tcPr>
          <w:p w14:paraId="1345DC75"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Drug-resistant epilepsy</w:t>
            </w:r>
          </w:p>
        </w:tc>
        <w:tc>
          <w:tcPr>
            <w:tcW w:w="4961" w:type="dxa"/>
            <w:gridSpan w:val="5"/>
            <w:tcBorders>
              <w:top w:val="single" w:sz="12" w:space="0" w:color="000000"/>
              <w:left w:val="single" w:sz="12" w:space="0" w:color="000000"/>
              <w:bottom w:val="single" w:sz="12" w:space="0" w:color="000000"/>
              <w:right w:val="single" w:sz="12" w:space="0" w:color="000000"/>
            </w:tcBorders>
            <w:shd w:val="clear" w:color="auto" w:fill="E7E6E6"/>
            <w:vAlign w:val="center"/>
          </w:tcPr>
          <w:p w14:paraId="7A2728F3"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Dravet syndrome</w:t>
            </w:r>
          </w:p>
        </w:tc>
        <w:tc>
          <w:tcPr>
            <w:tcW w:w="3969" w:type="dxa"/>
            <w:gridSpan w:val="4"/>
            <w:tcBorders>
              <w:top w:val="single" w:sz="12" w:space="0" w:color="000000"/>
              <w:left w:val="single" w:sz="12" w:space="0" w:color="000000"/>
              <w:bottom w:val="single" w:sz="12" w:space="0" w:color="000000"/>
              <w:right w:val="single" w:sz="12" w:space="0" w:color="000000"/>
            </w:tcBorders>
            <w:shd w:val="clear" w:color="auto" w:fill="E7E6E6"/>
            <w:vAlign w:val="center"/>
          </w:tcPr>
          <w:p w14:paraId="4B5AF82D"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Lennox-Gastaut syndrome</w:t>
            </w:r>
          </w:p>
        </w:tc>
      </w:tr>
      <w:tr w:rsidR="00DB55B4" w:rsidRPr="00DB55B4" w14:paraId="47BD5742" w14:textId="77777777" w:rsidTr="00591A66">
        <w:trPr>
          <w:trHeight w:val="300"/>
          <w:jc w:val="center"/>
        </w:trPr>
        <w:tc>
          <w:tcPr>
            <w:tcW w:w="1388" w:type="dxa"/>
            <w:tcBorders>
              <w:right w:val="single" w:sz="12" w:space="0" w:color="000000"/>
            </w:tcBorders>
            <w:shd w:val="clear" w:color="auto" w:fill="E7E6E6"/>
            <w:noWrap/>
            <w:vAlign w:val="center"/>
          </w:tcPr>
          <w:p w14:paraId="32F10E03" w14:textId="77777777" w:rsidR="00DB55B4" w:rsidRPr="00DB55B4" w:rsidRDefault="00DB55B4" w:rsidP="00591A66">
            <w:pPr>
              <w:spacing w:before="0" w:after="0"/>
              <w:jc w:val="center"/>
              <w:rPr>
                <w:rFonts w:eastAsia="Calibri" w:cs="Times New Roman"/>
                <w:sz w:val="12"/>
                <w:szCs w:val="12"/>
              </w:rPr>
            </w:pPr>
          </w:p>
        </w:tc>
        <w:tc>
          <w:tcPr>
            <w:tcW w:w="992" w:type="dxa"/>
            <w:tcBorders>
              <w:top w:val="single" w:sz="12" w:space="0" w:color="000000"/>
              <w:left w:val="single" w:sz="12" w:space="0" w:color="000000"/>
            </w:tcBorders>
            <w:shd w:val="clear" w:color="auto" w:fill="E7E6E6"/>
            <w:noWrap/>
            <w:tcMar>
              <w:left w:w="0" w:type="dxa"/>
              <w:right w:w="0" w:type="dxa"/>
            </w:tcMar>
            <w:vAlign w:val="center"/>
          </w:tcPr>
          <w:p w14:paraId="64B34974"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007BD705" w14:textId="19763404"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2016</w:t>
            </w:r>
          </w:p>
          <w:p w14:paraId="56C44CEA" w14:textId="60A364DB"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{"citationItems":[{"id":"ITEM-1","itemData":{"DOI":"10.1016/S1474-4422(15)00379-8","ISSN":"14744465","PMID":"26724101","abstract":"Background Almost a third of patients with epilepsy have a treatment-resistant form, which is associated with severe morbidity and increased mortality. Cannabis-based treatments for epilepsy have generated much interest, but scientific data are scarce. We aimed to establish whether addition of cannabidiol to existing anti-epileptic regimens would be safe, tolerated, and efficacious in children and young adults with treatment-resistant epilepsy. Methods In this open-label trial, patients (aged 1–30 years) with severe, intractable, childhood-onset, treatment-resistant epilepsy, who were receiving stable doses of antiepileptic drugs before study entry, were enrolled in an expanded-access programme at 11 epilepsy centres across the USA. Patients were given oral cannabidiol at 2–5 mg/kg per day, up-titrated until intolerance or to a maximum dose of 25 mg/kg or 50 mg/kg per day (dependent on study site). The primary objective was to establish the safety and tolerability of cannabidiol and the primary efficacy endpoint was median percentage change in the mean monthly frequency of motor seizures at 12 weeks. The efficacy analysis was by modified intention to treat. Comparisons of the percentage change in frequency of motor seizures were done with a Mann-Whitney U test. Results Between Jan 15, 2014, and Jan 15, 2015, 214 patients were enrolled; 162 (76%) patients who had at least 12 weeks of follow-up after the first dose of cannabidiol were included in the safety and tolerability analysis, and 137 (64%) patients were included in the efficacy analysis. In the safety group, 33 (20%) patients had Dravet syndrome and 31 (19%) patients had Lennox-Gastaut syndrome. The remaining patients had intractable epilepsies of different causes and type. Adverse events were reported in 128 (79%) of the 162 patients within the safety group. Adverse events reported in more than 10% of patients were somnolence (n=41 [25%]), decreased appetite (n=31 [19%]), diarrhoea (n=31 [19%]), fatigue (n=21 [13%]), and convulsion (n=18 [11%]). Five (3%) patients discontinued treatment because of an adverse event. Serious adverse events were reported in 48 (30%) patients, including one death—a sudden unexpected death in epilepsy regarded as unrelated to study drug. 20 (12%) patients had severe adverse events possibly related to cannabidiol use, the most common of which was status epilepticus (n=9 [6%]). The median monthly frequency of motor seizures was 30·0 (IQR 11·0–96·0) at baseline and 15·8 …","author":[{"dropping-particle":"","family":"Devinsky","given":"Orrin","non-dropping-particle":"","parse-names":false,"suffix":""},{"dropping-particle":"","family":"Marsh","given":"Eric","non-dropping-particle":"","parse-names":false,"suffix":""},{"dropping-particle":"","family":"Friedman","given":"Daniel","non-dropping-particle":"","parse-names":false,"suffix":""},{"dropping-particle":"","family":"Thiele","given":"Elizabeth","non-dropping-particle":"","parse-names":false,"suffix":""},{"dropping-particle":"","family":"Laux","given":"Linda","non-dropping-particle":"","parse-names":false,"suffix":""},{"dropping-particle":"","family":"Sullivan","given":"Joseph","non-dropping-particle":"","parse-names":false,"suffix":""},{"dropping-particle":"","family":"Miller","given":"Ian","non-dropping-particle":"","parse-names":false,"suffix":""},{"dropping-particle":"","family":"Flamini","given":"Robert","non-dropping-particle":"","parse-names":false,"suffix":""},{"dropping-particle":"","family":"Wilfong","given":"Angus","non-dropping-particle":"","parse-names":false,"suffix":""},{"dropping-particle":"","family":"Filloux","given":"Francis","non-dropping-particle":"","parse-names":false,"suffix":""},{"dropping-particle":"","family":"Wong","given":"Matthew","non-dropping-particle":"","parse-names":false,"suffix":""},{"dropping-particle":"","family":"Tilton","given":"Nicole","non-dropping-particle":"","parse-names":false,"suffix":""},{"dropping-particle":"","family":"Bruno","given":"Patricia","non-dropping-particle":"","parse-names":false,"suffix":""},{"dropping-particle":"","family":"Bluvstein","given":"Judith","non-dropping-particle":"","parse-names":false,"suffix":""},{"dropping-particle":"","family":"Hedlund","given":"Julie","non-dropping-particle":"","parse-names":false,"suffix":""},{"dropping-particle":"","family":"Kamens","given":"Rebecca","non-dropping-particle":"","parse-names":false,"suffix":""},{"dropping-particle":"","family":"Maclean","given":"Jane","non-dropping-particle":"","parse-names":false,"suffix":""},{"dropping-particle":"","family":"Nangia","given":"Srishti","non-dropping-particle":"","parse-names":false,"suffix":""},{"dropping-particle":"","family":"Singhal","given":"Nilika Shah","non-dropping-particle":"","parse-names":false,"suffix":""},{"dropping-particle":"","family":"Wilson","given":"Carey A.","non-dropping-particle":"","parse-names":false,"suffix":""},{"dropping-particle":"","family":"Patel","given":"Anup","non-dropping-particle":"","parse-names":false,"suffix":""},{"dropping-particle":"","family":"Cilio","given":"Maria Roberta","non-dropping-particle":"","parse-names":false,"suffix":""}],"container-title":"The Lancet Neurology","id":"ITEM-1","issue":"3","issued":{"date-parts":[["2016"]]},"page":"270-278","publisher":"Elsevier Ltd","title":"Cannabidiol in patients with treatment-resistant epilepsy: an open-label interventional trial","type":"article-journal","volume":"15"},"uris":["http://www.mendeley.com/documents/?uuid=5d3b820f-11b5-4699-a55a-cf435d11ad54"]}],"mendeley":{"formattedCitation":"(1)","plainTextFormattedCitation":"(1)","previouslyFormattedCitation":"(1)"},"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(1)</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tcMar>
              <w:left w:w="0" w:type="dxa"/>
              <w:right w:w="0" w:type="dxa"/>
            </w:tcMar>
            <w:vAlign w:val="center"/>
          </w:tcPr>
          <w:p w14:paraId="43C7954F"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Szaflarski</w:t>
            </w:r>
          </w:p>
          <w:p w14:paraId="6DF08C83" w14:textId="66B64F1F"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5AB7CB8B" w14:textId="7C36F3F6"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{"citationItems":[{"id":"ITEM-1","itemData":{"DOI":"10.1111/epi.14477","ISSN":"15281167","PMID":"29998598","abstract":"Objective: Since 2014, cannabidiol (CBD) has been administered to patients with treatment-resistant epilepsies (TREs) in an ongoing expanded-access program (EAP). We report interim results on the safety and efficacy of CBD in EAP patients treated through December 2016. Methods: Twenty-five US-based EAP sites enrolling patients with TRE taking stable doses of antiepileptic drugs (AEDs) at baseline were included. During the 4-week baseline period, parents/caregivers kept diaries of all countable seizure types. Patients received oral CBD starting at 2-10 mg/kg/d, titrated to a maximum dose of 25-50 mg/kg/d. Patient visits were every 2-4 weeks through 16 weeks and every 2-12 weeks thereafter. Efficacy endpoints included the percentage change from baseline in median monthly convulsive and total seizure frequency, and percentage of patients with ≥50%, ≥75%, and 100% reductions in seizures vs baseline. Data were analyzed descriptively for the efficacy analysis set and using the last-observation-carried-forward method to account for missing data. Adverse events (AEs) were documented at each visit. Results: Of 607 patients in the safety dataset, 146 (24%) withdrew; the most common reasons were lack of efficacy (89 [15%]) and AEs (32 [5%]). Mean age was 13 years (range, 0.4-62). Median number of concomitant AEDs was 3 (range, 0-10). Median CBD dose was 25 mg/kg/d; median treatment duration was 48 weeks. Add-on CBD reduced median monthly convulsive seizures by 51% and total seizures by 48% at 12 weeks; reductions were similar through 96 weeks. Proportion of patients with ≥50%, ≥75%, and 100% reductions in convulsive seizures were 52%, 31%, and 11%, respectively, at 12 weeks, with similar rates through 96 weeks. CBD was generally well tolerated; most common AEs were diarrhea (29%) and somnolence (22%). Significance: Results from this ongoing EAP support previous observational and clinical trial data showing that add-on CBD may be an efficacious long-term treatment option for TRE.","author":[{"dropping-particle":"","family":"Szaflarski","given":"Jerzy P.","non-dropping-particle":"","parse-names":false,"suffix":""},{"dropping-particle":"","family":"Bebin","given":"Elizabeth Martina","non-dropping-particle":"","parse-names":false,"suffix":""},{"dropping-particle":"","family":"Comi","given":"Anne M.","non-dropping-particle":"","parse-names":false,"suffix":""},{"dropping-particle":"","family":"Patel","given":"Anup D.","non-dropping-particle":"","parse-names":false,"suffix":""},{"dropping-particle":"","family":"Joshi","given":"Charuta","non-dropping-particle":"","parse-names":false,"suffix":""},{"dropping-particle":"","family":"Checketts","given":"Daniel","non-dropping-particle":"","parse-names":false,"suffix":""},{"dropping-particle":"","family":"Beal","given":"Jules C.","non-dropping-particle":"","parse-names":false,"suffix":""},{"dropping-particle":"","family":"Laux","given":"Linda C.","non-dropping-particle":"","parse-names":false,"suffix":""},{"dropping-particle":"","family":"Boer","given":"Lisa M.","non-dropping-particle":"De","parse-names":false,"suffix":""},{"dropping-particle":"","family":"Wong","given":"Matthew H.","non-dropping-particle":"","parse-names":false,"suffix":""},{"dropping-particle":"","family":"Lopez","given":"Merrick","non-dropping-particle":"","parse-names":false,"suffix":""},{"dropping-particle":"","family":"Devinsky","given":"Orrin","non-dropping-particle":"","parse-names":false,"suffix":""},{"dropping-particle":"","family":"Lyons","given":"Paul D.","non-dropping-particle":"","parse-names":false,"suffix":""},{"dropping-particle":"","family":"Zentil","given":"Pilar Pichon","non-dropping-particle":"","parse-names":false,"suffix":""},{"dropping-particle":"","family":"Wechsler","given":"Robert","non-dropping-particle":"","parse-names":false,"suffix":""},{"dropping-particle":"","family":"Chez","given":"Michael","non-dropping-particle":"","parse-names":false,"suffix":""},{"dropping-particle":"","family":"Flamini","given":"Robert","non-dropping-particle":"","parse-names":false,"suffix":""},{"dropping-particle":"","family":"Marsh","given":"Eric D.","non-dropping-particle":"","parse-names":false,"suffix":""},{"dropping-particle":"","family":"Miller","given":"Ian","non-dropping-particle":"","parse-names":false,"suffix":""},{"dropping-particle":"","family":"Park","given":"Yong","non-dropping-particle":"","parse-names":false,"suffix":""},{"dropping-particle":"","family":"Segal","given":"Eric","non-dropping-particle":"","parse-names":false,"suffix":""},{"dropping-particle":"","family":"Seltzer","given":"Laurie","non-dropping-particle":"","parse-names":false,"suffix":""},{"dropping-particle":"","family":"Thiele","given":"Elizabeth A.","non-dropping-particle":"","parse-names":false,"suffix":""},{"dropping-particle":"","family":"Weinstock","given":"Arie","non-dropping-particle":"","parse-names":false,"suffix":""}],"container-title":"Epilepsia","id":"ITEM-1","issue":"8","issued":{"date-parts":[["2018","8","1"]]},"page":"1540-1548","publisher":"Blackwell Publishing Inc.","title":"Long-term safety and treatment effects of cannabidiol in children and adults with treatment-resistant epilepsies: Expanded access program results","type":"article-journal","volume":"59"},"uris":["http://www.mendeley.com/documents/?uuid=cd87fa05-76b5-432e-a11d-aabb8ad12aad"]}],"mendeley":{"formattedCitation":"(2)","plainTextFormattedCitation":"(2)","previouslyFormattedCitation":"(2)"},"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(2)</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tcMar>
              <w:left w:w="0" w:type="dxa"/>
              <w:right w:w="0" w:type="dxa"/>
            </w:tcMar>
            <w:vAlign w:val="center"/>
          </w:tcPr>
          <w:p w14:paraId="58087726"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Laux</w:t>
            </w:r>
          </w:p>
          <w:p w14:paraId="007E049B" w14:textId="7B065803"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2019</w:t>
            </w:r>
          </w:p>
          <w:p w14:paraId="57CFDCF9" w14:textId="436DE03A"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{"citationItems":[{"id":"ITEM-1","itemData":{"DOI":"10.1016/j.eplepsyres.2019.03.015","ISSN":"18726844","abstract":"Background: Since 2014, patients with severe treatment-resistant epilepsies (TREs) have been receiving add-on cannabidiol (CBD) in an ongoing, expanded access program (EAP), which closely reflects clinical practice. We conducted an interim analysis of long-term efficacy and tolerability in patients with Lennox-Gastaut syndrome (LGS) or Dravet syndrome (DS) who received CBD treatment through December 2016. Methods: Children and adults with LGS/DS taking stable doses of antiepileptic drugs (AEDs) at baseline were included from 25 EAP sites across the United States. During the 4-week baseline period, parents/caregivers kept diaries of all countable seizure types. Patients received a pharmaceutical formulation of highly purified CBD (Epidiolex®; 100 mg/mL) in oral solution at 2–10 mg/kg/day, titrated until tolerability limit or a maximum dose of 25–50 mg/kg/day. Patient visits were every 2–4 weeks. The percentage change from baseline in median monthly convulsive (ie, major motor) and total seizures was evaluated at 12-week intervals through 96 weeks. The percentages of patients who had ≥50%, ≥75%, and 100% reduction in monthly seizures relative to the baseline period were also evaluated. Adverse events (AEs) were monitored and summarized for the safety analysis set (SAS) through 144 weeks. Results: Of the 607 patients in the SAS, 58 had DS and 94 had LGS (N = 152); 455 patients had other TREs. Twenty-eight percent of LGS/DS patients withdrew, primarily owing to lack of efficacy (20%). LGS/DS patients were taking a median of 3 (0–10) concomitant AEDs. Median treatment duration was 78.3 (range, 4.1–146.4) weeks. Between weeks 12 and 96, median CBD dose ranged from 21 to 25 mg/kg/day. At 12 weeks, add-on CBD reduced median monthly major motor seizures by 50% and total seizures by 44%, with consistent reductions in both seizure types through 96 weeks. At 12 weeks, the proportions of patients with ≥50%, ≥75%, and 100% reductions in major motor seizures were 53%, 23%, and 6%; the proportions with corresponding reductions in total seizures were 46%, 26%, and 5%. Responder rates for both seizure types were consistent through 96 weeks. CBD had an acceptable safety profile; the most common AEs were somnolence (30%) and diarrhea (24%). Conclusions: Results from this interim analysis support add-on CBD as an effective long-term treatment option in LGS or DS.","author":[{"dropping-particle":"","family":"Laux","given":"Linda C.","non-dropping-particle":"","parse-names":false,"suffix":""},{"dropping-particle":"","family":"Bebin","given":"E. Martina","non-dropping-particle":"","parse-names":false,"suffix":""},{"dropping-particle":"","family":"Checketts","given":"Daniel","non-dropping-particle":"","parse-names":false,"suffix":""},{"dropping-particle":"","family":"Chez","given":"Michael","non-dropping-particle":"","parse-names":false,"suffix":""},{"dropping-particle":"","family":"Flamini","given":"Robert","non-dropping-particle":"","parse-names":false,"suffix":""},{"dropping-particle":"","family":"Marsh","given":"Eric D.","non-dropping-particle":"","parse-names":false,"suffix":""},{"dropping-particle":"","family":"Miller","given":"Ian","non-dropping-particle":"","parse-names":false,"suffix":""},{"dropping-particle":"","family":"Nichol","given":"Kathryn","non-dropping-particle":"","parse-names":false,"suffix":""},{"dropping-particle":"","family":"Park","given":"Yong","non-dropping-particle":"","parse-names":false,"suffix":""},{"dropping-particle":"","family":"Segal","given":"Eric","non-dropping-particle":"","parse-names":false,"suffix":""},{"dropping-particle":"","family":"Seltzer","given":"Laurie","non-dropping-particle":"","parse-names":false,"suffix":""},{"dropping-particle":"","family":"Szaflarski","given":"Jerzy P.","non-dropping-particle":"","parse-names":false,"suffix":""},{"dropping-particle":"","family":"Thiele","given":"Elizabeth A.","non-dropping-particle":"","parse-names":false,"suffix":""},{"dropping-particle":"","family":"Weinstock","given":"Arie","non-dropping-particle":"","parse-names":false,"suffix":""}],"container-title":"Epilepsy Research","id":"ITEM-1","issue":"January","issued":{"date-parts":[["2019"]]},"page":"13-20","publisher":"Elsevier","title":"Long-term safety and efficacy of cannabidiol in children and adults with treatmentresistant Lennox-Gastaut syndrome or Dravet syndrome: Expanded access program results","type":"article-journal","volume":"154"},"uris":["http://www.mendeley.com/documents/?uuid=8fab2823-0eab-40de-b87b-dad918e475e4"]}],"mendeley":{"formattedCitation":"(3)","plainTextFormattedCitation":"(3)","previouslyFormattedCitation":"(3)"},"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(3)</w:t>
            </w:r>
            <w:r w:rsidRPr="00DB55B4">
              <w:rPr>
                <w:rFonts w:eastAsia="Arial" w:cs="Times New Roman"/>
                <w:b/>
                <w:bCs/>
                <w:i/>
                <w:iCs/>
                <w:color w:val="000000"/>
                <w:sz w:val="12"/>
                <w:szCs w:val="12"/>
              </w:rPr>
              <w:fldChar w:fldCharType="end"/>
            </w:r>
          </w:p>
        </w:tc>
        <w:tc>
          <w:tcPr>
            <w:tcW w:w="876" w:type="dxa"/>
            <w:tcBorders>
              <w:top w:val="single" w:sz="12" w:space="0" w:color="000000"/>
              <w:right w:val="single" w:sz="12" w:space="0" w:color="000000"/>
            </w:tcBorders>
            <w:shd w:val="clear" w:color="auto" w:fill="E7E6E6"/>
            <w:tcMar>
              <w:left w:w="0" w:type="dxa"/>
              <w:right w:w="0" w:type="dxa"/>
            </w:tcMar>
            <w:vAlign w:val="center"/>
          </w:tcPr>
          <w:p w14:paraId="5C5D1313" w14:textId="77777777"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t>Our study</w:t>
            </w:r>
          </w:p>
        </w:tc>
        <w:tc>
          <w:tcPr>
            <w:tcW w:w="1108" w:type="dxa"/>
            <w:tcBorders>
              <w:top w:val="single" w:sz="12" w:space="0" w:color="000000"/>
              <w:left w:val="single" w:sz="12" w:space="0" w:color="000000"/>
            </w:tcBorders>
            <w:shd w:val="clear" w:color="auto" w:fill="E7E6E6"/>
            <w:noWrap/>
            <w:tcMar>
              <w:left w:w="0" w:type="dxa"/>
              <w:right w:w="0" w:type="dxa"/>
            </w:tcMar>
            <w:vAlign w:val="center"/>
          </w:tcPr>
          <w:p w14:paraId="79B198D7"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612EE0FA" w14:textId="77777777"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2017</w:t>
            </w:r>
          </w:p>
          <w:p w14:paraId="2D416140" w14:textId="210F74B4"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{"citationItems":[{"id":"ITEM-1","itemData":{"DOI":"10.1056/NEJMoa1611618","ISSN":"15334406","PMID":"28538134","abstract":"BACKGROUND The Dravet syndrome is a complex childhood epilepsy disorder that is associated with drug-resistant seizures and a high mortality rate. We studied cannabidiol for the treatment of drug-resistant seizures in the Dravet syndrome. METHODS In this double-blind, placebo-controlled trial, we randomly assigned 120 children and young adults with the Dravet syndrome and drug-resistant seizures to receive either cannabidiol oral solution at a dose of 20 mg per kilogram of body weight per day or placebo, in addition to standard antiepileptic treatment. The primary end point was the change in convulsive-seizure frequency over a 14-week treatment period, as compared with a 4-week baseline period. RESULTS The median frequency of convulsive seizures per month decreased from 12.4 to 5.9 with cannabidiol, as compared with a decrease from 14.9 to 14.1 with placebo (adjusted median difference between the cannabidiol group and the placebo group in change in seizure frequency, -22.8 percentage points; 95% confidence interval [CI], -41.1 to -5.4; P = 0.01). The percentage of patients who had at least a 50% reduction in convulsiveseizure frequency was 43% with cannabidiol and 27% with placebo (odds ratio, 2.00; 95% CI, 0.93 to 4.30; P = 0.08). The patient's overall condition improved by at least one category on the seven-category Caregiver Global Impression of Change scale in 62% of the cannabidiol group as compared with 34% of the placebo group (P = 0.02). The frequency of total seizures of all types was significantly reduced with cannabidiol (P = 0.03), but there was no significant reduction in nonconvulsive seizures. The percentage of patients who became seizure-free was 5% with cannabidiol and 0% with placebo (P = 0.08). Adverse events that occurred more frequently in the cannabidiol group than in the placebo group included diarrhea, vomiting, fatigue, pyrexia, somnolence, and abnormal results on liver-function tests. There were more withdrawals from the trial in the cannabidiol group. CONCLUSIONS Among patients with the Dravet syndrome, cannabidiol resulted in a greater reduction in convulsive-seizure frequency than placebo and was associated with higher rates of adverse events. (Funded by GW Pharmaceuticals; ClinicalTrials.gov number, NCT02091375.).","author":[{"dropping-particle":"","family":"Devinsky","given":"Orrin","non-dropping-particle":"","parse-names":false,"suffix":""},{"dropping-particle":"","family":"Cross","given":"J. Helen","non-dropping-particle":"","parse-names":false,"suffix":""},{"dropping-particle":"","family":"Laux","given":"Linda","non-dropping-particle":"","parse-names":false,"suffix":""},{"dropping-particle":"","family":"Marsh","given":"Eric","non-dropping-particle":"","parse-names":false,"suffix":""},{"dropping-particle":"","family":"Miller","given":"Ian","non-dropping-particle":"","parse-names":false,"suffix":""},{"dropping-particle":"","family":"Nabbout","given":"Rima","non-dropping-particle":"","parse-names":false,"suffix":""},{"dropping-particle":"","family":"Scheffer","given":"Ingrid E.","non-dropping-particle":"","parse-names":false,"suffix":""},{"dropping-particle":"","family":"Thiele","given":"Elizabeth A.","non-dropping-particle":"","parse-names":false,"suffix":""},{"dropping-particle":"","family":"Wright","given":"Stephen","non-dropping-particle":"","parse-names":false,"suffix":""}],"container-title":"New England Journal of Medicine","id":"ITEM-1","issue":"21","issued":{"date-parts":[["2017"]]},"page":"2011-2020","title":"Trial of cannabidiol for drug-resistant seizures in the dravet syndrome","type":"article-journal","volume":"376"},"uris":["http://www.mendeley.com/documents/?uuid=cdefa4c4-ce24-4c90-bf00-2e56e318267e"]}],"mendeley":{"formattedCitation":"(4)","plainTextFormattedCitation":"(4)","previouslyFormattedCitation":"(4)"},"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(4)</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tcMar>
              <w:left w:w="0" w:type="dxa"/>
              <w:right w:w="0" w:type="dxa"/>
            </w:tcMar>
            <w:vAlign w:val="center"/>
          </w:tcPr>
          <w:p w14:paraId="403C9284"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05D5ECA8" w14:textId="77777777"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6ECDA99E" w14:textId="3CCBD017"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{"citationItems":[{"id":"ITEM-1","itemData":{"DOI":"10.1212/WNL.0000000000005254","ISBN":"0000000000","ISSN":"1526632X","PMID":"29540584","abstract":"OBJECTIVE: To evaluate the safety and preliminary pharmacokinetics of a pharmaceutical formulation of purified cannabidiol (CBD) in children with Dravet syndrome. METHODS: Patients aged 4-10 years were randomized 4:1 to CBD (5, 10, or 20 mg/kg/d) or placebo taken twice daily. The double-blind trial comprised 4-week baseline, 3-week treatment (including titration), 10-day taper, and 4-week follow-up periods. Completers could continue in an open-label extension. Multiple pharmacokinetic blood samples were taken on the first day of dosing and at end of treatment for measurement of CBD, its metabolites 6-OH-CBD, 7-OH-CBD, and 7-COOH-CBD, and antiepileptic drugs (AEDs; clobazam and metabolite N-desmethylclobazam [N-CLB], valproate, levetiracetam, topiramate, and stiripentol). Safety assessments were clinical laboratory tests, physical examinations, vital signs, ECGs, adverse events (AEs), seizure frequency, and suicidality. RESULTS: Thirty-four patients were randomized (10, 8, and 9 to the 5, 10, and 20 mg/kg/d CBD groups, and 7 to placebo); 32 (94%) completed treatment. Exposure to CBD and its metabolites was dose-proportional (AUC0-t). CBD did not affect concomitant AED levels, apart from an increase in N-CLB (except in patients taking stiripentol). The most common AEs on CBD were pyrexia, somnolence, decreased appetite, sedation, vomiting, ataxia, and abnormal behavior. Six patients taking CBD and valproate developed elevated transaminases; none met criteria for drug-induced liver injury and all recovered. No other clinically relevant safety signals were observed. CONCLUSIONS: Exposure to CBD and its metabolites increased proportionally with dose. An interaction with N-CLB was observed, likely related to CBD inhibition of cytochrome P450 subtype 2C19. CBD resulted in more AEs than placebo but was generally well-tolerated. CLASSIFICATION OF EVIDENCE: This study provides Class I evidence that for children with Dravet syndrome, CBD resulted in more AEs than placebo but was generally well-tolerated.","author":[{"dropping-particle":"","family":"Devinsky","given":"Orrin","non-dropping-particle":"","parse-names":false,"suffix":""},{"dropping-particle":"","family":"Patel","given":"Anup D.","non-dropping-particle":"","parse-names":false,"suffix":""},{"dropping-particle":"","family":"Thiele","given":"Elizabeth A.","non-dropping-particle":"","parse-names":false,"suffix":""},{"dropping-particle":"","family":"Wong","given":"Matthew H.","non-dropping-particle":"","parse-names":false,"suffix":""},{"dropping-particle":"","family":"Appleton","given":"Richard","non-dropping-particle":"","parse-names":false,"suffix":""},{"dropping-particle":"","family":"Harden","given":"Cynthia L.","non-dropping-particle":"","parse-names":false,"suffix":""},{"dropping-particle":"","family":"Greenwood","given":"Sam","non-dropping-particle":"","parse-names":false,"suffix":""},{"dropping-particle":"","family":"Morrison","given":"Gilmour","non-dropping-particle":"","parse-names":false,"suffix":""},{"dropping-particle":"","family":"Sommerville","given":"Kenneth","non-dropping-particle":"","parse-names":false,"suffix":""}],"container-title":"Neurology","id":"ITEM-1","issue":"14","issued":{"date-parts":[["2018","4","3"]]},"page":"e1204-e1211","publisher":"NLM (Medline)","title":"Randomized, dose-ranging safety trial of cannabidiol in Dravet syndrome","type":"article-journal","volume":"90"},"uris":["http://www.mendeley.com/documents/?uuid=0e6a8c16-d6d1-4678-81df-0152a90e5eed"]}],"mendeley":{"formattedCitation":"(5)","plainTextFormattedCitation":"(5)","previouslyFormattedCitation":"(5)"},"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(5)</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tcMar>
              <w:left w:w="0" w:type="dxa"/>
              <w:right w:w="0" w:type="dxa"/>
            </w:tcMar>
            <w:vAlign w:val="center"/>
          </w:tcPr>
          <w:p w14:paraId="62F1002B"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033F586C" w14:textId="77777777"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2019</w:t>
            </w:r>
          </w:p>
          <w:p w14:paraId="52A04F81" w14:textId="4F239C14"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{"citationItems":[{"id":"ITEM-1","itemData":{"DOI":"10.1111/epi.14628","ISSN":"15281167","abstract":"Objective: Add-on cannabidiol (CBD) significantly reduced seizures associated with Dravet syndrome (DS) in a randomized, double-blind, placebo-controlled trial: GWPCARE1 Part B (NCT02091375). Patients who completed GWPCARE1 Part A (NCT02091206) or Part B, or a second placebo-controlled trial, GWPCARE2 (NCT02224703), were invited to enroll in a long-term open-label extension trial, GWPCARE5 (NCT02224573). We present an interim analysis of the safety, efficacy, and patient-reported outcomes from GWPCARE5. Methods: Patients received a pharmaceutical formulation of highly purified CBD in oral solution (100 mg/mL), titrated from 2.5 to 20 mg/kg/d over a 2-week period, with their existing medications. Based on response and tolerance, CBD could be reduced or increased up to 30 mg/kg/d. Results: By November 2016, a total of 278 patients had completed the original randomized trials, and 264 (95%) enrolled in this open-label extension. Median treatment duration was 274 days (range 1-512) with a mean modal dose of 21 mg/kg/d, and patients received a median of 3 concomitant antiepileptic medications. Adverse events (AEs) occurred in 93.2% of patients and were mostly mild (36.7%) or moderate (39.0%). Commonly reported AEs were diarrhea (34.5%), pyrexia (27.3%), decreased appetite (25.4%), and somnolence (24.6%). Seventeen patients (6.4%) discontinued due to AEs. Twenty-two of the 128 patients from GWPCARE1 (17.2%), all taking valproic acid, had liver transaminase elevations ≥3 times the upper limit of normal. In patients from GWPCARE1 Part B, the median reduction from baseline in monthly seizure frequency assessed in 12-week periods up to week 48 ranged from 38% to 44% for convulsive seizures and 39% to 51% for total seizures. After 48 weeks of treatment, 85% of patients/caregivers reported improvement in the patient's overall condition on the Subject/Caregiver Global Impression of Change scale. Significance: This trial shows that long-term CBD treatment had an acceptable safety profile and led to sustained, clinically meaningful reductions in seizure frequency in patients with treatment-resistant DS.","author":[{"dropping-particle":"","family":"Devinsky","given":"Orrin","non-dropping-particle":"","parse-names":false,"suffix":""},{"dropping-particle":"","family":"Nabbout","given":"Rima","non-dropping-particle":"","parse-names":false,"suffix":""},{"dropping-particle":"","family":"Miller","given":"Ian","non-dropping-particle":"","parse-names":false,"suffix":""},{"dropping-particle":"","family":"Laux","given":"Linda","non-dropping-particle":"","parse-names":false,"suffix":""},{"dropping-particle":"","family":"Zolnowska","given":"Marta","non-dropping-particle":"","parse-names":false,"suffix":""},{"dropping-particle":"","family":"Wright","given":"Stephen","non-dropping-particle":"","parse-names":false,"suffix":""},{"dropping-particle":"","family":"Roberts","given":"Claire","non-dropping-particle":"","parse-names":false,"suffix":""}],"container-title":"Epilepsia","id":"ITEM-1","issue":"2","issued":{"date-parts":[["2019","2","1"]]},"page":"294-302","publisher":"Blackwell Publishing Inc.","title":"Long-term cannabidiol treatment in patients with Dravet syndrome: An open-label extension trial","type":"article-journal","volume":"60"},"uris":["http://www.mendeley.com/documents/?uuid=0e110290-1c34-4199-b9c5-226565acaa23"]}],"mendeley":{"formattedCitation":"(6)","plainTextFormattedCitation":"(6)","previouslyFormattedCitation":"(6)"},"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(6)</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tcMar>
              <w:left w:w="0" w:type="dxa"/>
              <w:right w:w="0" w:type="dxa"/>
            </w:tcMar>
            <w:vAlign w:val="center"/>
          </w:tcPr>
          <w:p w14:paraId="6B16F88E"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Miller</w:t>
            </w:r>
          </w:p>
          <w:p w14:paraId="7999EF44" w14:textId="77777777"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2020</w:t>
            </w:r>
          </w:p>
          <w:p w14:paraId="6B4A409E" w14:textId="4B73011C"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{"citationItems":[{"id":"ITEM-1","itemData":{"DOI":"10.1001/jamaneurol.2020.0073","ISSN":"21686157","abstract":"Importance: Clinical evidence supports effectiveness of cannabidiol for treatment-resistant seizures in Dravet syndrome, but this trial is the first to evaluate the 10-mg/kg/d dose. Objective: To evaluate the efficacy and safety of a pharmaceutical formulation of cannabidiol, 10 and 20 mg/kg/d, vs placebo for adjunctive treatment of convulsive seizures in patients with Dravet syndrome. Design, Setting, and Participants: This double-blind, placebo-controlled, randomized clinical trial (GWPCARE2) recruited patients from April 13, 2015, to November 10, 2017, with follow-up completed on April 9, 2018. Of 285 patients screened from 38 centers in the United States, Spain, Poland, the Netherlands, Australia, and Israel, 86 were excluded, and 199 were randomized. Patients were aged 2 to 18 years with a confirmed diagnosis of Dravet syndrome and at least 4 convulsive seizures during the 4-week baseline period while receiving at least 1 antiepileptic drug. Data were analyzed from November 16 (date of unblinding) to December 13 (date of final outputs), 2018, based on intention to treat and per protocol. Interventions: Patients received cannabidiol oral solution at a dose of 10 or 20 mg/kg per day (CBD10 and CBD20 groups, respectively) or matched placebo in 2 equally divided doses for 14 weeks. All patients, caregivers, investigators, and individuals assessing data were blinded to group assignment. Main Outcomes and Measures: The primary outcome was change from baseline in convulsive seizure frequency during the treatment period. Secondary outcomes included change in all seizure frequency, proportion with at least a 50% reduction in convulsive seizure activity, and change in Caregiver Global Impression of Change score. Results: Of 198 eligible patients (mean [SD] age, 9.3 [4.4] years; 104 female [52.5%]), 66 were randomized to the CBD10 group, 67 to the CBD20 group, and 65 to the placebo group, and 190 completed treatment. The percentage reduction from baseline in convulsive seizure frequency was 48.7% for CBD10 group and 45.7% for the CBD20 group vs 26.9% for the placebo group; the percentage reduction from placebo was 29.8% (95% CI, 8.4%-46.2%; P =.01) for CBD10 group and 25.7% (95% CI, 2.9%-43.2%; P =.03) for the CBD20 group. The most common adverse events were decreased appetite, diarrhea, somnolence, pyrexia, and fatigue. Five patients in the CBD20 group discontinued owing to adverse events. Elevated liver transaminase levels occurred more frequently in the CB…","author":[{"dropping-particle":"","family":"Miller","given":"Ian","non-dropping-particle":"","parse-names":false,"suffix":""},{"dropping-particle":"","family":"Scheffer","given":"Ingrid E.","non-dropping-particle":"","parse-names":false,"suffix":""},{"dropping-particle":"","family":"Gunning","given":"Boudewijn","non-dropping-particle":"","parse-names":false,"suffix":""},{"dropping-particle":"","family":"Sanchez-Carpintero","given":"Rocio","non-dropping-particle":"","parse-names":false,"suffix":""},{"dropping-particle":"","family":"Gil-Nagel","given":"Antonio","non-dropping-particle":"","parse-names":false,"suffix":""},{"dropping-particle":"","family":"Perry","given":"M. Scott","non-dropping-particle":"","parse-names":false,"suffix":""},{"dropping-particle":"","family":"Saneto","given":"Russell P.","non-dropping-particle":"","parse-names":false,"suffix":""},{"dropping-particle":"","family":"Checketts","given":"Daniel","non-dropping-particle":"","parse-names":false,"suffix":""},{"dropping-particle":"","family":"Dunayevich","given":"Eduardo","non-dropping-particle":"","parse-names":false,"suffix":""},{"dropping-particle":"","family":"Knappertz","given":"Volker","non-dropping-particle":"","parse-names":false,"suffix":""}],"container-title":"JAMA Neurology","id":"ITEM-1","issued":{"date-parts":[["2020","3","2"]]},"publisher":"American Medical Association","title":"Dose-Ranging Effect of Adjunctive Oral Cannabidiol vs Placebo on Convulsive Seizure Frequency in Dravet Syndrome: A Randomized Clinical Trial","type":"article-journal"},"uris":["http://www.mendeley.com/documents/?uuid=bca5f2a8-aaf5-3919-a5b3-5ab8db3230eb"]}],"mendeley":{"formattedCitation":"(7)","plainTextFormattedCitation":"(7)","previouslyFormattedCitation":"(7)"},"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(7)</w:t>
            </w:r>
            <w:r w:rsidRPr="00DB55B4">
              <w:rPr>
                <w:rFonts w:eastAsia="Arial" w:cs="Times New Roman"/>
                <w:b/>
                <w:bCs/>
                <w:i/>
                <w:iCs/>
                <w:color w:val="000000"/>
                <w:sz w:val="12"/>
                <w:szCs w:val="12"/>
              </w:rPr>
              <w:fldChar w:fldCharType="end"/>
            </w:r>
          </w:p>
        </w:tc>
        <w:tc>
          <w:tcPr>
            <w:tcW w:w="877" w:type="dxa"/>
            <w:tcBorders>
              <w:top w:val="single" w:sz="12" w:space="0" w:color="000000"/>
              <w:right w:val="single" w:sz="12" w:space="0" w:color="000000"/>
            </w:tcBorders>
            <w:shd w:val="clear" w:color="auto" w:fill="E7E6E6"/>
            <w:tcMar>
              <w:left w:w="0" w:type="dxa"/>
              <w:right w:w="0" w:type="dxa"/>
            </w:tcMar>
            <w:vAlign w:val="center"/>
          </w:tcPr>
          <w:p w14:paraId="1A9DCFEF" w14:textId="77777777"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t>Our study</w:t>
            </w:r>
          </w:p>
        </w:tc>
        <w:tc>
          <w:tcPr>
            <w:tcW w:w="1107" w:type="dxa"/>
            <w:tcBorders>
              <w:top w:val="single" w:sz="12" w:space="0" w:color="000000"/>
              <w:left w:val="single" w:sz="12" w:space="0" w:color="000000"/>
            </w:tcBorders>
            <w:shd w:val="clear" w:color="auto" w:fill="E7E6E6"/>
            <w:tcMar>
              <w:left w:w="0" w:type="dxa"/>
              <w:right w:w="0" w:type="dxa"/>
            </w:tcMar>
            <w:vAlign w:val="center"/>
          </w:tcPr>
          <w:p w14:paraId="333EB1E8"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1AA2D905" w14:textId="77777777"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073BDFF6" w14:textId="3514EB7D"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{"citationItems":[{"id":"ITEM-1","itemData":{"DOI":"10.1056/NEJMoa1714631","ISSN":"15334406","abstract":"BACKGROUND Cannabidiol has been used for treatment-resistant seizures in patients with severe early-onset epilepsy. We investigated the efficacy and safety of cannabidiol added to a regimen of conventional antiepileptic medication to treat drop seizures in patients with the Lennox–Gastaut syndrome, a severe developmental epileptic encephalopathy. METHODS In this double-blind, placebo-controlled trial conducted at 30 clinical centers, we randomly assigned patients with the Lennox–Gastaut syndrome (age range, 2 to 55 years) who had had two or more drop seizures per week during a 28-day baseline period to receive cannabidiol oral solution at a dose of either 20 mg per kilogram of body weight (20-mg cannabidiol group) or 10 mg per kilogram (10-mg cannabidiol group) or matching placebo, administered in two equally divided doses daily for 14 weeks. The primary outcome was the percentage change from baseline in the frequency of drop seizures (average per 28 days) during the treatment period. RESULTS A total of 225 patients were enrolled; 76 patients were assigned to the 20-mg cannabidiol group, 73 to the 10-mg cannabidiol group, and 76 to the placebo group. During the 28-day baseline period, the median number of drop seizures was 85 in all trial groups combined. The median percent reduction from baseline in drop-seizure frequency during the treatment period was 41.9% in the 20-mg cannabidiol group, 37.2% in the 10-mg cannabidiol group, and 17.2% in the placebo group (P=0.005 for the 20-mg cannabidiol group vs. placebo group, and P=0.002 for the 10-mg cannabidiol group vs. placebo group). The most common adverse events among the patients in the cannabidiol groups were somnolence, decreased appetite, and diarrhea; these events occurred more frequently in the higher-dose group. Six patients in the 20-mg cannabidiol group and 1 patient in the 10-mg cannabidiol group discontinued the trial medication because of adverse events and were withdrawn from the trial. Fourteen patients who received cannabidiol (9%) had elevated liver aminotransferase concentrations. CONCLUSIONS Among children and adults with the Lennox–Gastaut syndrome, the addition of cannabidiol at a dose of 10 mg or 20 mg per kilogram per day to a conventional antiepileptic regimen resulted in greater reductions in the frequency of drop seizures than placebo. Adverse events with cannabidiol included elevated liver aminotransferase concentrations. (Funded by GW Pharmaceuticals; GWPCARE3 ClinicalTrials.go…","author":[{"dropping-particle":"","family":"Devinsky","given":"Orrin","non-dropping-particle":"","parse-names":false,"suffix":""},{"dropping-particle":"","family":"Patel","given":"Anup D.","non-dropping-particle":"","parse-names":false,"suffix":""},{"dropping-particle":"","family":"Cross","given":"J. Helen","non-dropping-particle":"","parse-names":false,"suffix":""},{"dropping-particle":"","family":"Villanueva","given":"Vicente","non-dropping-particle":"","parse-names":false,"suffix":""},{"dropping-particle":"","family":"Wirrell","given":"Elaine C.","non-dropping-particle":"","parse-names":false,"suffix":""},{"dropping-particle":"","family":"Privitera","given":"Michael","non-dropping-particle":"","parse-names":false,"suffix":""},{"dropping-particle":"","family":"Greenwood","given":"Sam M.","non-dropping-particle":"","parse-names":false,"suffix":""},{"dropping-particle":"","family":"Roberts","given":"Claire","non-dropping-particle":"","parse-names":false,"suffix":""},{"dropping-particle":"","family":"Checketts","given":"Daniel","non-dropping-particle":"","parse-names":false,"suffix":""},{"dropping-particle":"","family":"VanLandingham","given":"Kevan E.","non-dropping-particle":"","parse-names":false,"suffix":""},{"dropping-particle":"","family":"Zuberi","given":"Sameer M.","non-dropping-particle":"","parse-names":false,"suffix":""}],"container-title":"New England Journal of Medicine","id":"ITEM-1","issue":"20","issued":{"date-parts":[["2018"]]},"page":"1888-1897","title":"Effect of cannabidiol on drop seizures in the lennox–gastaut syndrome","type":"article-journal","volume":"378"},"uris":["http://www.mendeley.com/documents/?uuid=7834fb1c-6c93-45f7-b3b9-5c23fdf57365"]}],"mendeley":{"formattedCitation":"(8)","plainTextFormattedCitation":"(8)","previouslyFormattedCitation":"(8)"},"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(8)</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tcMar>
              <w:left w:w="0" w:type="dxa"/>
              <w:right w:w="0" w:type="dxa"/>
            </w:tcMar>
            <w:vAlign w:val="center"/>
          </w:tcPr>
          <w:p w14:paraId="1F0B8935"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Thiele</w:t>
            </w:r>
          </w:p>
          <w:p w14:paraId="75280D8E" w14:textId="3D6B5FAE" w:rsidR="006F499D"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189B6982" w14:textId="1A92B72D"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sidR="006F499D">
              <w:rPr>
                <w:rFonts w:eastAsia="Arial" w:cs="Times New Roman"/>
                <w:b/>
                <w:bCs/>
                <w:i/>
                <w:iCs/>
                <w:color w:val="000000"/>
                <w:sz w:val="12"/>
                <w:szCs w:val="12"/>
              </w:rPr>
              <w:instrText>ADDIN CSL_CITATION {"citationItems":[{"id":"ITEM-1","itemData":{"DOI":"10.1016/S0140-6736(18)30136-3","ISSN":"1474547X","PMID":"29395273","abstract":"Background: Patients with Lennox-Gastaut syndrome, a rare, severe form of epileptic encephalopathy, are frequently treatment resistant to available medications. No controlled studies have investigated the use of cannabidiol for patients with seizures associated with Lennox-Gastaut syndrome. We therefore assessed the efficacy and safety of cannabidiol as an add-on anticonvulsant therapy in this population of patients. Methods: In this randomised, double-blind, placebo-controlled trial done at 24 clinical sites in the USA, the Netherlands, and Poland, we investigated the efficacy of cannabidiol as add-on therapy for drop seizures in patients with treatment-resistant Lennox-Gastaut syndrome. Eligible patients (aged 2–55 years) had Lennox-Gastaut syndrome, including a history of slow (&lt;3 Hz) spike-and-wave patterns on electroencephalogram, evidence of more than one type of generalised seizure for at least 6 months, at least two drop seizures per week during the 4-week baseline period, and had not responded to treatment with at least two antiepileptic drugs. Patients were randomly assigned (1:1) using an interactive voice response system, stratified by age group, to receive 20 mg/kg oral cannabidiol daily or matched placebo for 14 weeks. All patients, caregivers, investigators, and individuals assessing data were masked to group assignment. The primary endpoint was percentage change from baseline in monthly frequency of drop seizures during the treatment period, analysed in all patients who received at least one dose of study drug and had post-baseline efficacy data. All randomly assigned patients were included in the safety analyses. This study is registered with ClinicalTrials.gov, number NCT02224690. Findings: Between April 28, 2015, and Oct 15, 2015, we randomly assigned 171 patients to receive cannabidiol (n=86) or placebo (n=85). 14 patients in the cannabidiol group and one in the placebo group discontinued study treatment; all randomly assigned patients received at least one dose of study treatment and had post-baseline efficacy data. The median percentage reduction in monthly drop seizure frequency from baseline was 43·9% (IQR −69·6 to −1·9) in the cannibidiol group and 21·8% (IQR −45·7 to 1·7) in the placebo group. The estimated median difference between the treatment groups was −17·21 (95% CI −30·32 to −4·09; p=0·0135) during the 14-week treatment period. Adverse events occurred in 74 (86%) of 86 patients in the cannabidiol group and 59 (69%) of 85…","author":[{"dropping-particle":"","family":"Thiele","given":"Elizabeth A.","non-dropping-particle":"","parse-names":false,"suffix":""},{"dropping-particle":"","family":"Marsh","given":"Eric D.","non-dropping-particle":"","parse-names":false,"suffix":""},{"dropping-particle":"","family":"French","given":"Jacqueline A.","non-dropping-particle":"","parse-names":false,"suffix":""},{"dropping-particle":"","family":"Mazurkiewicz","given":"Maria B.","non-dropping-particle":"","parse-names":false,"suffix":""},{"dropping-particle":"","family":"Benbadis","given":"Selim R.","non-dropping-particle":"","parse-names":false,"suffix":""},{"dropping-particle":"","family":"Joshi","given":"Charuta","non-dropping-particle":"","parse-names":false,"suffix":""},{"dropping-particle":"","family":"Lyons","given":"Paul D.","non-dropping-particle":"","parse-names":false,"suffix":""},{"dropping-particle":"","family":"Taylor","given":"Adam","non-dropping-particle":"","parse-names":false,"suffix":""},{"dropping-particle":"","family":"Roberts","given":"Claire","non-dropping-particle":"","parse-names":false,"suffix":""},{"dropping-particle":"","family":"Sommerville","given":"Kenneth","non-dropping-particle":"","parse-names":false,"suffix":""},{"dropping-particle":"","family":"Gunning","given":"Boudewjin","non-dropping-particle":"","parse-names":false,"suffix":""},{"dropping-particle":"","family":"Gawlowicz","given":"Jacek","non-dropping-particle":"","parse-names":false,"suffix":""},{"dropping-particle":"","family":"Lisewski","given":"Pawel","non-dropping-particle":"","parse-names":false,"suffix":""},{"dropping-particle":"","family":"Mitosek Szewczyk","given":"Krystyna","non-dropping-particle":"","parse-names":false,"suffix":""},{"dropping-particle":"","family":"Steinborn","given":"Barbara","non-dropping-particle":"","parse-names":false,"suffix":""},{"dropping-particle":"","family":"Zolnowska","given":"Marta","non-dropping-particle":"","parse-names":false,"suffix":""},{"dropping-particle":"","family":"Hughes","given":"Elaine","non-dropping-particle":"","parse-names":false,"suffix":""},{"dropping-particle":"","family":"McLellan","given":"Ailsa","non-dropping-particle":"","parse-names":false,"suffix":""},{"dropping-particle":"","family":"Benbadis","given":"Selim R.","non-dropping-particle":"","parse-names":false,"suffix":""},{"dropping-particle":"","family":"Ciliberto","given":"Michael","non-dropping-particle":"","parse-names":false,"suffix":""},{"dropping-particle":"","family":"Clark","given":"Gary","non-dropping-particle":"","parse-names":false,"suffix":""},{"dropping-particle":"","family":"Dlugos","given":"Dennis","non-dropping-particle":"","parse-names":false,"suffix":""},{"dropping-particle":"","family":"Filloux","given":"Francis","non-dropping-particle":"","parse-names":false,"suffix":""},{"dropping-particle":"","family":"Flamini","given":"Robert","non-dropping-particle":"","parse-names":false,"suffix":""},{"dropping-particle":"","family":"French","given":"Jacqueline A.","non-dropping-particle":"","parse-names":false,"suffix":""},{"dropping-particle":"","family":"Frost","given":"Michael","non-dropping-particle":"","parse-names":false,"suffix":""},{"dropping-particle":"","family":"Haut","given":"Sheryl","non-dropping-particle":"","parse-names":false,"suffix":""},{"dropping-particle":"","family":"Joshi","given":"Charuta","non-dropping-particle":"","parse-names":false,"suffix":""},{"dropping-particle":"","family":"Kapoor","given":"Siddarth","non-dropping-particle":"","parse-names":false,"suffix":""},{"dropping-particle":"","family":"Kessler","given":"Sudha","non-dropping-particle":"","parse-names":false,"suffix":""},{"dropping-particle":"","family":"Laux","given":"Linda","non-dropping-particle":"","parse-names":false,"suffix":""},{"dropping-particle":"","family":"Lyons","given":"Paul D.","non-dropping-particle":"","parse-names":false,"suffix":""},{"dropping-particle":"","family":"Marsh","given":"Eric D.","non-dropping-particle":"","parse-names":false,"suffix":""},{"dropping-particle":"","family":"Moore","given":"David","non-dropping-particle":"","parse-names":false,"suffix":""},{"dropping-particle":"","family":"Morse","given":"Richard","non-dropping-particle":"","parse-names":false,"suffix":""},{"dropping-particle":"","family":"Nagaraddi","given":"Venkatesh","non-dropping-particle":"","parse-names":false,"suffix":""},{"dropping-particle":"","family":"Rosenfeld","given":"William","non-dropping-particle":"","parse-names":false,"suffix":""},{"dropping-particle":"","family":"Seltzer","given":"Laurie","non-dropping-particle":"","parse-names":false,"suffix":""},{"dropping-particle":"","family":"Shellhaas","given":"Renée","non-dropping-particle":"","parse-names":false,"suffix":""},{"dropping-particle":"","family":"Thiele","given":"Elizabeth A.","non-dropping-particle":"","parse-names":false,"suffix":""},{"dropping-particle":"","family":"Thio","given":"Liu Lin","non-dropping-particle":"","parse-names":false,"suffix":""},{"dropping-particle":"","family":"Wang","given":"David","non-dropping-particle":"","parse-names":false,"suffix":""},{"dropping-particle":"","family":"Wilfong","given":"Angus","non-dropping-particle":"","parse-names":false,"suffix":""}],"container-title":"The Lancet","id":"ITEM-1","issue":"10125","issued":{"date-parts":[["2018","1","1"]]},"page":"1085-1096","publisher":"Lancet Publishing Group","title":"Cannabidiol in patients with seizures associated with Lennox-Gastaut syndrome (GWPCARE4): a randomised, double-blind, placebo-controlled phase 3 trial","type":"article-journal","volume":"391"},"uris":["http://www.mendeley.com/documents/?uuid=85d8734c-4855-4c97-9a6a-236c24a89cf5"]}],"mendeley":{"formattedCitation":"(9)","plainTextFormattedCitation":"(9)","previouslyFormattedCitation":"(9)"},"properties":{"noteIndex":0},"schema":"https://github.com/citation-style-language/schema/raw/master/csl-citation.json"}</w:instrText>
            </w:r>
            <w:r w:rsidRPr="00DB55B4">
              <w:rPr>
                <w:rFonts w:eastAsia="Arial" w:cs="Times New Roman"/>
                <w:b/>
                <w:bCs/>
                <w:i/>
                <w:iCs/>
                <w:color w:val="000000"/>
                <w:sz w:val="12"/>
                <w:szCs w:val="12"/>
              </w:rPr>
              <w:fldChar w:fldCharType="separate"/>
            </w:r>
            <w:r w:rsidR="006F499D" w:rsidRPr="006F499D">
              <w:rPr>
                <w:rFonts w:eastAsia="Arial" w:cs="Times New Roman"/>
                <w:bCs/>
                <w:iCs/>
                <w:noProof/>
                <w:color w:val="000000"/>
                <w:sz w:val="12"/>
                <w:szCs w:val="12"/>
              </w:rPr>
              <w:t>(9)</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noWrap/>
            <w:tcMar>
              <w:left w:w="0" w:type="dxa"/>
              <w:right w:w="0" w:type="dxa"/>
            </w:tcMar>
            <w:vAlign w:val="center"/>
          </w:tcPr>
          <w:p w14:paraId="1D2B5CFF"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Thiele</w:t>
            </w:r>
          </w:p>
          <w:p w14:paraId="16175781" w14:textId="1CB50CB6" w:rsidR="006F499D" w:rsidRDefault="00DB55B4"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t>2019</w:t>
            </w:r>
          </w:p>
          <w:p w14:paraId="239B6207" w14:textId="65ECAC0E"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vertAlign w:val="superscript"/>
              </w:rPr>
              <w:fldChar w:fldCharType="begin" w:fldLock="1"/>
            </w:r>
            <w:r w:rsidR="006F499D">
              <w:rPr>
                <w:rFonts w:eastAsia="Arial" w:cs="Times New Roman"/>
                <w:b/>
                <w:bCs/>
                <w:i/>
                <w:iCs/>
                <w:color w:val="000000"/>
                <w:sz w:val="12"/>
                <w:szCs w:val="12"/>
                <w:vertAlign w:val="superscript"/>
              </w:rPr>
              <w:instrText>ADDIN CSL_CITATION {"citationItems":[{"id":"ITEM-1","itemData":{"DOI":"10.1111/epi.14670","ISSN":"15281167","abstract":"Objective: Patients with Lennox-Gastaut syndrome (LGS) who completed 1 of 2 randomized, double-blind, placebo-controlled trials of add-on cannabidiol (CBD) (GWPCARE3, NCT02224560 or GWPCARE4, NCT02224690) were invited to enroll in an open-label extension (OLE) study evaluating the long-term safety and efficacy of CBD (GWPCARE5, NCT02224573). Herein we present an interim analysis of the safety, efficacy, and patient-reported outcomes from this trial. Methods: Patients received a pharmaceutical formulation of highly purified CBD oral solution (Epidiolex; 100 mg/mL), titrated from 2.5 to 20 mg/kg/d over a 2-week titration period, in addition to their existing medications. Doses could be reduced if not tolerated or increased up to 30 mg/kg/d if thought to be of benefit. Results: This interim analysis was based on a November 2016 data cut. Of 368 patients who completed treatment in GWPCARE3 and GWPCARE4, 366 (99.5%) enrolled in the OLE study (GWPCARE5). Median treatment duration was 38 weeks at a mean modal dose of 23 mg/kg/d. Most patients (92.1%) experienced adverse events (AEs), primarily of mild (32.5%) or moderate (43.4%) severity. The most common AEs were diarrhea (26.8%), somnolence (23.5%), and convulsion (21.3%). Thirty-five patients (9.6%) discontinued treatment due to AEs. Liver transaminase elevations were reported in 37 patients (10.1%), of whom 29 were receiving concomitant valproic acid; 34 cases resolved spontaneously or with dose modification of CBD or concomitant medication. Median reduction from baseline in drop seizure frequency (quantified monthly over 12-week periods) ranged from 48% to 60% through week 48. Median reduction in monthly total seizure frequency ranged from 48% to 57% across all 12-week periods through week 48. Eighty-eight percent of patients/caregivers reported an improvement in the patient's overall condition per the Subject/Caregiver Global Impression of Change scale. Significance: In this study, long-term add-on CBD treatment had an acceptable safety profile in patients with LGS and led to sustained reductions in seizures.","author":[{"dropping-particle":"","family":"Thiele","given":"Elizabeth","non-dropping-particle":"","parse-names":false,"suffix":""},{"dropping-particle":"","family":"Marsh","given":"Eric","non-dropping-particle":"","parse-names":false,"suffix":""},{"dropping-particle":"","family":"Mazurkiewicz-Beldzinska","given":"Maria","non-dropping-particle":"","parse-names":false,"suffix":""},{"dropping-particle":"","family":"Halford","given":"Jonathan J.","non-dropping-particle":"","parse-names":false,"suffix":""},{"dropping-particle":"","family":"Gunning","given":"Boudewijn","non-dropping-particle":"","parse-names":false,"suffix":""},{"dropping-particle":"","family":"Devinsky","given":"Orrin","non-dropping-particle":"","parse-names":false,"suffix":""},{"dropping-particle":"","family":"Checketts","given":"Daniel","non-dropping-particle":"","parse-names":false,"suffix":""},{"dropping-particle":"","family":"Roberts","given":"Claire","non-dropping-particle":"","parse-names":false,"suffix":""}],"container-title":"Epilepsia","id":"ITEM-1","issue":"3","issued":{"date-parts":[["2019"]]},"page":"419-428","title":"Cannabidiol in patients with Lennox-Gastaut syndrome: Interim analysis of an open-label extension study","type":"article-journal","volume":"60"},"uris":["http://www.mendeley.com/documents/?uuid=08254421-45a9-4708-85aa-ab7ba53ba1d1"]}],"mendeley":{"formattedCitation":"(10)","plainTextFormattedCitation":"(10)","previouslyFormattedCitation":"(10)"},"properties":{"noteIndex":0},"schema":"https://github.com/citation-style-language/schema/raw/master/csl-citation.json"}</w:instrText>
            </w:r>
            <w:r w:rsidRPr="00DB55B4">
              <w:rPr>
                <w:rFonts w:eastAsia="Arial" w:cs="Times New Roman"/>
                <w:b/>
                <w:bCs/>
                <w:i/>
                <w:iCs/>
                <w:color w:val="000000"/>
                <w:sz w:val="12"/>
                <w:szCs w:val="12"/>
                <w:vertAlign w:val="superscript"/>
              </w:rPr>
              <w:fldChar w:fldCharType="separate"/>
            </w:r>
            <w:r w:rsidR="006F499D" w:rsidRPr="006F499D">
              <w:rPr>
                <w:rFonts w:eastAsia="Arial" w:cs="Times New Roman"/>
                <w:bCs/>
                <w:iCs/>
                <w:noProof/>
                <w:color w:val="000000"/>
                <w:sz w:val="12"/>
                <w:szCs w:val="12"/>
              </w:rPr>
              <w:t>(10)</w:t>
            </w:r>
            <w:r w:rsidRPr="00DB55B4">
              <w:rPr>
                <w:rFonts w:eastAsia="Arial" w:cs="Times New Roman"/>
                <w:b/>
                <w:bCs/>
                <w:i/>
                <w:iCs/>
                <w:color w:val="000000"/>
                <w:sz w:val="12"/>
                <w:szCs w:val="12"/>
                <w:vertAlign w:val="superscript"/>
              </w:rPr>
              <w:fldChar w:fldCharType="end"/>
            </w:r>
          </w:p>
        </w:tc>
        <w:tc>
          <w:tcPr>
            <w:tcW w:w="878" w:type="dxa"/>
            <w:tcBorders>
              <w:top w:val="single" w:sz="12" w:space="0" w:color="000000"/>
              <w:right w:val="single" w:sz="12" w:space="0" w:color="000000"/>
            </w:tcBorders>
            <w:shd w:val="clear" w:color="auto" w:fill="E7E6E6"/>
            <w:tcMar>
              <w:left w:w="0" w:type="dxa"/>
              <w:right w:w="0" w:type="dxa"/>
            </w:tcMar>
            <w:vAlign w:val="center"/>
          </w:tcPr>
          <w:p w14:paraId="1B0C73A6" w14:textId="77777777" w:rsidR="00DB55B4" w:rsidRPr="00DB55B4" w:rsidRDefault="00DB55B4"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t>Our study</w:t>
            </w:r>
          </w:p>
        </w:tc>
      </w:tr>
      <w:tr w:rsidR="00DB55B4" w:rsidRPr="00DB55B4" w14:paraId="77A16222" w14:textId="77777777" w:rsidTr="00591A66">
        <w:trPr>
          <w:trHeight w:val="300"/>
          <w:jc w:val="center"/>
        </w:trPr>
        <w:tc>
          <w:tcPr>
            <w:tcW w:w="1388" w:type="dxa"/>
            <w:tcBorders>
              <w:right w:val="single" w:sz="12" w:space="0" w:color="000000"/>
            </w:tcBorders>
            <w:shd w:val="clear" w:color="auto" w:fill="auto"/>
            <w:noWrap/>
            <w:vAlign w:val="center"/>
          </w:tcPr>
          <w:p w14:paraId="45C9626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Number of patients</w:t>
            </w:r>
          </w:p>
          <w:p w14:paraId="59D10B0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(Safety/efficacy)</w:t>
            </w:r>
          </w:p>
        </w:tc>
        <w:tc>
          <w:tcPr>
            <w:tcW w:w="992" w:type="dxa"/>
            <w:tcBorders>
              <w:left w:val="single" w:sz="12" w:space="0" w:color="000000"/>
            </w:tcBorders>
            <w:shd w:val="clear" w:color="auto" w:fill="auto"/>
            <w:noWrap/>
            <w:tcMar>
              <w:left w:w="0" w:type="dxa"/>
              <w:right w:w="0" w:type="dxa"/>
            </w:tcMar>
            <w:vAlign w:val="center"/>
          </w:tcPr>
          <w:p w14:paraId="43A187F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162 / 137</w:t>
            </w:r>
          </w:p>
        </w:tc>
        <w:tc>
          <w:tcPr>
            <w:tcW w:w="992" w:type="dxa"/>
            <w:shd w:val="clear" w:color="auto" w:fill="auto"/>
            <w:tcMar>
              <w:left w:w="0" w:type="dxa"/>
              <w:right w:w="0" w:type="dxa"/>
            </w:tcMar>
            <w:vAlign w:val="center"/>
          </w:tcPr>
          <w:p w14:paraId="26EA59A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607/580</w:t>
            </w:r>
          </w:p>
        </w:tc>
        <w:tc>
          <w:tcPr>
            <w:tcW w:w="992" w:type="dxa"/>
            <w:tcMar>
              <w:left w:w="0" w:type="dxa"/>
              <w:right w:w="0" w:type="dxa"/>
            </w:tcMar>
            <w:vAlign w:val="center"/>
          </w:tcPr>
          <w:p w14:paraId="077D979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152/147</w:t>
            </w:r>
          </w:p>
        </w:tc>
        <w:tc>
          <w:tcPr>
            <w:tcW w:w="876" w:type="dxa"/>
            <w:tcBorders>
              <w:right w:val="single" w:sz="12" w:space="0" w:color="000000"/>
            </w:tcBorders>
            <w:tcMar>
              <w:left w:w="0" w:type="dxa"/>
              <w:right w:w="0" w:type="dxa"/>
            </w:tcMar>
            <w:vAlign w:val="center"/>
          </w:tcPr>
          <w:p w14:paraId="782C1E8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125</w:t>
            </w:r>
          </w:p>
        </w:tc>
        <w:tc>
          <w:tcPr>
            <w:tcW w:w="1108" w:type="dxa"/>
            <w:tcBorders>
              <w:left w:val="single" w:sz="12" w:space="0" w:color="000000"/>
            </w:tcBorders>
            <w:shd w:val="clear" w:color="auto" w:fill="auto"/>
            <w:noWrap/>
            <w:tcMar>
              <w:left w:w="0" w:type="dxa"/>
              <w:right w:w="0" w:type="dxa"/>
            </w:tcMar>
            <w:vAlign w:val="center"/>
          </w:tcPr>
          <w:p w14:paraId="4F9B986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61</w:t>
            </w:r>
          </w:p>
        </w:tc>
        <w:tc>
          <w:tcPr>
            <w:tcW w:w="992" w:type="dxa"/>
            <w:tcMar>
              <w:left w:w="0" w:type="dxa"/>
              <w:right w:w="0" w:type="dxa"/>
            </w:tcMar>
            <w:vAlign w:val="center"/>
          </w:tcPr>
          <w:p w14:paraId="1F336BC9" w14:textId="77777777" w:rsidR="00DB55B4" w:rsidRPr="00DB55B4" w:rsidRDefault="00DB55B4" w:rsidP="00591A66">
            <w:pPr>
              <w:spacing w:before="0" w:after="0"/>
              <w:jc w:val="center"/>
              <w:rPr>
                <w:rFonts w:eastAsia="Calibri" w:cs="Times New Roman"/>
                <w:sz w:val="12"/>
                <w:szCs w:val="12"/>
              </w:rPr>
            </w:pPr>
            <w:r w:rsidRPr="00DB55B4">
              <w:rPr>
                <w:rFonts w:eastAsia="Arial" w:cs="Times New Roman"/>
                <w:b/>
                <w:bCs/>
                <w:i/>
                <w:iCs/>
                <w:color w:val="000000"/>
                <w:sz w:val="12"/>
                <w:szCs w:val="12"/>
              </w:rPr>
              <w:t>34</w:t>
            </w:r>
          </w:p>
        </w:tc>
        <w:tc>
          <w:tcPr>
            <w:tcW w:w="992" w:type="dxa"/>
            <w:shd w:val="clear" w:color="auto" w:fill="auto"/>
            <w:tcMar>
              <w:left w:w="0" w:type="dxa"/>
              <w:right w:w="0" w:type="dxa"/>
            </w:tcMar>
            <w:vAlign w:val="center"/>
          </w:tcPr>
          <w:p w14:paraId="12BABDD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264</w:t>
            </w:r>
          </w:p>
        </w:tc>
        <w:tc>
          <w:tcPr>
            <w:tcW w:w="992" w:type="dxa"/>
            <w:tcMar>
              <w:left w:w="0" w:type="dxa"/>
              <w:right w:w="0" w:type="dxa"/>
            </w:tcMar>
            <w:vAlign w:val="center"/>
          </w:tcPr>
          <w:p w14:paraId="2112717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133</w:t>
            </w:r>
          </w:p>
        </w:tc>
        <w:tc>
          <w:tcPr>
            <w:tcW w:w="877" w:type="dxa"/>
            <w:tcBorders>
              <w:right w:val="single" w:sz="12" w:space="0" w:color="000000"/>
            </w:tcBorders>
            <w:tcMar>
              <w:left w:w="0" w:type="dxa"/>
              <w:right w:w="0" w:type="dxa"/>
            </w:tcMar>
            <w:vAlign w:val="center"/>
          </w:tcPr>
          <w:p w14:paraId="5B97EC8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48</w:t>
            </w:r>
          </w:p>
        </w:tc>
        <w:tc>
          <w:tcPr>
            <w:tcW w:w="1107" w:type="dxa"/>
            <w:tcBorders>
              <w:left w:val="single" w:sz="12" w:space="0" w:color="000000"/>
            </w:tcBorders>
            <w:shd w:val="clear" w:color="auto" w:fill="auto"/>
            <w:tcMar>
              <w:left w:w="0" w:type="dxa"/>
              <w:right w:w="0" w:type="dxa"/>
            </w:tcMar>
            <w:vAlign w:val="center"/>
          </w:tcPr>
          <w:p w14:paraId="6E5A9C8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73, 76</w:t>
            </w:r>
          </w:p>
        </w:tc>
        <w:tc>
          <w:tcPr>
            <w:tcW w:w="992" w:type="dxa"/>
            <w:shd w:val="clear" w:color="auto" w:fill="auto"/>
            <w:tcMar>
              <w:left w:w="0" w:type="dxa"/>
              <w:right w:w="0" w:type="dxa"/>
            </w:tcMar>
            <w:vAlign w:val="center"/>
          </w:tcPr>
          <w:p w14:paraId="2534204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86</w:t>
            </w:r>
          </w:p>
        </w:tc>
        <w:tc>
          <w:tcPr>
            <w:tcW w:w="992" w:type="dxa"/>
            <w:shd w:val="clear" w:color="auto" w:fill="auto"/>
            <w:noWrap/>
            <w:tcMar>
              <w:left w:w="0" w:type="dxa"/>
              <w:right w:w="0" w:type="dxa"/>
            </w:tcMar>
            <w:vAlign w:val="center"/>
          </w:tcPr>
          <w:p w14:paraId="5BC6AB2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366</w:t>
            </w:r>
          </w:p>
        </w:tc>
        <w:tc>
          <w:tcPr>
            <w:tcW w:w="878" w:type="dxa"/>
            <w:tcBorders>
              <w:right w:val="single" w:sz="12" w:space="0" w:color="000000"/>
            </w:tcBorders>
            <w:tcMar>
              <w:left w:w="0" w:type="dxa"/>
              <w:right w:w="0" w:type="dxa"/>
            </w:tcMar>
            <w:vAlign w:val="center"/>
          </w:tcPr>
          <w:p w14:paraId="6FA0672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62</w:t>
            </w:r>
          </w:p>
        </w:tc>
      </w:tr>
      <w:tr w:rsidR="00DB55B4" w:rsidRPr="00DB55B4" w14:paraId="3C543AC6" w14:textId="77777777" w:rsidTr="00591A66">
        <w:trPr>
          <w:trHeight w:val="300"/>
          <w:jc w:val="center"/>
        </w:trPr>
        <w:tc>
          <w:tcPr>
            <w:tcW w:w="1388" w:type="dxa"/>
            <w:tcBorders>
              <w:right w:val="single" w:sz="12" w:space="0" w:color="000000"/>
            </w:tcBorders>
            <w:noWrap/>
            <w:vAlign w:val="center"/>
            <w:hideMark/>
          </w:tcPr>
          <w:p w14:paraId="053EAA0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Age (years)</w:t>
            </w:r>
          </w:p>
        </w:tc>
        <w:tc>
          <w:tcPr>
            <w:tcW w:w="992" w:type="dxa"/>
            <w:tcBorders>
              <w:left w:val="single" w:sz="12" w:space="0" w:color="000000"/>
            </w:tcBorders>
            <w:noWrap/>
            <w:tcMar>
              <w:left w:w="0" w:type="dxa"/>
              <w:right w:w="0" w:type="dxa"/>
            </w:tcMar>
            <w:vAlign w:val="center"/>
            <w:hideMark/>
          </w:tcPr>
          <w:p w14:paraId="500D121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10.5 (0.9-26.2)</w:t>
            </w:r>
          </w:p>
        </w:tc>
        <w:tc>
          <w:tcPr>
            <w:tcW w:w="992" w:type="dxa"/>
            <w:tcMar>
              <w:left w:w="0" w:type="dxa"/>
              <w:right w:w="0" w:type="dxa"/>
            </w:tcMar>
            <w:vAlign w:val="center"/>
          </w:tcPr>
          <w:p w14:paraId="207B4CB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13.2 (0.4‐62.1)</w:t>
            </w:r>
          </w:p>
        </w:tc>
        <w:tc>
          <w:tcPr>
            <w:tcW w:w="992" w:type="dxa"/>
            <w:tcMar>
              <w:left w:w="0" w:type="dxa"/>
              <w:right w:w="0" w:type="dxa"/>
            </w:tcMar>
            <w:vAlign w:val="center"/>
          </w:tcPr>
          <w:p w14:paraId="353A5B2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12 (1.7-51)</w:t>
            </w:r>
          </w:p>
        </w:tc>
        <w:tc>
          <w:tcPr>
            <w:tcW w:w="876" w:type="dxa"/>
            <w:tcBorders>
              <w:right w:val="single" w:sz="12" w:space="0" w:color="000000"/>
            </w:tcBorders>
            <w:tcMar>
              <w:left w:w="0" w:type="dxa"/>
              <w:right w:w="0" w:type="dxa"/>
            </w:tcMar>
            <w:vAlign w:val="center"/>
          </w:tcPr>
          <w:p w14:paraId="1AC79EC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 [6-14]</w:t>
            </w:r>
          </w:p>
        </w:tc>
        <w:tc>
          <w:tcPr>
            <w:tcW w:w="1108" w:type="dxa"/>
            <w:tcBorders>
              <w:left w:val="single" w:sz="12" w:space="0" w:color="000000"/>
            </w:tcBorders>
            <w:noWrap/>
            <w:tcMar>
              <w:left w:w="0" w:type="dxa"/>
              <w:right w:w="0" w:type="dxa"/>
            </w:tcMar>
            <w:vAlign w:val="center"/>
            <w:hideMark/>
          </w:tcPr>
          <w:p w14:paraId="7722967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9.1 [2.5–18.0]</w:t>
            </w:r>
          </w:p>
        </w:tc>
        <w:tc>
          <w:tcPr>
            <w:tcW w:w="992" w:type="dxa"/>
            <w:tcMar>
              <w:left w:w="0" w:type="dxa"/>
              <w:right w:w="0" w:type="dxa"/>
            </w:tcMar>
            <w:vAlign w:val="center"/>
          </w:tcPr>
          <w:p w14:paraId="04F4896A" w14:textId="77777777" w:rsidR="00DB55B4" w:rsidRPr="00DB55B4" w:rsidRDefault="00DB55B4" w:rsidP="00591A66">
            <w:pPr>
              <w:spacing w:before="0" w:after="0"/>
              <w:jc w:val="center"/>
              <w:rPr>
                <w:rFonts w:eastAsia="Calibri" w:cs="Times New Roman"/>
                <w:sz w:val="12"/>
                <w:szCs w:val="12"/>
              </w:rPr>
            </w:pPr>
            <w:r w:rsidRPr="00DB55B4">
              <w:rPr>
                <w:rFonts w:eastAsia="Arial" w:cs="Times New Roman"/>
                <w:color w:val="000000"/>
                <w:sz w:val="12"/>
                <w:szCs w:val="12"/>
              </w:rPr>
              <w:t>7.6</w:t>
            </w:r>
            <w:r w:rsidRPr="00DB55B4">
              <w:rPr>
                <w:rFonts w:eastAsia="Calibri" w:cs="Times New Roman"/>
                <w:sz w:val="12"/>
                <w:szCs w:val="12"/>
              </w:rPr>
              <w:t>±1.8</w:t>
            </w:r>
          </w:p>
        </w:tc>
        <w:tc>
          <w:tcPr>
            <w:tcW w:w="992" w:type="dxa"/>
            <w:tcMar>
              <w:left w:w="0" w:type="dxa"/>
              <w:right w:w="0" w:type="dxa"/>
            </w:tcMar>
            <w:vAlign w:val="center"/>
          </w:tcPr>
          <w:p w14:paraId="344863F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9.3 (2.5-19.3)</w:t>
            </w:r>
          </w:p>
        </w:tc>
        <w:tc>
          <w:tcPr>
            <w:tcW w:w="992" w:type="dxa"/>
            <w:tcMar>
              <w:left w:w="0" w:type="dxa"/>
              <w:right w:w="0" w:type="dxa"/>
            </w:tcMar>
            <w:vAlign w:val="center"/>
          </w:tcPr>
          <w:p w14:paraId="583037B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9.2 (2.3-17.7)</w:t>
            </w:r>
          </w:p>
          <w:p w14:paraId="4CD5AB9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9.3 (2.2-18.9)</w:t>
            </w:r>
          </w:p>
        </w:tc>
        <w:tc>
          <w:tcPr>
            <w:tcW w:w="877" w:type="dxa"/>
            <w:tcBorders>
              <w:right w:val="single" w:sz="12" w:space="0" w:color="000000"/>
            </w:tcBorders>
            <w:tcMar>
              <w:left w:w="0" w:type="dxa"/>
              <w:right w:w="0" w:type="dxa"/>
            </w:tcMar>
            <w:vAlign w:val="center"/>
          </w:tcPr>
          <w:p w14:paraId="3C257AD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 [5-10.3]</w:t>
            </w:r>
          </w:p>
        </w:tc>
        <w:tc>
          <w:tcPr>
            <w:tcW w:w="1107" w:type="dxa"/>
            <w:tcBorders>
              <w:left w:val="single" w:sz="12" w:space="0" w:color="000000"/>
            </w:tcBorders>
            <w:tcMar>
              <w:left w:w="0" w:type="dxa"/>
              <w:right w:w="0" w:type="dxa"/>
            </w:tcMar>
            <w:vAlign w:val="center"/>
          </w:tcPr>
          <w:p w14:paraId="04E6EEB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15.4 ± 9.5</w:t>
            </w:r>
          </w:p>
          <w:p w14:paraId="2A609D1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16 ± 10.8</w:t>
            </w:r>
          </w:p>
        </w:tc>
        <w:tc>
          <w:tcPr>
            <w:tcW w:w="992" w:type="dxa"/>
            <w:tcMar>
              <w:left w:w="0" w:type="dxa"/>
              <w:right w:w="0" w:type="dxa"/>
            </w:tcMar>
            <w:vAlign w:val="center"/>
          </w:tcPr>
          <w:p w14:paraId="5776BD6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14.2 (2.7–39.0)</w:t>
            </w:r>
          </w:p>
        </w:tc>
        <w:tc>
          <w:tcPr>
            <w:tcW w:w="992" w:type="dxa"/>
            <w:noWrap/>
            <w:tcMar>
              <w:left w:w="0" w:type="dxa"/>
              <w:right w:w="0" w:type="dxa"/>
            </w:tcMar>
            <w:vAlign w:val="center"/>
            <w:hideMark/>
          </w:tcPr>
          <w:p w14:paraId="014C76D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13.7 (3.0‐48.3)</w:t>
            </w:r>
          </w:p>
        </w:tc>
        <w:tc>
          <w:tcPr>
            <w:tcW w:w="878" w:type="dxa"/>
            <w:tcBorders>
              <w:right w:val="single" w:sz="12" w:space="0" w:color="000000"/>
            </w:tcBorders>
            <w:tcMar>
              <w:left w:w="0" w:type="dxa"/>
              <w:right w:w="0" w:type="dxa"/>
            </w:tcMar>
            <w:vAlign w:val="center"/>
          </w:tcPr>
          <w:p w14:paraId="6D7854A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13 [8.25-15.8]</w:t>
            </w:r>
          </w:p>
        </w:tc>
      </w:tr>
      <w:tr w:rsidR="00DB55B4" w:rsidRPr="00DB55B4" w14:paraId="60922C4F" w14:textId="77777777" w:rsidTr="00591A66">
        <w:trPr>
          <w:trHeight w:val="300"/>
          <w:jc w:val="center"/>
        </w:trPr>
        <w:tc>
          <w:tcPr>
            <w:tcW w:w="1388" w:type="dxa"/>
            <w:tcBorders>
              <w:right w:val="single" w:sz="12" w:space="0" w:color="000000"/>
            </w:tcBorders>
            <w:noWrap/>
            <w:vAlign w:val="center"/>
          </w:tcPr>
          <w:p w14:paraId="065F947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Gender (male)</w:t>
            </w:r>
          </w:p>
        </w:tc>
        <w:tc>
          <w:tcPr>
            <w:tcW w:w="992" w:type="dxa"/>
            <w:tcBorders>
              <w:left w:val="single" w:sz="12" w:space="0" w:color="000000"/>
            </w:tcBorders>
            <w:noWrap/>
            <w:tcMar>
              <w:left w:w="0" w:type="dxa"/>
              <w:right w:w="0" w:type="dxa"/>
            </w:tcMar>
            <w:vAlign w:val="center"/>
          </w:tcPr>
          <w:p w14:paraId="1BCFB7E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80 (49%)</w:t>
            </w:r>
          </w:p>
        </w:tc>
        <w:tc>
          <w:tcPr>
            <w:tcW w:w="992" w:type="dxa"/>
            <w:tcMar>
              <w:left w:w="0" w:type="dxa"/>
              <w:right w:w="0" w:type="dxa"/>
            </w:tcMar>
            <w:vAlign w:val="center"/>
          </w:tcPr>
          <w:p w14:paraId="0ACFF45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313 (52%)</w:t>
            </w:r>
          </w:p>
        </w:tc>
        <w:tc>
          <w:tcPr>
            <w:tcW w:w="992" w:type="dxa"/>
            <w:tcMar>
              <w:left w:w="0" w:type="dxa"/>
              <w:right w:w="0" w:type="dxa"/>
            </w:tcMar>
            <w:vAlign w:val="center"/>
          </w:tcPr>
          <w:p w14:paraId="66DE518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93 (61%)</w:t>
            </w:r>
          </w:p>
        </w:tc>
        <w:tc>
          <w:tcPr>
            <w:tcW w:w="876" w:type="dxa"/>
            <w:tcBorders>
              <w:right w:val="single" w:sz="12" w:space="0" w:color="000000"/>
            </w:tcBorders>
            <w:tcMar>
              <w:left w:w="0" w:type="dxa"/>
              <w:right w:w="0" w:type="dxa"/>
            </w:tcMar>
            <w:vAlign w:val="center"/>
          </w:tcPr>
          <w:p w14:paraId="79EA754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59 (47.2%)</w:t>
            </w:r>
          </w:p>
        </w:tc>
        <w:tc>
          <w:tcPr>
            <w:tcW w:w="1108" w:type="dxa"/>
            <w:tcBorders>
              <w:left w:val="single" w:sz="12" w:space="0" w:color="000000"/>
            </w:tcBorders>
            <w:noWrap/>
            <w:tcMar>
              <w:left w:w="0" w:type="dxa"/>
              <w:right w:w="0" w:type="dxa"/>
            </w:tcMar>
            <w:vAlign w:val="center"/>
          </w:tcPr>
          <w:p w14:paraId="32A2A28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35 (57%)</w:t>
            </w:r>
          </w:p>
        </w:tc>
        <w:tc>
          <w:tcPr>
            <w:tcW w:w="992" w:type="dxa"/>
            <w:tcMar>
              <w:left w:w="0" w:type="dxa"/>
              <w:right w:w="0" w:type="dxa"/>
            </w:tcMar>
            <w:vAlign w:val="center"/>
          </w:tcPr>
          <w:p w14:paraId="2440E3D7" w14:textId="77777777" w:rsidR="00DB55B4" w:rsidRPr="00DB55B4" w:rsidRDefault="00DB55B4" w:rsidP="00591A66">
            <w:pPr>
              <w:spacing w:before="0" w:after="0"/>
              <w:jc w:val="center"/>
              <w:rPr>
                <w:rFonts w:eastAsia="Calibri" w:cs="Times New Roman"/>
                <w:sz w:val="12"/>
                <w:szCs w:val="12"/>
              </w:rPr>
            </w:pPr>
            <w:r w:rsidRPr="00DB55B4">
              <w:rPr>
                <w:rFonts w:eastAsia="Arial" w:cs="Times New Roman"/>
                <w:i/>
                <w:iCs/>
                <w:color w:val="000000"/>
                <w:sz w:val="12"/>
                <w:szCs w:val="12"/>
              </w:rPr>
              <w:t>16 (47%)</w:t>
            </w:r>
          </w:p>
        </w:tc>
        <w:tc>
          <w:tcPr>
            <w:tcW w:w="992" w:type="dxa"/>
            <w:tcMar>
              <w:left w:w="0" w:type="dxa"/>
              <w:right w:w="0" w:type="dxa"/>
            </w:tcMar>
            <w:vAlign w:val="center"/>
          </w:tcPr>
          <w:p w14:paraId="687172B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133 (50%)</w:t>
            </w:r>
          </w:p>
        </w:tc>
        <w:tc>
          <w:tcPr>
            <w:tcW w:w="992" w:type="dxa"/>
            <w:tcMar>
              <w:left w:w="0" w:type="dxa"/>
              <w:right w:w="0" w:type="dxa"/>
            </w:tcMar>
            <w:vAlign w:val="center"/>
          </w:tcPr>
          <w:p w14:paraId="6349C3F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27 (41%)</w:t>
            </w:r>
          </w:p>
          <w:p w14:paraId="1FF0E35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36 (54%)</w:t>
            </w:r>
          </w:p>
        </w:tc>
        <w:tc>
          <w:tcPr>
            <w:tcW w:w="877" w:type="dxa"/>
            <w:tcBorders>
              <w:right w:val="single" w:sz="12" w:space="0" w:color="000000"/>
            </w:tcBorders>
            <w:tcMar>
              <w:left w:w="0" w:type="dxa"/>
              <w:right w:w="0" w:type="dxa"/>
            </w:tcMar>
            <w:vAlign w:val="center"/>
          </w:tcPr>
          <w:p w14:paraId="774EEC1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18 (37.5%)</w:t>
            </w:r>
          </w:p>
        </w:tc>
        <w:tc>
          <w:tcPr>
            <w:tcW w:w="1107" w:type="dxa"/>
            <w:tcBorders>
              <w:left w:val="single" w:sz="12" w:space="0" w:color="000000"/>
            </w:tcBorders>
            <w:tcMar>
              <w:left w:w="0" w:type="dxa"/>
              <w:right w:w="0" w:type="dxa"/>
            </w:tcMar>
            <w:vAlign w:val="center"/>
          </w:tcPr>
          <w:p w14:paraId="29C49DA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40 (55%),</w:t>
            </w:r>
          </w:p>
          <w:p w14:paraId="76E1D5F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45 (59%)</w:t>
            </w:r>
          </w:p>
        </w:tc>
        <w:tc>
          <w:tcPr>
            <w:tcW w:w="992" w:type="dxa"/>
            <w:tcMar>
              <w:left w:w="0" w:type="dxa"/>
              <w:right w:w="0" w:type="dxa"/>
            </w:tcMar>
            <w:vAlign w:val="center"/>
          </w:tcPr>
          <w:p w14:paraId="50DAD9B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45 (52%)</w:t>
            </w:r>
          </w:p>
        </w:tc>
        <w:tc>
          <w:tcPr>
            <w:tcW w:w="992" w:type="dxa"/>
            <w:noWrap/>
            <w:tcMar>
              <w:left w:w="0" w:type="dxa"/>
              <w:right w:w="0" w:type="dxa"/>
            </w:tcMar>
            <w:vAlign w:val="center"/>
          </w:tcPr>
          <w:p w14:paraId="76E04D0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198 (54%)</w:t>
            </w:r>
          </w:p>
        </w:tc>
        <w:tc>
          <w:tcPr>
            <w:tcW w:w="878" w:type="dxa"/>
            <w:tcBorders>
              <w:right w:val="single" w:sz="12" w:space="0" w:color="000000"/>
            </w:tcBorders>
            <w:tcMar>
              <w:left w:w="0" w:type="dxa"/>
              <w:right w:w="0" w:type="dxa"/>
            </w:tcMar>
            <w:vAlign w:val="center"/>
          </w:tcPr>
          <w:p w14:paraId="15F7DAD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35 (56.4%)</w:t>
            </w:r>
          </w:p>
        </w:tc>
      </w:tr>
      <w:tr w:rsidR="00DB55B4" w:rsidRPr="00DB55B4" w14:paraId="7B6B628B" w14:textId="77777777" w:rsidTr="00591A66">
        <w:trPr>
          <w:trHeight w:val="300"/>
          <w:jc w:val="center"/>
        </w:trPr>
        <w:tc>
          <w:tcPr>
            <w:tcW w:w="1388" w:type="dxa"/>
            <w:tcBorders>
              <w:right w:val="single" w:sz="12" w:space="0" w:color="000000"/>
            </w:tcBorders>
            <w:noWrap/>
            <w:vAlign w:val="center"/>
            <w:hideMark/>
          </w:tcPr>
          <w:p w14:paraId="62BACF3A" w14:textId="77777777" w:rsidR="00DB55B4" w:rsidRPr="00DB55B4" w:rsidRDefault="00DB55B4" w:rsidP="00591A66">
            <w:pPr>
              <w:spacing w:before="0" w:after="0"/>
              <w:jc w:val="center"/>
              <w:rPr>
                <w:rFonts w:eastAsia="Calibri" w:cs="Times New Roman"/>
                <w:b/>
                <w:bCs/>
                <w:sz w:val="12"/>
                <w:szCs w:val="12"/>
              </w:rPr>
            </w:pPr>
            <w:r w:rsidRPr="00DB55B4">
              <w:rPr>
                <w:rFonts w:eastAsia="Calibri" w:cs="Times New Roman"/>
                <w:b/>
                <w:bCs/>
                <w:sz w:val="12"/>
                <w:szCs w:val="12"/>
              </w:rPr>
              <w:t>Dravet</w:t>
            </w:r>
          </w:p>
        </w:tc>
        <w:tc>
          <w:tcPr>
            <w:tcW w:w="992" w:type="dxa"/>
            <w:tcBorders>
              <w:left w:val="single" w:sz="12" w:space="0" w:color="000000"/>
            </w:tcBorders>
            <w:noWrap/>
            <w:tcMar>
              <w:left w:w="0" w:type="dxa"/>
              <w:right w:w="0" w:type="dxa"/>
            </w:tcMar>
            <w:vAlign w:val="center"/>
            <w:hideMark/>
          </w:tcPr>
          <w:p w14:paraId="33ACDFE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33 (20%)</w:t>
            </w:r>
          </w:p>
        </w:tc>
        <w:tc>
          <w:tcPr>
            <w:tcW w:w="992" w:type="dxa"/>
            <w:tcMar>
              <w:left w:w="0" w:type="dxa"/>
              <w:right w:w="0" w:type="dxa"/>
            </w:tcMar>
            <w:vAlign w:val="center"/>
          </w:tcPr>
          <w:p w14:paraId="0A176A9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58 (10%)</w:t>
            </w:r>
          </w:p>
        </w:tc>
        <w:tc>
          <w:tcPr>
            <w:tcW w:w="992" w:type="dxa"/>
            <w:tcMar>
              <w:left w:w="0" w:type="dxa"/>
              <w:right w:w="0" w:type="dxa"/>
            </w:tcMar>
            <w:vAlign w:val="center"/>
          </w:tcPr>
          <w:p w14:paraId="3F61782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58 (39%)</w:t>
            </w:r>
          </w:p>
        </w:tc>
        <w:tc>
          <w:tcPr>
            <w:tcW w:w="876" w:type="dxa"/>
            <w:tcBorders>
              <w:right w:val="single" w:sz="12" w:space="0" w:color="000000"/>
            </w:tcBorders>
            <w:tcMar>
              <w:left w:w="0" w:type="dxa"/>
              <w:right w:w="0" w:type="dxa"/>
            </w:tcMar>
            <w:vAlign w:val="center"/>
          </w:tcPr>
          <w:p w14:paraId="194C353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48 (38.4%)</w:t>
            </w:r>
          </w:p>
        </w:tc>
        <w:tc>
          <w:tcPr>
            <w:tcW w:w="1108" w:type="dxa"/>
            <w:tcBorders>
              <w:left w:val="single" w:sz="12" w:space="0" w:color="000000"/>
            </w:tcBorders>
            <w:noWrap/>
            <w:tcMar>
              <w:left w:w="0" w:type="dxa"/>
              <w:right w:w="0" w:type="dxa"/>
            </w:tcMar>
            <w:vAlign w:val="center"/>
            <w:hideMark/>
          </w:tcPr>
          <w:p w14:paraId="1BA20A7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61 (100%)</w:t>
            </w:r>
          </w:p>
        </w:tc>
        <w:tc>
          <w:tcPr>
            <w:tcW w:w="992" w:type="dxa"/>
            <w:tcMar>
              <w:left w:w="0" w:type="dxa"/>
              <w:right w:w="0" w:type="dxa"/>
            </w:tcMar>
            <w:vAlign w:val="center"/>
          </w:tcPr>
          <w:p w14:paraId="3277893D" w14:textId="77777777" w:rsidR="00DB55B4" w:rsidRPr="00DB55B4" w:rsidRDefault="00DB55B4" w:rsidP="00591A66">
            <w:pPr>
              <w:spacing w:before="0" w:after="0"/>
              <w:jc w:val="center"/>
              <w:rPr>
                <w:rFonts w:eastAsia="Calibri" w:cs="Times New Roman"/>
                <w:sz w:val="12"/>
                <w:szCs w:val="12"/>
              </w:rPr>
            </w:pPr>
            <w:r w:rsidRPr="00DB55B4">
              <w:rPr>
                <w:rFonts w:eastAsia="Arial" w:cs="Times New Roman"/>
                <w:color w:val="000000"/>
                <w:sz w:val="12"/>
                <w:szCs w:val="12"/>
              </w:rPr>
              <w:t>34 (100%)</w:t>
            </w:r>
          </w:p>
        </w:tc>
        <w:tc>
          <w:tcPr>
            <w:tcW w:w="992" w:type="dxa"/>
            <w:tcMar>
              <w:left w:w="0" w:type="dxa"/>
              <w:right w:w="0" w:type="dxa"/>
            </w:tcMar>
            <w:vAlign w:val="center"/>
          </w:tcPr>
          <w:p w14:paraId="2ED8AA2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264 (100%)</w:t>
            </w:r>
          </w:p>
        </w:tc>
        <w:tc>
          <w:tcPr>
            <w:tcW w:w="992" w:type="dxa"/>
            <w:tcMar>
              <w:left w:w="0" w:type="dxa"/>
              <w:right w:w="0" w:type="dxa"/>
            </w:tcMar>
            <w:vAlign w:val="center"/>
          </w:tcPr>
          <w:p w14:paraId="4903539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66 (100%)</w:t>
            </w:r>
          </w:p>
          <w:p w14:paraId="1FAB542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67 (100%)</w:t>
            </w:r>
          </w:p>
        </w:tc>
        <w:tc>
          <w:tcPr>
            <w:tcW w:w="877" w:type="dxa"/>
            <w:tcBorders>
              <w:right w:val="single" w:sz="12" w:space="0" w:color="000000"/>
            </w:tcBorders>
            <w:tcMar>
              <w:left w:w="0" w:type="dxa"/>
              <w:right w:w="0" w:type="dxa"/>
            </w:tcMar>
            <w:vAlign w:val="center"/>
          </w:tcPr>
          <w:p w14:paraId="0AC9074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48 (100%)</w:t>
            </w:r>
          </w:p>
        </w:tc>
        <w:tc>
          <w:tcPr>
            <w:tcW w:w="1107" w:type="dxa"/>
            <w:tcBorders>
              <w:left w:val="single" w:sz="12" w:space="0" w:color="000000"/>
            </w:tcBorders>
            <w:tcMar>
              <w:left w:w="0" w:type="dxa"/>
              <w:right w:w="0" w:type="dxa"/>
            </w:tcMar>
            <w:vAlign w:val="center"/>
          </w:tcPr>
          <w:p w14:paraId="5D29333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109DB71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noWrap/>
            <w:tcMar>
              <w:left w:w="0" w:type="dxa"/>
              <w:right w:w="0" w:type="dxa"/>
            </w:tcMar>
            <w:vAlign w:val="center"/>
            <w:hideMark/>
          </w:tcPr>
          <w:p w14:paraId="0D84DFF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8" w:type="dxa"/>
            <w:tcBorders>
              <w:right w:val="single" w:sz="12" w:space="0" w:color="000000"/>
            </w:tcBorders>
            <w:tcMar>
              <w:left w:w="0" w:type="dxa"/>
              <w:right w:w="0" w:type="dxa"/>
            </w:tcMar>
            <w:vAlign w:val="center"/>
          </w:tcPr>
          <w:p w14:paraId="3D90E9F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r>
      <w:tr w:rsidR="00DB55B4" w:rsidRPr="00DB55B4" w14:paraId="435B5FD3" w14:textId="77777777" w:rsidTr="00591A66">
        <w:trPr>
          <w:trHeight w:val="300"/>
          <w:jc w:val="center"/>
        </w:trPr>
        <w:tc>
          <w:tcPr>
            <w:tcW w:w="1388" w:type="dxa"/>
            <w:tcBorders>
              <w:right w:val="single" w:sz="12" w:space="0" w:color="000000"/>
            </w:tcBorders>
            <w:noWrap/>
            <w:vAlign w:val="center"/>
            <w:hideMark/>
          </w:tcPr>
          <w:p w14:paraId="61B05DD6" w14:textId="77777777" w:rsidR="00DB55B4" w:rsidRPr="00DB55B4" w:rsidRDefault="00DB55B4" w:rsidP="00591A66">
            <w:pPr>
              <w:spacing w:before="0" w:after="0"/>
              <w:jc w:val="center"/>
              <w:rPr>
                <w:rFonts w:eastAsia="Calibri" w:cs="Times New Roman"/>
                <w:b/>
                <w:bCs/>
                <w:sz w:val="12"/>
                <w:szCs w:val="12"/>
              </w:rPr>
            </w:pPr>
            <w:r w:rsidRPr="00DB55B4">
              <w:rPr>
                <w:rFonts w:eastAsia="Calibri" w:cs="Times New Roman"/>
                <w:b/>
                <w:bCs/>
                <w:sz w:val="12"/>
                <w:szCs w:val="12"/>
              </w:rPr>
              <w:t>Lennox-Gastaut</w:t>
            </w:r>
          </w:p>
        </w:tc>
        <w:tc>
          <w:tcPr>
            <w:tcW w:w="992" w:type="dxa"/>
            <w:tcBorders>
              <w:left w:val="single" w:sz="12" w:space="0" w:color="000000"/>
            </w:tcBorders>
            <w:noWrap/>
            <w:tcMar>
              <w:left w:w="0" w:type="dxa"/>
              <w:right w:w="0" w:type="dxa"/>
            </w:tcMar>
            <w:vAlign w:val="center"/>
            <w:hideMark/>
          </w:tcPr>
          <w:p w14:paraId="460CD7F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31 (19%)</w:t>
            </w:r>
          </w:p>
        </w:tc>
        <w:tc>
          <w:tcPr>
            <w:tcW w:w="992" w:type="dxa"/>
            <w:tcMar>
              <w:left w:w="0" w:type="dxa"/>
              <w:right w:w="0" w:type="dxa"/>
            </w:tcMar>
            <w:vAlign w:val="center"/>
          </w:tcPr>
          <w:p w14:paraId="75C54CC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94 (15%)</w:t>
            </w:r>
          </w:p>
        </w:tc>
        <w:tc>
          <w:tcPr>
            <w:tcW w:w="992" w:type="dxa"/>
            <w:tcMar>
              <w:left w:w="0" w:type="dxa"/>
              <w:right w:w="0" w:type="dxa"/>
            </w:tcMar>
            <w:vAlign w:val="center"/>
          </w:tcPr>
          <w:p w14:paraId="2D1E934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94 (61%)</w:t>
            </w:r>
          </w:p>
        </w:tc>
        <w:tc>
          <w:tcPr>
            <w:tcW w:w="876" w:type="dxa"/>
            <w:tcBorders>
              <w:right w:val="single" w:sz="12" w:space="0" w:color="000000"/>
            </w:tcBorders>
            <w:tcMar>
              <w:left w:w="0" w:type="dxa"/>
              <w:right w:w="0" w:type="dxa"/>
            </w:tcMar>
            <w:vAlign w:val="center"/>
          </w:tcPr>
          <w:p w14:paraId="09040A4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62 (49.6%)</w:t>
            </w:r>
          </w:p>
        </w:tc>
        <w:tc>
          <w:tcPr>
            <w:tcW w:w="1108" w:type="dxa"/>
            <w:tcBorders>
              <w:left w:val="single" w:sz="12" w:space="0" w:color="000000"/>
            </w:tcBorders>
            <w:noWrap/>
            <w:tcMar>
              <w:left w:w="0" w:type="dxa"/>
              <w:right w:w="0" w:type="dxa"/>
            </w:tcMar>
            <w:vAlign w:val="center"/>
            <w:hideMark/>
          </w:tcPr>
          <w:p w14:paraId="7B0BA56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08D454A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54C153F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17BF839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7" w:type="dxa"/>
            <w:tcBorders>
              <w:right w:val="single" w:sz="12" w:space="0" w:color="000000"/>
            </w:tcBorders>
            <w:tcMar>
              <w:left w:w="0" w:type="dxa"/>
              <w:right w:w="0" w:type="dxa"/>
            </w:tcMar>
            <w:vAlign w:val="center"/>
          </w:tcPr>
          <w:p w14:paraId="29276B8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1107" w:type="dxa"/>
            <w:tcBorders>
              <w:left w:val="single" w:sz="12" w:space="0" w:color="000000"/>
            </w:tcBorders>
            <w:tcMar>
              <w:left w:w="0" w:type="dxa"/>
              <w:right w:w="0" w:type="dxa"/>
            </w:tcMar>
            <w:vAlign w:val="center"/>
          </w:tcPr>
          <w:p w14:paraId="68540A2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149 (100%)</w:t>
            </w:r>
          </w:p>
          <w:p w14:paraId="7B176A23" w14:textId="77777777" w:rsidR="00DB55B4" w:rsidRPr="00DB55B4" w:rsidRDefault="00DB55B4" w:rsidP="00591A66">
            <w:pPr>
              <w:spacing w:before="0" w:after="0"/>
              <w:jc w:val="center"/>
              <w:rPr>
                <w:rFonts w:eastAsia="Calibri" w:cs="Times New Roman"/>
                <w:sz w:val="12"/>
                <w:szCs w:val="12"/>
              </w:rPr>
            </w:pPr>
          </w:p>
        </w:tc>
        <w:tc>
          <w:tcPr>
            <w:tcW w:w="992" w:type="dxa"/>
            <w:tcMar>
              <w:left w:w="0" w:type="dxa"/>
              <w:right w:w="0" w:type="dxa"/>
            </w:tcMar>
            <w:vAlign w:val="center"/>
          </w:tcPr>
          <w:p w14:paraId="4C4FC25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86 (100%)</w:t>
            </w:r>
          </w:p>
        </w:tc>
        <w:tc>
          <w:tcPr>
            <w:tcW w:w="992" w:type="dxa"/>
            <w:noWrap/>
            <w:tcMar>
              <w:left w:w="0" w:type="dxa"/>
              <w:right w:w="0" w:type="dxa"/>
            </w:tcMar>
            <w:vAlign w:val="center"/>
            <w:hideMark/>
          </w:tcPr>
          <w:p w14:paraId="2ADF66B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366 (100%)</w:t>
            </w:r>
          </w:p>
        </w:tc>
        <w:tc>
          <w:tcPr>
            <w:tcW w:w="878" w:type="dxa"/>
            <w:tcBorders>
              <w:right w:val="single" w:sz="12" w:space="0" w:color="000000"/>
            </w:tcBorders>
            <w:tcMar>
              <w:left w:w="0" w:type="dxa"/>
              <w:right w:w="0" w:type="dxa"/>
            </w:tcMar>
            <w:vAlign w:val="center"/>
          </w:tcPr>
          <w:p w14:paraId="5775200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62 (100%)</w:t>
            </w:r>
          </w:p>
        </w:tc>
      </w:tr>
      <w:tr w:rsidR="00DB55B4" w:rsidRPr="00DB55B4" w14:paraId="198BEDBD" w14:textId="77777777" w:rsidTr="00591A66">
        <w:trPr>
          <w:trHeight w:val="300"/>
          <w:jc w:val="center"/>
        </w:trPr>
        <w:tc>
          <w:tcPr>
            <w:tcW w:w="1388" w:type="dxa"/>
            <w:tcBorders>
              <w:right w:val="single" w:sz="12" w:space="0" w:color="000000"/>
            </w:tcBorders>
            <w:noWrap/>
            <w:vAlign w:val="center"/>
            <w:hideMark/>
          </w:tcPr>
          <w:p w14:paraId="2377F7F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Number of AEDs</w:t>
            </w:r>
          </w:p>
        </w:tc>
        <w:tc>
          <w:tcPr>
            <w:tcW w:w="992" w:type="dxa"/>
            <w:tcBorders>
              <w:left w:val="single" w:sz="12" w:space="0" w:color="000000"/>
            </w:tcBorders>
            <w:noWrap/>
            <w:tcMar>
              <w:left w:w="0" w:type="dxa"/>
              <w:right w:w="0" w:type="dxa"/>
            </w:tcMar>
            <w:vAlign w:val="center"/>
            <w:hideMark/>
          </w:tcPr>
          <w:p w14:paraId="4C70C88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(0-7)</w:t>
            </w:r>
          </w:p>
        </w:tc>
        <w:tc>
          <w:tcPr>
            <w:tcW w:w="992" w:type="dxa"/>
            <w:tcMar>
              <w:left w:w="0" w:type="dxa"/>
              <w:right w:w="0" w:type="dxa"/>
            </w:tcMar>
            <w:vAlign w:val="center"/>
          </w:tcPr>
          <w:p w14:paraId="1DC997F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(0‐10)</w:t>
            </w:r>
          </w:p>
        </w:tc>
        <w:tc>
          <w:tcPr>
            <w:tcW w:w="992" w:type="dxa"/>
            <w:tcMar>
              <w:left w:w="0" w:type="dxa"/>
              <w:right w:w="0" w:type="dxa"/>
            </w:tcMar>
            <w:vAlign w:val="center"/>
          </w:tcPr>
          <w:p w14:paraId="59D6DB8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(0-10)</w:t>
            </w:r>
          </w:p>
        </w:tc>
        <w:tc>
          <w:tcPr>
            <w:tcW w:w="876" w:type="dxa"/>
            <w:tcBorders>
              <w:right w:val="single" w:sz="12" w:space="0" w:color="000000"/>
            </w:tcBorders>
            <w:tcMar>
              <w:left w:w="0" w:type="dxa"/>
              <w:right w:w="0" w:type="dxa"/>
            </w:tcMar>
            <w:vAlign w:val="center"/>
          </w:tcPr>
          <w:p w14:paraId="22B0C83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[3-4]</w:t>
            </w:r>
          </w:p>
          <w:p w14:paraId="72FE080C" w14:textId="77777777" w:rsidR="00DB55B4" w:rsidRPr="00DB55B4" w:rsidRDefault="00DB55B4" w:rsidP="00591A66">
            <w:pPr>
              <w:spacing w:before="0" w:after="0"/>
              <w:jc w:val="center"/>
              <w:rPr>
                <w:rFonts w:eastAsia="Calibri" w:cs="Times New Roman"/>
                <w:sz w:val="12"/>
                <w:szCs w:val="12"/>
              </w:rPr>
            </w:pPr>
          </w:p>
        </w:tc>
        <w:tc>
          <w:tcPr>
            <w:tcW w:w="1108" w:type="dxa"/>
            <w:tcBorders>
              <w:left w:val="single" w:sz="12" w:space="0" w:color="000000"/>
            </w:tcBorders>
            <w:noWrap/>
            <w:tcMar>
              <w:left w:w="0" w:type="dxa"/>
              <w:right w:w="0" w:type="dxa"/>
            </w:tcMar>
            <w:vAlign w:val="center"/>
            <w:hideMark/>
          </w:tcPr>
          <w:p w14:paraId="1687B04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3.0±1.0</w:t>
            </w:r>
          </w:p>
        </w:tc>
        <w:tc>
          <w:tcPr>
            <w:tcW w:w="992" w:type="dxa"/>
            <w:tcMar>
              <w:left w:w="0" w:type="dxa"/>
              <w:right w:w="0" w:type="dxa"/>
            </w:tcMar>
            <w:vAlign w:val="center"/>
          </w:tcPr>
          <w:p w14:paraId="6E82F18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2.6 ± 0.9</w:t>
            </w:r>
          </w:p>
        </w:tc>
        <w:tc>
          <w:tcPr>
            <w:tcW w:w="992" w:type="dxa"/>
            <w:tcMar>
              <w:left w:w="0" w:type="dxa"/>
              <w:right w:w="0" w:type="dxa"/>
            </w:tcMar>
            <w:vAlign w:val="center"/>
          </w:tcPr>
          <w:p w14:paraId="3077CDE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(1-6)</w:t>
            </w:r>
          </w:p>
        </w:tc>
        <w:tc>
          <w:tcPr>
            <w:tcW w:w="992" w:type="dxa"/>
            <w:tcMar>
              <w:left w:w="0" w:type="dxa"/>
              <w:right w:w="0" w:type="dxa"/>
            </w:tcMar>
            <w:vAlign w:val="center"/>
          </w:tcPr>
          <w:p w14:paraId="7F233AC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(1-5)</w:t>
            </w:r>
          </w:p>
          <w:p w14:paraId="0593146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(1-4)</w:t>
            </w:r>
          </w:p>
        </w:tc>
        <w:tc>
          <w:tcPr>
            <w:tcW w:w="877" w:type="dxa"/>
            <w:tcBorders>
              <w:right w:val="single" w:sz="12" w:space="0" w:color="000000"/>
            </w:tcBorders>
            <w:tcMar>
              <w:left w:w="0" w:type="dxa"/>
              <w:right w:w="0" w:type="dxa"/>
            </w:tcMar>
            <w:vAlign w:val="center"/>
          </w:tcPr>
          <w:p w14:paraId="76817B5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[3-4]</w:t>
            </w:r>
          </w:p>
        </w:tc>
        <w:tc>
          <w:tcPr>
            <w:tcW w:w="1107" w:type="dxa"/>
            <w:tcBorders>
              <w:left w:val="single" w:sz="12" w:space="0" w:color="000000"/>
            </w:tcBorders>
            <w:tcMar>
              <w:left w:w="0" w:type="dxa"/>
              <w:right w:w="0" w:type="dxa"/>
            </w:tcMar>
            <w:vAlign w:val="center"/>
          </w:tcPr>
          <w:p w14:paraId="6064C77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[1–5],</w:t>
            </w:r>
          </w:p>
          <w:p w14:paraId="1544EF9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[0–5]</w:t>
            </w:r>
          </w:p>
        </w:tc>
        <w:tc>
          <w:tcPr>
            <w:tcW w:w="992" w:type="dxa"/>
            <w:tcMar>
              <w:left w:w="0" w:type="dxa"/>
              <w:right w:w="0" w:type="dxa"/>
            </w:tcMar>
            <w:vAlign w:val="center"/>
          </w:tcPr>
          <w:p w14:paraId="10A7E85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[1–5]</w:t>
            </w:r>
          </w:p>
        </w:tc>
        <w:tc>
          <w:tcPr>
            <w:tcW w:w="992" w:type="dxa"/>
            <w:noWrap/>
            <w:tcMar>
              <w:left w:w="0" w:type="dxa"/>
              <w:right w:w="0" w:type="dxa"/>
            </w:tcMar>
            <w:vAlign w:val="center"/>
            <w:hideMark/>
          </w:tcPr>
          <w:p w14:paraId="1488465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(0-9)</w:t>
            </w:r>
          </w:p>
        </w:tc>
        <w:tc>
          <w:tcPr>
            <w:tcW w:w="878" w:type="dxa"/>
            <w:tcBorders>
              <w:right w:val="single" w:sz="12" w:space="0" w:color="000000"/>
            </w:tcBorders>
            <w:tcMar>
              <w:left w:w="0" w:type="dxa"/>
              <w:right w:w="0" w:type="dxa"/>
            </w:tcMar>
            <w:vAlign w:val="center"/>
          </w:tcPr>
          <w:p w14:paraId="4AFE519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 [3-4]</w:t>
            </w:r>
          </w:p>
        </w:tc>
      </w:tr>
      <w:tr w:rsidR="00DB55B4" w:rsidRPr="00DB55B4" w14:paraId="3A1ABC6C" w14:textId="77777777" w:rsidTr="00591A66">
        <w:trPr>
          <w:trHeight w:val="300"/>
          <w:jc w:val="center"/>
        </w:trPr>
        <w:tc>
          <w:tcPr>
            <w:tcW w:w="1388" w:type="dxa"/>
            <w:tcBorders>
              <w:right w:val="single" w:sz="12" w:space="0" w:color="000000"/>
            </w:tcBorders>
            <w:noWrap/>
            <w:vAlign w:val="center"/>
            <w:hideMark/>
          </w:tcPr>
          <w:p w14:paraId="282C18C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CLB</w:t>
            </w:r>
          </w:p>
        </w:tc>
        <w:tc>
          <w:tcPr>
            <w:tcW w:w="992" w:type="dxa"/>
            <w:tcBorders>
              <w:left w:val="single" w:sz="12" w:space="0" w:color="000000"/>
            </w:tcBorders>
            <w:noWrap/>
            <w:tcMar>
              <w:left w:w="0" w:type="dxa"/>
              <w:right w:w="0" w:type="dxa"/>
            </w:tcMar>
            <w:vAlign w:val="center"/>
            <w:hideMark/>
          </w:tcPr>
          <w:p w14:paraId="3EBEFE6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85 (52%)</w:t>
            </w:r>
          </w:p>
        </w:tc>
        <w:tc>
          <w:tcPr>
            <w:tcW w:w="992" w:type="dxa"/>
            <w:tcMar>
              <w:left w:w="0" w:type="dxa"/>
              <w:right w:w="0" w:type="dxa"/>
            </w:tcMar>
            <w:vAlign w:val="center"/>
          </w:tcPr>
          <w:p w14:paraId="4031ADA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319 (53%)</w:t>
            </w:r>
          </w:p>
        </w:tc>
        <w:tc>
          <w:tcPr>
            <w:tcW w:w="992" w:type="dxa"/>
            <w:tcMar>
              <w:left w:w="0" w:type="dxa"/>
              <w:right w:w="0" w:type="dxa"/>
            </w:tcMar>
            <w:vAlign w:val="center"/>
          </w:tcPr>
          <w:p w14:paraId="4CDF8E0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99 (65.1%)</w:t>
            </w:r>
          </w:p>
        </w:tc>
        <w:tc>
          <w:tcPr>
            <w:tcW w:w="876" w:type="dxa"/>
            <w:tcBorders>
              <w:right w:val="single" w:sz="12" w:space="0" w:color="000000"/>
            </w:tcBorders>
            <w:tcMar>
              <w:left w:w="0" w:type="dxa"/>
              <w:right w:w="0" w:type="dxa"/>
            </w:tcMar>
            <w:vAlign w:val="center"/>
          </w:tcPr>
          <w:p w14:paraId="37594CE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76 (60.8%)</w:t>
            </w:r>
          </w:p>
        </w:tc>
        <w:tc>
          <w:tcPr>
            <w:tcW w:w="1108" w:type="dxa"/>
            <w:tcBorders>
              <w:left w:val="single" w:sz="12" w:space="0" w:color="000000"/>
            </w:tcBorders>
            <w:noWrap/>
            <w:tcMar>
              <w:left w:w="0" w:type="dxa"/>
              <w:right w:w="0" w:type="dxa"/>
            </w:tcMar>
            <w:vAlign w:val="center"/>
            <w:hideMark/>
          </w:tcPr>
          <w:p w14:paraId="77E8455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40 (66%)</w:t>
            </w:r>
          </w:p>
        </w:tc>
        <w:tc>
          <w:tcPr>
            <w:tcW w:w="992" w:type="dxa"/>
            <w:tcMar>
              <w:left w:w="0" w:type="dxa"/>
              <w:right w:w="0" w:type="dxa"/>
            </w:tcMar>
            <w:vAlign w:val="center"/>
          </w:tcPr>
          <w:p w14:paraId="24B9B58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23 (68%)</w:t>
            </w:r>
          </w:p>
        </w:tc>
        <w:tc>
          <w:tcPr>
            <w:tcW w:w="992" w:type="dxa"/>
            <w:tcMar>
              <w:left w:w="0" w:type="dxa"/>
              <w:right w:w="0" w:type="dxa"/>
            </w:tcMar>
            <w:vAlign w:val="center"/>
          </w:tcPr>
          <w:p w14:paraId="03761DD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180 (68%)</w:t>
            </w:r>
          </w:p>
        </w:tc>
        <w:tc>
          <w:tcPr>
            <w:tcW w:w="992" w:type="dxa"/>
            <w:tcMar>
              <w:left w:w="0" w:type="dxa"/>
              <w:right w:w="0" w:type="dxa"/>
            </w:tcMar>
            <w:vAlign w:val="center"/>
          </w:tcPr>
          <w:p w14:paraId="6562949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46 (68%)</w:t>
            </w:r>
          </w:p>
          <w:p w14:paraId="11EC6C5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40 (60%)</w:t>
            </w:r>
          </w:p>
        </w:tc>
        <w:tc>
          <w:tcPr>
            <w:tcW w:w="877" w:type="dxa"/>
            <w:tcBorders>
              <w:right w:val="single" w:sz="12" w:space="0" w:color="000000"/>
            </w:tcBorders>
            <w:tcMar>
              <w:left w:w="0" w:type="dxa"/>
              <w:right w:w="0" w:type="dxa"/>
            </w:tcMar>
            <w:vAlign w:val="center"/>
          </w:tcPr>
          <w:p w14:paraId="3605BBA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37 (77.1%)</w:t>
            </w:r>
          </w:p>
        </w:tc>
        <w:tc>
          <w:tcPr>
            <w:tcW w:w="1107" w:type="dxa"/>
            <w:tcBorders>
              <w:left w:val="single" w:sz="12" w:space="0" w:color="000000"/>
            </w:tcBorders>
            <w:tcMar>
              <w:left w:w="0" w:type="dxa"/>
              <w:right w:w="0" w:type="dxa"/>
            </w:tcMar>
            <w:vAlign w:val="center"/>
          </w:tcPr>
          <w:p w14:paraId="14FD7C7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37 (51%),</w:t>
            </w:r>
          </w:p>
          <w:p w14:paraId="5B9BD56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36 (47%)</w:t>
            </w:r>
          </w:p>
        </w:tc>
        <w:tc>
          <w:tcPr>
            <w:tcW w:w="992" w:type="dxa"/>
            <w:tcMar>
              <w:left w:w="0" w:type="dxa"/>
              <w:right w:w="0" w:type="dxa"/>
            </w:tcMar>
            <w:vAlign w:val="center"/>
          </w:tcPr>
          <w:p w14:paraId="04571F9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41 (48%)</w:t>
            </w:r>
          </w:p>
        </w:tc>
        <w:tc>
          <w:tcPr>
            <w:tcW w:w="992" w:type="dxa"/>
            <w:noWrap/>
            <w:tcMar>
              <w:left w:w="0" w:type="dxa"/>
              <w:right w:w="0" w:type="dxa"/>
            </w:tcMar>
            <w:vAlign w:val="center"/>
            <w:hideMark/>
          </w:tcPr>
          <w:p w14:paraId="1D63ED2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188 (51%)</w:t>
            </w:r>
          </w:p>
        </w:tc>
        <w:tc>
          <w:tcPr>
            <w:tcW w:w="878" w:type="dxa"/>
            <w:tcBorders>
              <w:right w:val="single" w:sz="12" w:space="0" w:color="000000"/>
            </w:tcBorders>
            <w:tcMar>
              <w:left w:w="0" w:type="dxa"/>
              <w:right w:w="0" w:type="dxa"/>
            </w:tcMar>
            <w:vAlign w:val="center"/>
          </w:tcPr>
          <w:p w14:paraId="1D8CB57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33 (53.2%)</w:t>
            </w:r>
          </w:p>
        </w:tc>
      </w:tr>
      <w:tr w:rsidR="00DB55B4" w:rsidRPr="00DB55B4" w14:paraId="6E78E232" w14:textId="77777777" w:rsidTr="00591A66">
        <w:trPr>
          <w:trHeight w:val="300"/>
          <w:jc w:val="center"/>
        </w:trPr>
        <w:tc>
          <w:tcPr>
            <w:tcW w:w="1388" w:type="dxa"/>
            <w:tcBorders>
              <w:right w:val="single" w:sz="12" w:space="0" w:color="000000"/>
            </w:tcBorders>
            <w:noWrap/>
            <w:vAlign w:val="center"/>
            <w:hideMark/>
          </w:tcPr>
          <w:p w14:paraId="2EBB506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VPA</w:t>
            </w:r>
          </w:p>
        </w:tc>
        <w:tc>
          <w:tcPr>
            <w:tcW w:w="992" w:type="dxa"/>
            <w:tcBorders>
              <w:left w:val="single" w:sz="12" w:space="0" w:color="000000"/>
            </w:tcBorders>
            <w:noWrap/>
            <w:tcMar>
              <w:left w:w="0" w:type="dxa"/>
              <w:right w:w="0" w:type="dxa"/>
            </w:tcMar>
            <w:vAlign w:val="center"/>
            <w:hideMark/>
          </w:tcPr>
          <w:p w14:paraId="6309539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48 (30%)</w:t>
            </w:r>
          </w:p>
        </w:tc>
        <w:tc>
          <w:tcPr>
            <w:tcW w:w="992" w:type="dxa"/>
            <w:tcMar>
              <w:left w:w="0" w:type="dxa"/>
              <w:right w:w="0" w:type="dxa"/>
            </w:tcMar>
            <w:vAlign w:val="center"/>
          </w:tcPr>
          <w:p w14:paraId="77D8BA9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183 (30%)</w:t>
            </w:r>
          </w:p>
        </w:tc>
        <w:tc>
          <w:tcPr>
            <w:tcW w:w="992" w:type="dxa"/>
            <w:tcMar>
              <w:left w:w="0" w:type="dxa"/>
              <w:right w:w="0" w:type="dxa"/>
            </w:tcMar>
            <w:vAlign w:val="center"/>
          </w:tcPr>
          <w:p w14:paraId="507A506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64 (42.1%)</w:t>
            </w:r>
          </w:p>
        </w:tc>
        <w:tc>
          <w:tcPr>
            <w:tcW w:w="876" w:type="dxa"/>
            <w:tcBorders>
              <w:right w:val="single" w:sz="12" w:space="0" w:color="000000"/>
            </w:tcBorders>
            <w:tcMar>
              <w:left w:w="0" w:type="dxa"/>
              <w:right w:w="0" w:type="dxa"/>
            </w:tcMar>
            <w:vAlign w:val="center"/>
          </w:tcPr>
          <w:p w14:paraId="7F6B3F7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81 (64.8%)</w:t>
            </w:r>
          </w:p>
        </w:tc>
        <w:tc>
          <w:tcPr>
            <w:tcW w:w="1108" w:type="dxa"/>
            <w:tcBorders>
              <w:left w:val="single" w:sz="12" w:space="0" w:color="000000"/>
            </w:tcBorders>
            <w:noWrap/>
            <w:tcMar>
              <w:left w:w="0" w:type="dxa"/>
              <w:right w:w="0" w:type="dxa"/>
            </w:tcMar>
            <w:vAlign w:val="center"/>
            <w:hideMark/>
          </w:tcPr>
          <w:p w14:paraId="506F372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37 (61%)</w:t>
            </w:r>
          </w:p>
        </w:tc>
        <w:tc>
          <w:tcPr>
            <w:tcW w:w="992" w:type="dxa"/>
            <w:tcMar>
              <w:left w:w="0" w:type="dxa"/>
              <w:right w:w="0" w:type="dxa"/>
            </w:tcMar>
            <w:vAlign w:val="center"/>
          </w:tcPr>
          <w:p w14:paraId="55A3117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22 (65%)</w:t>
            </w:r>
          </w:p>
        </w:tc>
        <w:tc>
          <w:tcPr>
            <w:tcW w:w="992" w:type="dxa"/>
            <w:tcMar>
              <w:left w:w="0" w:type="dxa"/>
              <w:right w:w="0" w:type="dxa"/>
            </w:tcMar>
            <w:vAlign w:val="center"/>
          </w:tcPr>
          <w:p w14:paraId="6BE183E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168 (64%)</w:t>
            </w:r>
          </w:p>
        </w:tc>
        <w:tc>
          <w:tcPr>
            <w:tcW w:w="992" w:type="dxa"/>
            <w:tcMar>
              <w:left w:w="0" w:type="dxa"/>
              <w:right w:w="0" w:type="dxa"/>
            </w:tcMar>
            <w:vAlign w:val="center"/>
          </w:tcPr>
          <w:p w14:paraId="458D286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44 (67%)</w:t>
            </w:r>
          </w:p>
          <w:p w14:paraId="5354C7C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47 (70%)</w:t>
            </w:r>
          </w:p>
        </w:tc>
        <w:tc>
          <w:tcPr>
            <w:tcW w:w="877" w:type="dxa"/>
            <w:tcBorders>
              <w:right w:val="single" w:sz="12" w:space="0" w:color="000000"/>
            </w:tcBorders>
            <w:tcMar>
              <w:left w:w="0" w:type="dxa"/>
              <w:right w:w="0" w:type="dxa"/>
            </w:tcMar>
            <w:vAlign w:val="center"/>
          </w:tcPr>
          <w:p w14:paraId="7680B92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81 (64.8%)</w:t>
            </w:r>
          </w:p>
        </w:tc>
        <w:tc>
          <w:tcPr>
            <w:tcW w:w="1107" w:type="dxa"/>
            <w:tcBorders>
              <w:left w:val="single" w:sz="12" w:space="0" w:color="000000"/>
            </w:tcBorders>
            <w:tcMar>
              <w:left w:w="0" w:type="dxa"/>
              <w:right w:w="0" w:type="dxa"/>
            </w:tcMar>
            <w:vAlign w:val="center"/>
          </w:tcPr>
          <w:p w14:paraId="434C6FF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27 (37%),</w:t>
            </w:r>
          </w:p>
          <w:p w14:paraId="66709D1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28 (37%)</w:t>
            </w:r>
          </w:p>
        </w:tc>
        <w:tc>
          <w:tcPr>
            <w:tcW w:w="992" w:type="dxa"/>
            <w:tcMar>
              <w:left w:w="0" w:type="dxa"/>
              <w:right w:w="0" w:type="dxa"/>
            </w:tcMar>
            <w:vAlign w:val="center"/>
          </w:tcPr>
          <w:p w14:paraId="0946677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36 (42%)</w:t>
            </w:r>
          </w:p>
        </w:tc>
        <w:tc>
          <w:tcPr>
            <w:tcW w:w="992" w:type="dxa"/>
            <w:noWrap/>
            <w:tcMar>
              <w:left w:w="0" w:type="dxa"/>
              <w:right w:w="0" w:type="dxa"/>
            </w:tcMar>
            <w:vAlign w:val="center"/>
            <w:hideMark/>
          </w:tcPr>
          <w:p w14:paraId="6CFB6B2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136 (37%)</w:t>
            </w:r>
          </w:p>
        </w:tc>
        <w:tc>
          <w:tcPr>
            <w:tcW w:w="878" w:type="dxa"/>
            <w:tcBorders>
              <w:right w:val="single" w:sz="12" w:space="0" w:color="000000"/>
            </w:tcBorders>
            <w:tcMar>
              <w:left w:w="0" w:type="dxa"/>
              <w:right w:w="0" w:type="dxa"/>
            </w:tcMar>
            <w:vAlign w:val="center"/>
          </w:tcPr>
          <w:p w14:paraId="044BE41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40 (64.5%)</w:t>
            </w:r>
          </w:p>
        </w:tc>
      </w:tr>
      <w:tr w:rsidR="00DB55B4" w:rsidRPr="00DB55B4" w14:paraId="53D5CBF2" w14:textId="77777777" w:rsidTr="00591A66">
        <w:trPr>
          <w:trHeight w:val="300"/>
          <w:jc w:val="center"/>
        </w:trPr>
        <w:tc>
          <w:tcPr>
            <w:tcW w:w="1388" w:type="dxa"/>
            <w:tcBorders>
              <w:right w:val="single" w:sz="12" w:space="0" w:color="000000"/>
            </w:tcBorders>
            <w:noWrap/>
            <w:vAlign w:val="center"/>
            <w:hideMark/>
          </w:tcPr>
          <w:p w14:paraId="2E8A94B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STP</w:t>
            </w:r>
          </w:p>
        </w:tc>
        <w:tc>
          <w:tcPr>
            <w:tcW w:w="992" w:type="dxa"/>
            <w:tcBorders>
              <w:left w:val="single" w:sz="12" w:space="0" w:color="000000"/>
            </w:tcBorders>
            <w:noWrap/>
            <w:tcMar>
              <w:left w:w="0" w:type="dxa"/>
              <w:right w:w="0" w:type="dxa"/>
            </w:tcMar>
            <w:vAlign w:val="center"/>
            <w:hideMark/>
          </w:tcPr>
          <w:p w14:paraId="1577464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1BD10FC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16 (3%)</w:t>
            </w:r>
          </w:p>
        </w:tc>
        <w:tc>
          <w:tcPr>
            <w:tcW w:w="992" w:type="dxa"/>
            <w:tcMar>
              <w:left w:w="0" w:type="dxa"/>
              <w:right w:w="0" w:type="dxa"/>
            </w:tcMar>
            <w:vAlign w:val="center"/>
          </w:tcPr>
          <w:p w14:paraId="3E571F4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6" w:type="dxa"/>
            <w:tcBorders>
              <w:right w:val="single" w:sz="12" w:space="0" w:color="000000"/>
            </w:tcBorders>
            <w:tcMar>
              <w:left w:w="0" w:type="dxa"/>
              <w:right w:w="0" w:type="dxa"/>
            </w:tcMar>
            <w:vAlign w:val="center"/>
          </w:tcPr>
          <w:p w14:paraId="2F57ECC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38 (30.4%)</w:t>
            </w:r>
          </w:p>
        </w:tc>
        <w:tc>
          <w:tcPr>
            <w:tcW w:w="1108" w:type="dxa"/>
            <w:tcBorders>
              <w:left w:val="single" w:sz="12" w:space="0" w:color="000000"/>
            </w:tcBorders>
            <w:noWrap/>
            <w:tcMar>
              <w:left w:w="0" w:type="dxa"/>
              <w:right w:w="0" w:type="dxa"/>
            </w:tcMar>
            <w:vAlign w:val="center"/>
            <w:hideMark/>
          </w:tcPr>
          <w:p w14:paraId="5B22EC5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30 (49%)</w:t>
            </w:r>
          </w:p>
        </w:tc>
        <w:tc>
          <w:tcPr>
            <w:tcW w:w="992" w:type="dxa"/>
            <w:tcMar>
              <w:left w:w="0" w:type="dxa"/>
              <w:right w:w="0" w:type="dxa"/>
            </w:tcMar>
            <w:vAlign w:val="center"/>
          </w:tcPr>
          <w:p w14:paraId="65D207A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 (21%)</w:t>
            </w:r>
          </w:p>
        </w:tc>
        <w:tc>
          <w:tcPr>
            <w:tcW w:w="992" w:type="dxa"/>
            <w:tcMar>
              <w:left w:w="0" w:type="dxa"/>
              <w:right w:w="0" w:type="dxa"/>
            </w:tcMar>
            <w:vAlign w:val="center"/>
          </w:tcPr>
          <w:p w14:paraId="457D163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101 (38%)</w:t>
            </w:r>
          </w:p>
        </w:tc>
        <w:tc>
          <w:tcPr>
            <w:tcW w:w="992" w:type="dxa"/>
            <w:tcMar>
              <w:left w:w="0" w:type="dxa"/>
              <w:right w:w="0" w:type="dxa"/>
            </w:tcMar>
            <w:vAlign w:val="center"/>
          </w:tcPr>
          <w:p w14:paraId="6AC9454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25 (38%)</w:t>
            </w:r>
          </w:p>
          <w:p w14:paraId="467432E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22 (33%)</w:t>
            </w:r>
          </w:p>
        </w:tc>
        <w:tc>
          <w:tcPr>
            <w:tcW w:w="877" w:type="dxa"/>
            <w:tcBorders>
              <w:right w:val="single" w:sz="12" w:space="0" w:color="000000"/>
            </w:tcBorders>
            <w:tcMar>
              <w:left w:w="0" w:type="dxa"/>
              <w:right w:w="0" w:type="dxa"/>
            </w:tcMar>
            <w:vAlign w:val="center"/>
          </w:tcPr>
          <w:p w14:paraId="72D0931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38 (79.2%)</w:t>
            </w:r>
          </w:p>
        </w:tc>
        <w:tc>
          <w:tcPr>
            <w:tcW w:w="1107" w:type="dxa"/>
            <w:tcBorders>
              <w:left w:val="single" w:sz="12" w:space="0" w:color="000000"/>
            </w:tcBorders>
            <w:tcMar>
              <w:left w:w="0" w:type="dxa"/>
              <w:right w:w="0" w:type="dxa"/>
            </w:tcMar>
            <w:vAlign w:val="center"/>
          </w:tcPr>
          <w:p w14:paraId="46A8B44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5118BB4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noWrap/>
            <w:tcMar>
              <w:left w:w="0" w:type="dxa"/>
              <w:right w:w="0" w:type="dxa"/>
            </w:tcMar>
            <w:vAlign w:val="center"/>
            <w:hideMark/>
          </w:tcPr>
          <w:p w14:paraId="3CD517B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8" w:type="dxa"/>
            <w:tcBorders>
              <w:right w:val="single" w:sz="12" w:space="0" w:color="000000"/>
            </w:tcBorders>
            <w:tcMar>
              <w:left w:w="0" w:type="dxa"/>
              <w:right w:w="0" w:type="dxa"/>
            </w:tcMar>
            <w:vAlign w:val="center"/>
          </w:tcPr>
          <w:p w14:paraId="55FC870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0 (0%)</w:t>
            </w:r>
          </w:p>
        </w:tc>
      </w:tr>
      <w:tr w:rsidR="00DB55B4" w:rsidRPr="00DB55B4" w14:paraId="15B0B089" w14:textId="77777777" w:rsidTr="00591A66">
        <w:trPr>
          <w:trHeight w:val="300"/>
          <w:jc w:val="center"/>
        </w:trPr>
        <w:tc>
          <w:tcPr>
            <w:tcW w:w="1388" w:type="dxa"/>
            <w:tcBorders>
              <w:right w:val="single" w:sz="12" w:space="0" w:color="000000"/>
            </w:tcBorders>
            <w:noWrap/>
            <w:vAlign w:val="center"/>
            <w:hideMark/>
          </w:tcPr>
          <w:p w14:paraId="4BFDF50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VNS</w:t>
            </w:r>
          </w:p>
        </w:tc>
        <w:tc>
          <w:tcPr>
            <w:tcW w:w="992" w:type="dxa"/>
            <w:tcBorders>
              <w:left w:val="single" w:sz="12" w:space="0" w:color="000000"/>
            </w:tcBorders>
            <w:noWrap/>
            <w:tcMar>
              <w:left w:w="0" w:type="dxa"/>
              <w:right w:w="0" w:type="dxa"/>
            </w:tcMar>
            <w:vAlign w:val="center"/>
            <w:hideMark/>
          </w:tcPr>
          <w:p w14:paraId="68ADFFE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17 (10%)</w:t>
            </w:r>
          </w:p>
        </w:tc>
        <w:tc>
          <w:tcPr>
            <w:tcW w:w="992" w:type="dxa"/>
            <w:tcMar>
              <w:left w:w="0" w:type="dxa"/>
              <w:right w:w="0" w:type="dxa"/>
            </w:tcMar>
            <w:vAlign w:val="center"/>
          </w:tcPr>
          <w:p w14:paraId="763E61F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18 (3%)</w:t>
            </w:r>
          </w:p>
        </w:tc>
        <w:tc>
          <w:tcPr>
            <w:tcW w:w="992" w:type="dxa"/>
            <w:tcMar>
              <w:left w:w="0" w:type="dxa"/>
              <w:right w:w="0" w:type="dxa"/>
            </w:tcMar>
            <w:vAlign w:val="center"/>
          </w:tcPr>
          <w:p w14:paraId="5241D51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6" w:type="dxa"/>
            <w:tcBorders>
              <w:right w:val="single" w:sz="12" w:space="0" w:color="000000"/>
            </w:tcBorders>
            <w:tcMar>
              <w:left w:w="0" w:type="dxa"/>
              <w:right w:w="0" w:type="dxa"/>
            </w:tcMar>
            <w:vAlign w:val="center"/>
          </w:tcPr>
          <w:p w14:paraId="4297C2D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16 (13%)</w:t>
            </w:r>
          </w:p>
        </w:tc>
        <w:tc>
          <w:tcPr>
            <w:tcW w:w="1108" w:type="dxa"/>
            <w:tcBorders>
              <w:left w:val="single" w:sz="12" w:space="0" w:color="000000"/>
            </w:tcBorders>
            <w:noWrap/>
            <w:tcMar>
              <w:left w:w="0" w:type="dxa"/>
              <w:right w:w="0" w:type="dxa"/>
            </w:tcMar>
            <w:vAlign w:val="center"/>
            <w:hideMark/>
          </w:tcPr>
          <w:p w14:paraId="5319BD5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 (10%)</w:t>
            </w:r>
          </w:p>
        </w:tc>
        <w:tc>
          <w:tcPr>
            <w:tcW w:w="992" w:type="dxa"/>
            <w:tcMar>
              <w:left w:w="0" w:type="dxa"/>
              <w:right w:w="0" w:type="dxa"/>
            </w:tcMar>
            <w:vAlign w:val="center"/>
          </w:tcPr>
          <w:p w14:paraId="1D82992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 (6%)</w:t>
            </w:r>
          </w:p>
        </w:tc>
        <w:tc>
          <w:tcPr>
            <w:tcW w:w="992" w:type="dxa"/>
            <w:tcMar>
              <w:left w:w="0" w:type="dxa"/>
              <w:right w:w="0" w:type="dxa"/>
            </w:tcMar>
            <w:vAlign w:val="center"/>
          </w:tcPr>
          <w:p w14:paraId="3639B35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5EA1484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7" w:type="dxa"/>
            <w:tcBorders>
              <w:right w:val="single" w:sz="12" w:space="0" w:color="000000"/>
            </w:tcBorders>
            <w:tcMar>
              <w:left w:w="0" w:type="dxa"/>
              <w:right w:w="0" w:type="dxa"/>
            </w:tcMar>
            <w:vAlign w:val="center"/>
          </w:tcPr>
          <w:p w14:paraId="6C5F80F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0 (0%)</w:t>
            </w:r>
          </w:p>
        </w:tc>
        <w:tc>
          <w:tcPr>
            <w:tcW w:w="1107" w:type="dxa"/>
            <w:tcBorders>
              <w:left w:val="single" w:sz="12" w:space="0" w:color="000000"/>
            </w:tcBorders>
            <w:tcMar>
              <w:left w:w="0" w:type="dxa"/>
              <w:right w:w="0" w:type="dxa"/>
            </w:tcMar>
            <w:vAlign w:val="center"/>
          </w:tcPr>
          <w:p w14:paraId="26E2AEF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15 (21%),</w:t>
            </w:r>
          </w:p>
          <w:p w14:paraId="615FE91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17 (22%)</w:t>
            </w:r>
          </w:p>
        </w:tc>
        <w:tc>
          <w:tcPr>
            <w:tcW w:w="992" w:type="dxa"/>
            <w:tcMar>
              <w:left w:w="0" w:type="dxa"/>
              <w:right w:w="0" w:type="dxa"/>
            </w:tcMar>
            <w:vAlign w:val="center"/>
          </w:tcPr>
          <w:p w14:paraId="377EE92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26 (30%)</w:t>
            </w:r>
          </w:p>
        </w:tc>
        <w:tc>
          <w:tcPr>
            <w:tcW w:w="992" w:type="dxa"/>
            <w:noWrap/>
            <w:tcMar>
              <w:left w:w="0" w:type="dxa"/>
              <w:right w:w="0" w:type="dxa"/>
            </w:tcMar>
            <w:vAlign w:val="center"/>
            <w:hideMark/>
          </w:tcPr>
          <w:p w14:paraId="1AC290E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8" w:type="dxa"/>
            <w:tcBorders>
              <w:right w:val="single" w:sz="12" w:space="0" w:color="000000"/>
            </w:tcBorders>
            <w:tcMar>
              <w:left w:w="0" w:type="dxa"/>
              <w:right w:w="0" w:type="dxa"/>
            </w:tcMar>
            <w:vAlign w:val="center"/>
          </w:tcPr>
          <w:p w14:paraId="353D8F5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14 (23%)</w:t>
            </w:r>
          </w:p>
        </w:tc>
      </w:tr>
      <w:tr w:rsidR="00DB55B4" w:rsidRPr="00DB55B4" w14:paraId="6382B59B" w14:textId="77777777" w:rsidTr="00591A66">
        <w:trPr>
          <w:trHeight w:val="300"/>
          <w:jc w:val="center"/>
        </w:trPr>
        <w:tc>
          <w:tcPr>
            <w:tcW w:w="1388" w:type="dxa"/>
            <w:tcBorders>
              <w:right w:val="single" w:sz="12" w:space="0" w:color="000000"/>
            </w:tcBorders>
            <w:noWrap/>
            <w:vAlign w:val="center"/>
            <w:hideMark/>
          </w:tcPr>
          <w:p w14:paraId="3671268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KD</w:t>
            </w:r>
          </w:p>
        </w:tc>
        <w:tc>
          <w:tcPr>
            <w:tcW w:w="992" w:type="dxa"/>
            <w:tcBorders>
              <w:left w:val="single" w:sz="12" w:space="0" w:color="000000"/>
            </w:tcBorders>
            <w:noWrap/>
            <w:tcMar>
              <w:left w:w="0" w:type="dxa"/>
              <w:right w:w="0" w:type="dxa"/>
            </w:tcMar>
            <w:vAlign w:val="center"/>
            <w:hideMark/>
          </w:tcPr>
          <w:p w14:paraId="2DDFC9B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13 (8%)</w:t>
            </w:r>
          </w:p>
        </w:tc>
        <w:tc>
          <w:tcPr>
            <w:tcW w:w="992" w:type="dxa"/>
            <w:tcMar>
              <w:left w:w="0" w:type="dxa"/>
              <w:right w:w="0" w:type="dxa"/>
            </w:tcMar>
            <w:vAlign w:val="center"/>
          </w:tcPr>
          <w:p w14:paraId="7D49F53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18 (3%)</w:t>
            </w:r>
          </w:p>
        </w:tc>
        <w:tc>
          <w:tcPr>
            <w:tcW w:w="992" w:type="dxa"/>
            <w:tcMar>
              <w:left w:w="0" w:type="dxa"/>
              <w:right w:w="0" w:type="dxa"/>
            </w:tcMar>
            <w:vAlign w:val="center"/>
          </w:tcPr>
          <w:p w14:paraId="19518F0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6" w:type="dxa"/>
            <w:tcBorders>
              <w:right w:val="single" w:sz="12" w:space="0" w:color="000000"/>
            </w:tcBorders>
            <w:tcMar>
              <w:left w:w="0" w:type="dxa"/>
              <w:right w:w="0" w:type="dxa"/>
            </w:tcMar>
            <w:vAlign w:val="center"/>
          </w:tcPr>
          <w:p w14:paraId="68E9F5F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 (4%)</w:t>
            </w:r>
          </w:p>
        </w:tc>
        <w:tc>
          <w:tcPr>
            <w:tcW w:w="1108" w:type="dxa"/>
            <w:tcBorders>
              <w:left w:val="single" w:sz="12" w:space="0" w:color="000000"/>
            </w:tcBorders>
            <w:noWrap/>
            <w:tcMar>
              <w:left w:w="0" w:type="dxa"/>
              <w:right w:w="0" w:type="dxa"/>
            </w:tcMar>
            <w:vAlign w:val="center"/>
            <w:hideMark/>
          </w:tcPr>
          <w:p w14:paraId="728DAB1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 (10%)</w:t>
            </w:r>
          </w:p>
        </w:tc>
        <w:tc>
          <w:tcPr>
            <w:tcW w:w="992" w:type="dxa"/>
            <w:tcMar>
              <w:left w:w="0" w:type="dxa"/>
              <w:right w:w="0" w:type="dxa"/>
            </w:tcMar>
            <w:vAlign w:val="center"/>
          </w:tcPr>
          <w:p w14:paraId="3FE9918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 (18%)</w:t>
            </w:r>
          </w:p>
        </w:tc>
        <w:tc>
          <w:tcPr>
            <w:tcW w:w="992" w:type="dxa"/>
            <w:tcMar>
              <w:left w:w="0" w:type="dxa"/>
              <w:right w:w="0" w:type="dxa"/>
            </w:tcMar>
            <w:vAlign w:val="center"/>
          </w:tcPr>
          <w:p w14:paraId="7E81ECB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5962490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7" w:type="dxa"/>
            <w:tcBorders>
              <w:right w:val="single" w:sz="12" w:space="0" w:color="000000"/>
            </w:tcBorders>
            <w:tcMar>
              <w:left w:w="0" w:type="dxa"/>
              <w:right w:w="0" w:type="dxa"/>
            </w:tcMar>
            <w:vAlign w:val="center"/>
          </w:tcPr>
          <w:p w14:paraId="2A98356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 (4.1%)</w:t>
            </w:r>
          </w:p>
        </w:tc>
        <w:tc>
          <w:tcPr>
            <w:tcW w:w="1107" w:type="dxa"/>
            <w:tcBorders>
              <w:left w:val="single" w:sz="12" w:space="0" w:color="000000"/>
            </w:tcBorders>
            <w:tcMar>
              <w:left w:w="0" w:type="dxa"/>
              <w:right w:w="0" w:type="dxa"/>
            </w:tcMar>
            <w:vAlign w:val="center"/>
          </w:tcPr>
          <w:p w14:paraId="2C46BD6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 (8%),</w:t>
            </w:r>
          </w:p>
          <w:p w14:paraId="30DC658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 (8%)</w:t>
            </w:r>
          </w:p>
        </w:tc>
        <w:tc>
          <w:tcPr>
            <w:tcW w:w="992" w:type="dxa"/>
            <w:tcMar>
              <w:left w:w="0" w:type="dxa"/>
              <w:right w:w="0" w:type="dxa"/>
            </w:tcMar>
            <w:vAlign w:val="center"/>
          </w:tcPr>
          <w:p w14:paraId="1230528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 (5%)</w:t>
            </w:r>
          </w:p>
        </w:tc>
        <w:tc>
          <w:tcPr>
            <w:tcW w:w="992" w:type="dxa"/>
            <w:noWrap/>
            <w:tcMar>
              <w:left w:w="0" w:type="dxa"/>
              <w:right w:w="0" w:type="dxa"/>
            </w:tcMar>
            <w:vAlign w:val="center"/>
            <w:hideMark/>
          </w:tcPr>
          <w:p w14:paraId="62DAAE0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878" w:type="dxa"/>
            <w:tcBorders>
              <w:right w:val="single" w:sz="12" w:space="0" w:color="000000"/>
            </w:tcBorders>
            <w:tcMar>
              <w:left w:w="0" w:type="dxa"/>
              <w:right w:w="0" w:type="dxa"/>
            </w:tcMar>
            <w:vAlign w:val="center"/>
          </w:tcPr>
          <w:p w14:paraId="7A532A1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 (2%)</w:t>
            </w:r>
          </w:p>
        </w:tc>
      </w:tr>
      <w:tr w:rsidR="00DB55B4" w:rsidRPr="00DB55B4" w14:paraId="53AED3C1" w14:textId="77777777" w:rsidTr="00591A66">
        <w:trPr>
          <w:trHeight w:val="300"/>
          <w:jc w:val="center"/>
        </w:trPr>
        <w:tc>
          <w:tcPr>
            <w:tcW w:w="1388" w:type="dxa"/>
            <w:tcBorders>
              <w:right w:val="single" w:sz="12" w:space="0" w:color="000000"/>
            </w:tcBorders>
            <w:noWrap/>
            <w:vAlign w:val="center"/>
            <w:hideMark/>
          </w:tcPr>
          <w:p w14:paraId="287DE1E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Monthly frequency of TOTAL seizures</w:t>
            </w:r>
          </w:p>
        </w:tc>
        <w:tc>
          <w:tcPr>
            <w:tcW w:w="992" w:type="dxa"/>
            <w:tcBorders>
              <w:left w:val="single" w:sz="12" w:space="0" w:color="000000"/>
              <w:bottom w:val="single" w:sz="12" w:space="0" w:color="000000"/>
            </w:tcBorders>
            <w:noWrap/>
            <w:tcMar>
              <w:left w:w="0" w:type="dxa"/>
              <w:right w:w="0" w:type="dxa"/>
            </w:tcMar>
            <w:vAlign w:val="center"/>
            <w:hideMark/>
          </w:tcPr>
          <w:p w14:paraId="004F8E7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60.5</w:t>
            </w:r>
          </w:p>
          <w:p w14:paraId="071A472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[19.6-151]</w:t>
            </w:r>
          </w:p>
          <w:p w14:paraId="162757D1" w14:textId="77777777" w:rsidR="00DB55B4" w:rsidRPr="00DB55B4" w:rsidRDefault="00DB55B4" w:rsidP="00591A66">
            <w:pPr>
              <w:spacing w:before="0" w:after="0"/>
              <w:jc w:val="center"/>
              <w:rPr>
                <w:rFonts w:eastAsia="Calibri" w:cs="Times New Roman"/>
                <w:sz w:val="12"/>
                <w:szCs w:val="12"/>
              </w:rPr>
            </w:pPr>
          </w:p>
        </w:tc>
        <w:tc>
          <w:tcPr>
            <w:tcW w:w="992" w:type="dxa"/>
            <w:tcBorders>
              <w:bottom w:val="single" w:sz="12" w:space="0" w:color="000000"/>
            </w:tcBorders>
            <w:tcMar>
              <w:left w:w="0" w:type="dxa"/>
              <w:right w:w="0" w:type="dxa"/>
            </w:tcMar>
            <w:vAlign w:val="center"/>
          </w:tcPr>
          <w:p w14:paraId="7E60AFD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72*</w:t>
            </w:r>
          </w:p>
          <w:p w14:paraId="5E462A7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[22-196]</w:t>
            </w:r>
          </w:p>
        </w:tc>
        <w:tc>
          <w:tcPr>
            <w:tcW w:w="992" w:type="dxa"/>
            <w:tcBorders>
              <w:bottom w:val="single" w:sz="12" w:space="0" w:color="000000"/>
            </w:tcBorders>
            <w:tcMar>
              <w:left w:w="0" w:type="dxa"/>
              <w:right w:w="0" w:type="dxa"/>
            </w:tcMar>
            <w:vAlign w:val="center"/>
          </w:tcPr>
          <w:p w14:paraId="44D84D1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63 [23-140]</w:t>
            </w:r>
          </w:p>
        </w:tc>
        <w:tc>
          <w:tcPr>
            <w:tcW w:w="876" w:type="dxa"/>
            <w:tcBorders>
              <w:bottom w:val="single" w:sz="12" w:space="0" w:color="000000"/>
              <w:right w:val="single" w:sz="12" w:space="0" w:color="000000"/>
            </w:tcBorders>
            <w:tcMar>
              <w:left w:w="0" w:type="dxa"/>
              <w:right w:w="0" w:type="dxa"/>
            </w:tcMar>
            <w:vAlign w:val="center"/>
          </w:tcPr>
          <w:p w14:paraId="3911F26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30.5</w:t>
            </w:r>
          </w:p>
          <w:p w14:paraId="008D0FB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[5-122]</w:t>
            </w:r>
          </w:p>
        </w:tc>
        <w:tc>
          <w:tcPr>
            <w:tcW w:w="1108" w:type="dxa"/>
            <w:tcBorders>
              <w:left w:val="single" w:sz="12" w:space="0" w:color="000000"/>
              <w:bottom w:val="single" w:sz="12" w:space="0" w:color="000000"/>
            </w:tcBorders>
            <w:noWrap/>
            <w:tcMar>
              <w:left w:w="0" w:type="dxa"/>
              <w:right w:w="0" w:type="dxa"/>
            </w:tcMar>
            <w:vAlign w:val="center"/>
            <w:hideMark/>
          </w:tcPr>
          <w:p w14:paraId="3EA1B9F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24.0</w:t>
            </w:r>
          </w:p>
        </w:tc>
        <w:tc>
          <w:tcPr>
            <w:tcW w:w="992" w:type="dxa"/>
            <w:tcBorders>
              <w:bottom w:val="single" w:sz="12" w:space="0" w:color="000000"/>
            </w:tcBorders>
            <w:tcMar>
              <w:left w:w="0" w:type="dxa"/>
              <w:right w:w="0" w:type="dxa"/>
            </w:tcMar>
            <w:vAlign w:val="center"/>
          </w:tcPr>
          <w:p w14:paraId="5D67758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Borders>
              <w:bottom w:val="single" w:sz="12" w:space="0" w:color="000000"/>
            </w:tcBorders>
            <w:tcMar>
              <w:left w:w="0" w:type="dxa"/>
              <w:right w:w="0" w:type="dxa"/>
            </w:tcMar>
            <w:vAlign w:val="center"/>
          </w:tcPr>
          <w:p w14:paraId="6514573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32.4</w:t>
            </w:r>
          </w:p>
        </w:tc>
        <w:tc>
          <w:tcPr>
            <w:tcW w:w="992" w:type="dxa"/>
            <w:tcBorders>
              <w:bottom w:val="single" w:sz="12" w:space="0" w:color="000000"/>
            </w:tcBorders>
            <w:tcMar>
              <w:left w:w="0" w:type="dxa"/>
              <w:right w:w="0" w:type="dxa"/>
            </w:tcMar>
            <w:vAlign w:val="center"/>
          </w:tcPr>
          <w:p w14:paraId="5863BCE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35 (10-104)</w:t>
            </w:r>
          </w:p>
          <w:p w14:paraId="055248B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26 (10-194)</w:t>
            </w:r>
          </w:p>
        </w:tc>
        <w:tc>
          <w:tcPr>
            <w:tcW w:w="877" w:type="dxa"/>
            <w:tcBorders>
              <w:bottom w:val="single" w:sz="12" w:space="0" w:color="000000"/>
              <w:right w:val="single" w:sz="12" w:space="0" w:color="000000"/>
            </w:tcBorders>
            <w:tcMar>
              <w:left w:w="0" w:type="dxa"/>
              <w:right w:w="0" w:type="dxa"/>
            </w:tcMar>
            <w:vAlign w:val="center"/>
          </w:tcPr>
          <w:p w14:paraId="40BCCF8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5.5</w:t>
            </w:r>
          </w:p>
          <w:p w14:paraId="267149B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[3.9-13.5]</w:t>
            </w:r>
          </w:p>
        </w:tc>
        <w:tc>
          <w:tcPr>
            <w:tcW w:w="1107" w:type="dxa"/>
            <w:tcBorders>
              <w:left w:val="single" w:sz="12" w:space="0" w:color="000000"/>
              <w:bottom w:val="single" w:sz="12" w:space="0" w:color="000000"/>
            </w:tcBorders>
            <w:tcMar>
              <w:left w:w="0" w:type="dxa"/>
              <w:right w:w="0" w:type="dxa"/>
            </w:tcMar>
            <w:vAlign w:val="center"/>
          </w:tcPr>
          <w:p w14:paraId="6326317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165.0 [81.3-359],</w:t>
            </w:r>
          </w:p>
          <w:p w14:paraId="4B43CA3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174.3 [82.7-392.4]</w:t>
            </w:r>
          </w:p>
        </w:tc>
        <w:tc>
          <w:tcPr>
            <w:tcW w:w="992" w:type="dxa"/>
            <w:tcBorders>
              <w:bottom w:val="single" w:sz="12" w:space="0" w:color="000000"/>
            </w:tcBorders>
            <w:tcMar>
              <w:left w:w="0" w:type="dxa"/>
              <w:right w:w="0" w:type="dxa"/>
            </w:tcMar>
            <w:vAlign w:val="center"/>
          </w:tcPr>
          <w:p w14:paraId="02B0833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144.6</w:t>
            </w:r>
          </w:p>
          <w:p w14:paraId="48A7489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[72.0-385.7]</w:t>
            </w:r>
          </w:p>
        </w:tc>
        <w:tc>
          <w:tcPr>
            <w:tcW w:w="992" w:type="dxa"/>
            <w:tcBorders>
              <w:bottom w:val="single" w:sz="12" w:space="0" w:color="000000"/>
            </w:tcBorders>
            <w:noWrap/>
            <w:tcMar>
              <w:left w:w="0" w:type="dxa"/>
              <w:right w:w="0" w:type="dxa"/>
            </w:tcMar>
            <w:vAlign w:val="center"/>
            <w:hideMark/>
          </w:tcPr>
          <w:p w14:paraId="5497F69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167.6</w:t>
            </w:r>
          </w:p>
        </w:tc>
        <w:tc>
          <w:tcPr>
            <w:tcW w:w="878" w:type="dxa"/>
            <w:tcBorders>
              <w:bottom w:val="single" w:sz="12" w:space="0" w:color="000000"/>
              <w:right w:val="single" w:sz="12" w:space="0" w:color="000000"/>
            </w:tcBorders>
            <w:tcMar>
              <w:left w:w="0" w:type="dxa"/>
              <w:right w:w="0" w:type="dxa"/>
            </w:tcMar>
            <w:vAlign w:val="center"/>
          </w:tcPr>
          <w:p w14:paraId="64DBB86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91.5</w:t>
            </w:r>
          </w:p>
          <w:p w14:paraId="5C3E0E1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[38.3-236.4]</w:t>
            </w:r>
          </w:p>
        </w:tc>
      </w:tr>
      <w:bookmarkEnd w:id="1"/>
    </w:tbl>
    <w:p w14:paraId="74FE7FAE" w14:textId="77777777" w:rsidR="00DB55B4" w:rsidRPr="00DB55B4" w:rsidRDefault="00DB55B4" w:rsidP="00523AE9">
      <w:pPr>
        <w:spacing w:before="0" w:after="160" w:line="259" w:lineRule="auto"/>
        <w:jc w:val="both"/>
        <w:rPr>
          <w:rFonts w:eastAsia="Calibri" w:cs="Times New Roman"/>
          <w:sz w:val="16"/>
          <w:szCs w:val="16"/>
          <w:lang w:val="it-IT"/>
        </w:rPr>
      </w:pPr>
    </w:p>
    <w:p w14:paraId="62753DFB" w14:textId="77777777" w:rsidR="00DB55B4" w:rsidRPr="00DB55B4" w:rsidRDefault="00DB55B4" w:rsidP="00523AE9">
      <w:pPr>
        <w:spacing w:before="0" w:after="0"/>
        <w:jc w:val="both"/>
        <w:rPr>
          <w:rFonts w:eastAsia="Calibri" w:cs="Times New Roman"/>
          <w:szCs w:val="24"/>
          <w:lang w:val="it-IT"/>
        </w:rPr>
      </w:pPr>
      <w:r w:rsidRPr="00DB55B4">
        <w:rPr>
          <w:rFonts w:eastAsia="Calibri" w:cs="Times New Roman"/>
          <w:szCs w:val="24"/>
          <w:lang w:val="it-IT"/>
        </w:rPr>
        <w:t>Data are n (%), mean ± standard deviation,  median (range) or median [</w:t>
      </w:r>
      <w:r w:rsidRPr="00DB55B4">
        <w:rPr>
          <w:rFonts w:eastAsia="Calibri" w:cs="Times New Roman"/>
          <w:szCs w:val="24"/>
          <w:vertAlign w:val="superscript"/>
          <w:lang w:val="it-IT"/>
        </w:rPr>
        <w:t>25th-75th</w:t>
      </w:r>
      <w:r w:rsidRPr="00DB55B4">
        <w:rPr>
          <w:rFonts w:eastAsia="Calibri" w:cs="Times New Roman"/>
          <w:szCs w:val="24"/>
          <w:lang w:val="it-IT"/>
        </w:rPr>
        <w:t xml:space="preserve"> percentile] and based on analysis group. </w:t>
      </w:r>
    </w:p>
    <w:p w14:paraId="46D7A51E" w14:textId="77777777" w:rsidR="00DB55B4" w:rsidRPr="00DB55B4" w:rsidRDefault="00DB55B4" w:rsidP="00523AE9">
      <w:pPr>
        <w:spacing w:before="0" w:after="0"/>
        <w:jc w:val="both"/>
        <w:rPr>
          <w:rFonts w:eastAsia="Calibri" w:cs="Times New Roman"/>
          <w:szCs w:val="24"/>
          <w:lang w:val="it-IT"/>
        </w:rPr>
      </w:pPr>
      <w:r w:rsidRPr="00DB55B4">
        <w:rPr>
          <w:rFonts w:eastAsia="Calibri" w:cs="Times New Roman"/>
          <w:szCs w:val="24"/>
          <w:lang w:val="it-IT"/>
        </w:rPr>
        <w:t xml:space="preserve">*Based on efficacy group. </w:t>
      </w:r>
    </w:p>
    <w:p w14:paraId="59E64F0E" w14:textId="77777777" w:rsidR="00DB55B4" w:rsidRPr="00DB55B4" w:rsidRDefault="00DB55B4" w:rsidP="00523AE9">
      <w:pPr>
        <w:spacing w:before="0" w:after="160" w:line="259" w:lineRule="auto"/>
        <w:jc w:val="both"/>
        <w:rPr>
          <w:rFonts w:eastAsia="Arial" w:cs="Times New Roman"/>
          <w:b/>
          <w:bCs/>
          <w:sz w:val="22"/>
          <w:lang w:val="it-IT"/>
        </w:rPr>
      </w:pPr>
    </w:p>
    <w:bookmarkEnd w:id="0"/>
    <w:p w14:paraId="7373C026" w14:textId="77777777" w:rsidR="00DB55B4" w:rsidRPr="00DB55B4" w:rsidRDefault="00DB55B4" w:rsidP="00523AE9">
      <w:pPr>
        <w:spacing w:before="0" w:after="160" w:line="259" w:lineRule="auto"/>
        <w:contextualSpacing/>
        <w:jc w:val="both"/>
        <w:rPr>
          <w:rFonts w:eastAsia="Calibri" w:cs="Times New Roman"/>
          <w:sz w:val="16"/>
          <w:szCs w:val="16"/>
          <w:lang w:val="it-IT"/>
        </w:rPr>
      </w:pPr>
    </w:p>
    <w:p w14:paraId="3A9F5982" w14:textId="77777777" w:rsidR="00DB55B4" w:rsidRPr="00DB55B4" w:rsidRDefault="00DB55B4" w:rsidP="00523AE9">
      <w:pPr>
        <w:spacing w:before="0" w:after="160" w:line="259" w:lineRule="auto"/>
        <w:jc w:val="both"/>
        <w:rPr>
          <w:rFonts w:eastAsia="Calibri" w:cs="Times New Roman"/>
          <w:sz w:val="16"/>
          <w:szCs w:val="16"/>
          <w:lang w:val="it-IT"/>
        </w:rPr>
      </w:pPr>
      <w:r w:rsidRPr="00DB55B4">
        <w:rPr>
          <w:rFonts w:eastAsia="Calibri" w:cs="Times New Roman"/>
          <w:sz w:val="16"/>
          <w:szCs w:val="16"/>
          <w:lang w:val="it-IT"/>
        </w:rPr>
        <w:br w:type="page"/>
      </w:r>
    </w:p>
    <w:p w14:paraId="18054063" w14:textId="77777777" w:rsidR="00DB55B4" w:rsidRDefault="00DB55B4" w:rsidP="00523AE9">
      <w:pPr>
        <w:spacing w:before="0" w:after="160" w:line="259" w:lineRule="auto"/>
        <w:jc w:val="both"/>
        <w:rPr>
          <w:rFonts w:eastAsia="Arial" w:cs="Times New Roman"/>
          <w:b/>
          <w:bCs/>
          <w:sz w:val="22"/>
          <w:lang w:val="it-IT"/>
        </w:rPr>
      </w:pPr>
    </w:p>
    <w:p w14:paraId="0E3992B1" w14:textId="62775BAF" w:rsidR="00DB55B4" w:rsidRPr="00DB55B4" w:rsidRDefault="00DB55B4" w:rsidP="00523AE9">
      <w:pPr>
        <w:spacing w:before="0" w:after="160" w:line="259" w:lineRule="auto"/>
        <w:jc w:val="both"/>
        <w:rPr>
          <w:rFonts w:eastAsia="Arial" w:cs="Times New Roman"/>
          <w:b/>
          <w:bCs/>
          <w:szCs w:val="24"/>
          <w:lang w:val="it-IT"/>
        </w:rPr>
      </w:pPr>
      <w:r w:rsidRPr="00DB55B4">
        <w:rPr>
          <w:rFonts w:eastAsia="Arial" w:cs="Times New Roman"/>
          <w:b/>
          <w:bCs/>
          <w:szCs w:val="24"/>
          <w:lang w:val="it-IT"/>
        </w:rPr>
        <w:t xml:space="preserve">Supplementary Table 2. Comparison of Cannabidiol safety in previously published </w:t>
      </w:r>
      <w:r w:rsidRPr="00DB55B4">
        <w:rPr>
          <w:rFonts w:eastAsia="Calibri" w:cs="Times New Roman"/>
          <w:b/>
          <w:bCs/>
          <w:szCs w:val="24"/>
          <w:lang w:val="it-IT"/>
        </w:rPr>
        <w:t xml:space="preserve">open-label and </w:t>
      </w:r>
      <w:r w:rsidRPr="00DB55B4">
        <w:rPr>
          <w:rFonts w:eastAsia="Arial" w:cs="Times New Roman"/>
          <w:b/>
          <w:bCs/>
          <w:szCs w:val="24"/>
          <w:lang w:val="it-IT"/>
        </w:rPr>
        <w:t xml:space="preserve">randomized controlled trials. </w:t>
      </w:r>
    </w:p>
    <w:tbl>
      <w:tblPr>
        <w:tblStyle w:val="Grilledutableau1"/>
        <w:tblW w:w="14170" w:type="dxa"/>
        <w:jc w:val="center"/>
        <w:tblLayout w:type="fixed"/>
        <w:tblLook w:val="06A0" w:firstRow="1" w:lastRow="0" w:firstColumn="1" w:lastColumn="0" w:noHBand="1" w:noVBand="1"/>
      </w:tblPr>
      <w:tblGrid>
        <w:gridCol w:w="1555"/>
        <w:gridCol w:w="970"/>
        <w:gridCol w:w="970"/>
        <w:gridCol w:w="971"/>
        <w:gridCol w:w="970"/>
        <w:gridCol w:w="970"/>
        <w:gridCol w:w="971"/>
        <w:gridCol w:w="970"/>
        <w:gridCol w:w="971"/>
        <w:gridCol w:w="970"/>
        <w:gridCol w:w="970"/>
        <w:gridCol w:w="971"/>
        <w:gridCol w:w="970"/>
        <w:gridCol w:w="971"/>
      </w:tblGrid>
      <w:tr w:rsidR="00DB55B4" w:rsidRPr="00DB55B4" w14:paraId="0D8F57F0" w14:textId="77777777" w:rsidTr="00591A66">
        <w:trPr>
          <w:jc w:val="center"/>
        </w:trPr>
        <w:tc>
          <w:tcPr>
            <w:tcW w:w="1555" w:type="dxa"/>
            <w:tcBorders>
              <w:bottom w:val="single" w:sz="4" w:space="0" w:color="auto"/>
              <w:right w:val="single" w:sz="12" w:space="0" w:color="000000"/>
            </w:tcBorders>
            <w:shd w:val="clear" w:color="auto" w:fill="E7E6E6"/>
            <w:vAlign w:val="center"/>
          </w:tcPr>
          <w:p w14:paraId="51BD4832" w14:textId="77777777" w:rsidR="00DB55B4" w:rsidRPr="00DB55B4" w:rsidRDefault="00DB55B4" w:rsidP="00591A66">
            <w:pPr>
              <w:spacing w:before="0" w:after="0"/>
              <w:jc w:val="center"/>
              <w:rPr>
                <w:rFonts w:eastAsia="Arial" w:cs="Times New Roman"/>
                <w:sz w:val="12"/>
                <w:szCs w:val="12"/>
              </w:rPr>
            </w:pPr>
          </w:p>
        </w:tc>
        <w:tc>
          <w:tcPr>
            <w:tcW w:w="3881" w:type="dxa"/>
            <w:gridSpan w:val="4"/>
            <w:tcBorders>
              <w:top w:val="single" w:sz="12" w:space="0" w:color="000000"/>
              <w:left w:val="single" w:sz="12" w:space="0" w:color="000000"/>
              <w:bottom w:val="single" w:sz="12" w:space="0" w:color="000000"/>
              <w:right w:val="single" w:sz="12" w:space="0" w:color="000000"/>
            </w:tcBorders>
            <w:shd w:val="clear" w:color="auto" w:fill="E7E6E6"/>
            <w:vAlign w:val="center"/>
          </w:tcPr>
          <w:p w14:paraId="65879355"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Drug-resistant epilepsy</w:t>
            </w:r>
          </w:p>
        </w:tc>
        <w:tc>
          <w:tcPr>
            <w:tcW w:w="4852" w:type="dxa"/>
            <w:gridSpan w:val="5"/>
            <w:tcBorders>
              <w:top w:val="single" w:sz="12" w:space="0" w:color="000000"/>
              <w:left w:val="single" w:sz="12" w:space="0" w:color="000000"/>
              <w:bottom w:val="single" w:sz="12" w:space="0" w:color="000000"/>
              <w:right w:val="single" w:sz="12" w:space="0" w:color="000000"/>
            </w:tcBorders>
            <w:shd w:val="clear" w:color="auto" w:fill="E7E6E6"/>
            <w:vAlign w:val="center"/>
          </w:tcPr>
          <w:p w14:paraId="1D2C16AC"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Dravet syndrome</w:t>
            </w:r>
          </w:p>
        </w:tc>
        <w:tc>
          <w:tcPr>
            <w:tcW w:w="3882" w:type="dxa"/>
            <w:gridSpan w:val="4"/>
            <w:tcBorders>
              <w:top w:val="single" w:sz="12" w:space="0" w:color="000000"/>
              <w:left w:val="single" w:sz="12" w:space="0" w:color="000000"/>
              <w:bottom w:val="single" w:sz="12" w:space="0" w:color="000000"/>
              <w:right w:val="single" w:sz="12" w:space="0" w:color="000000"/>
            </w:tcBorders>
            <w:shd w:val="clear" w:color="auto" w:fill="E7E6E6"/>
            <w:vAlign w:val="center"/>
          </w:tcPr>
          <w:p w14:paraId="3F6E8273"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Lennox-Gastaut syndrome</w:t>
            </w:r>
          </w:p>
        </w:tc>
      </w:tr>
      <w:tr w:rsidR="006F499D" w:rsidRPr="00DB55B4" w14:paraId="6817BB80" w14:textId="77777777" w:rsidTr="00591A66">
        <w:trPr>
          <w:jc w:val="center"/>
        </w:trPr>
        <w:tc>
          <w:tcPr>
            <w:tcW w:w="1555" w:type="dxa"/>
            <w:tcBorders>
              <w:top w:val="single" w:sz="4" w:space="0" w:color="auto"/>
              <w:left w:val="single" w:sz="4" w:space="0" w:color="auto"/>
              <w:bottom w:val="single" w:sz="4" w:space="0" w:color="auto"/>
              <w:right w:val="single" w:sz="12" w:space="0" w:color="000000"/>
            </w:tcBorders>
            <w:shd w:val="clear" w:color="auto" w:fill="E7E6E6"/>
            <w:vAlign w:val="center"/>
          </w:tcPr>
          <w:p w14:paraId="4F2D43B7" w14:textId="77777777" w:rsidR="006F499D" w:rsidRPr="00DB55B4" w:rsidRDefault="006F499D" w:rsidP="00591A66">
            <w:pPr>
              <w:spacing w:before="0" w:after="0"/>
              <w:jc w:val="center"/>
              <w:rPr>
                <w:rFonts w:eastAsia="Arial" w:cs="Times New Roman"/>
                <w:sz w:val="12"/>
                <w:szCs w:val="12"/>
              </w:rPr>
            </w:pPr>
          </w:p>
        </w:tc>
        <w:tc>
          <w:tcPr>
            <w:tcW w:w="970" w:type="dxa"/>
            <w:tcBorders>
              <w:top w:val="single" w:sz="12" w:space="0" w:color="000000"/>
              <w:left w:val="single" w:sz="12" w:space="0" w:color="000000"/>
              <w:bottom w:val="single" w:sz="4" w:space="0" w:color="auto"/>
            </w:tcBorders>
            <w:shd w:val="clear" w:color="auto" w:fill="E7E6E6"/>
            <w:vAlign w:val="center"/>
          </w:tcPr>
          <w:p w14:paraId="0C76B252"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40A3BE58"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2016</w:t>
            </w:r>
          </w:p>
          <w:p w14:paraId="168B9FCC" w14:textId="4C52EA49" w:rsidR="006F499D" w:rsidRPr="00DB55B4" w:rsidRDefault="006F499D"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{"citationItems":[{"id":"ITEM-1","itemData":{"DOI":"10.1016/S1474-4422(15)00379-8","ISSN":"14744465","PMID":"26724101","abstract":"Background Almost a third of patients with epilepsy have a treatment-resistant form, which is associated with severe morbidity and increased mortality. Cannabis-based treatments for epilepsy have generated much interest, but scientific data are scarce. We aimed to establish whether addition of cannabidiol to existing anti-epileptic regimens would be safe, tolerated, and efficacious in children and young adults with treatment-resistant epilepsy. Methods In this open-label trial, patients (aged 1–30 years) with severe, intractable, childhood-onset, treatment-resistant epilepsy, who were receiving stable doses of antiepileptic drugs before study entry, were enrolled in an expanded-access programme at 11 epilepsy centres across the USA. Patients were given oral cannabidiol at 2–5 mg/kg per day, up-titrated until intolerance or to a maximum dose of 25 mg/kg or 50 mg/kg per day (dependent on study site). The primary objective was to establish the safety and tolerability of cannabidiol and the primary efficacy endpoint was median percentage change in the mean monthly frequency of motor seizures at 12 weeks. The efficacy analysis was by modified intention to treat. Comparisons of the percentage change in frequency of motor seizures were done with a Mann-Whitney U test. Results Between Jan 15, 2014, and Jan 15, 2015, 214 patients were enrolled; 162 (76%) patients who had at least 12 weeks of follow-up after the first dose of cannabidiol were included in the safety and tolerability analysis, and 137 (64%) patients were included in the efficacy analysis. In the safety group, 33 (20%) patients had Dravet syndrome and 31 (19%) patients had Lennox-Gastaut syndrome. The remaining patients had intractable epilepsies of different causes and type. Adverse events were reported in 128 (79%) of the 162 patients within the safety group. Adverse events reported in more than 10% of patients were somnolence (n=41 [25%]), decreased appetite (n=31 [19%]), diarrhoea (n=31 [19%]), fatigue (n=21 [13%]), and convulsion (n=18 [11%]). Five (3%) patients discontinued treatment because of an adverse event. Serious adverse events were reported in 48 (30%) patients, including one death—a sudden unexpected death in epilepsy regarded as unrelated to study drug. 20 (12%) patients had severe adverse events possibly related to cannabidiol use, the most common of which was status epilepticus (n=9 [6%]). The median monthly frequency of motor seizures was 30·0 (IQR 11·0–96·0) at baseline and 15·8 …","author":[{"dropping-particle":"","family":"Devinsky","given":"Orrin","non-dropping-particle":"","parse-names":false,"suffix":""},{"dropping-particle":"","family":"Marsh","given":"Eric","non-dropping-particle":"","parse-names":false,"suffix":""},{"dropping-particle":"","family":"Friedman","given":"Daniel","non-dropping-particle":"","parse-names":false,"suffix":""},{"dropping-particle":"","family":"Thiele","given":"Elizabeth","non-dropping-particle":"","parse-names":false,"suffix":""},{"dropping-particle":"","family":"Laux","given":"Linda","non-dropping-particle":"","parse-names":false,"suffix":""},{"dropping-particle":"","family":"Sullivan","given":"Joseph","non-dropping-particle":"","parse-names":false,"suffix":""},{"dropping-particle":"","family":"Miller","given":"Ian","non-dropping-particle":"","parse-names":false,"suffix":""},{"dropping-particle":"","family":"Flamini","given":"Robert","non-dropping-particle":"","parse-names":false,"suffix":""},{"dropping-particle":"","family":"Wilfong","given":"Angus","non-dropping-particle":"","parse-names":false,"suffix":""},{"dropping-particle":"","family":"Filloux","given":"Francis","non-dropping-particle":"","parse-names":false,"suffix":""},{"dropping-particle":"","family":"Wong","given":"Matthew","non-dropping-particle":"","parse-names":false,"suffix":""},{"dropping-particle":"","family":"Tilton","given":"Nicole","non-dropping-particle":"","parse-names":false,"suffix":""},{"dropping-particle":"","family":"Bruno","given":"Patricia","non-dropping-particle":"","parse-names":false,"suffix":""},{"dropping-particle":"","family":"Bluvstein","given":"Judith","non-dropping-particle":"","parse-names":false,"suffix":""},{"dropping-particle":"","family":"Hedlund","given":"Julie","non-dropping-particle":"","parse-names":false,"suffix":""},{"dropping-particle":"","family":"Kamens","given":"Rebecca","non-dropping-particle":"","parse-names":false,"suffix":""},{"dropping-particle":"","family":"Maclean","given":"Jane","non-dropping-particle":"","parse-names":false,"suffix":""},{"dropping-particle":"","family":"Nangia","given":"Srishti","non-dropping-particle":"","parse-names":false,"suffix":""},{"dropping-particle":"","family":"Singhal","given":"Nilika Shah","non-dropping-particle":"","parse-names":false,"suffix":""},{"dropping-particle":"","family":"Wilson","given":"Carey A.","non-dropping-particle":"","parse-names":false,"suffix":""},{"dropping-particle":"","family":"Patel","given":"Anup","non-dropping-particle":"","parse-names":false,"suffix":""},{"dropping-particle":"","family":"Cilio","given":"Maria Roberta","non-dropping-particle":"","parse-names":false,"suffix":""}],"container-title":"The Lancet Neurology","id":"ITEM-1","issue":"3","issued":{"date-parts":[["2016"]]},"page":"270-278","publisher":"Elsevier Ltd","title":"Cannabidiol in patients with treatment-resistant epilepsy: an open-label interventional trial","type":"article-journal","volume":"15"},"uris":["http://www.mendeley.com/documents/?uuid=5d3b820f-11b5-4699-a55a-cf435d11ad54"]}],"mendeley":{"formattedCitation":"(1)","plainTextFormattedCitation":"(1)","previouslyFormattedCitation":"(1)"},"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(1)</w:t>
            </w:r>
            <w:r w:rsidRPr="00DB55B4">
              <w:rPr>
                <w:rFonts w:eastAsia="Arial" w:cs="Times New Roman"/>
                <w:b/>
                <w:bCs/>
                <w:i/>
                <w:iCs/>
                <w:color w:val="000000"/>
                <w:sz w:val="12"/>
                <w:szCs w:val="12"/>
              </w:rPr>
              <w:fldChar w:fldCharType="end"/>
            </w:r>
          </w:p>
        </w:tc>
        <w:tc>
          <w:tcPr>
            <w:tcW w:w="970" w:type="dxa"/>
            <w:tcBorders>
              <w:top w:val="single" w:sz="12" w:space="0" w:color="000000"/>
              <w:bottom w:val="single" w:sz="4" w:space="0" w:color="auto"/>
            </w:tcBorders>
            <w:shd w:val="clear" w:color="auto" w:fill="E7E6E6"/>
            <w:vAlign w:val="center"/>
          </w:tcPr>
          <w:p w14:paraId="299039A1"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Szaflarski</w:t>
            </w:r>
          </w:p>
          <w:p w14:paraId="1CFF9362"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057E0032" w14:textId="0275E2AC" w:rsidR="006F499D" w:rsidRPr="00DB55B4" w:rsidRDefault="006F499D"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{"citationItems":[{"id":"ITEM-1","itemData":{"DOI":"10.1111/epi.14477","ISSN":"15281167","PMID":"29998598","abstract":"Objective: Since 2014, cannabidiol (CBD) has been administered to patients with treatment-resistant epilepsies (TREs) in an ongoing expanded-access program (EAP). We report interim results on the safety and efficacy of CBD in EAP patients treated through December 2016. Methods: Twenty-five US-based EAP sites enrolling patients with TRE taking stable doses of antiepileptic drugs (AEDs) at baseline were included. During the 4-week baseline period, parents/caregivers kept diaries of all countable seizure types. Patients received oral CBD starting at 2-10 mg/kg/d, titrated to a maximum dose of 25-50 mg/kg/d. Patient visits were every 2-4 weeks through 16 weeks and every 2-12 weeks thereafter. Efficacy endpoints included the percentage change from baseline in median monthly convulsive and total seizure frequency, and percentage of patients with ≥50%, ≥75%, and 100% reductions in seizures vs baseline. Data were analyzed descriptively for the efficacy analysis set and using the last-observation-carried-forward method to account for missing data. Adverse events (AEs) were documented at each visit. Results: Of 607 patients in the safety dataset, 146 (24%) withdrew; the most common reasons were lack of efficacy (89 [15%]) and AEs (32 [5%]). Mean age was 13 years (range, 0.4-62). Median number of concomitant AEDs was 3 (range, 0-10). Median CBD dose was 25 mg/kg/d; median treatment duration was 48 weeks. Add-on CBD reduced median monthly convulsive seizures by 51% and total seizures by 48% at 12 weeks; reductions were similar through 96 weeks. Proportion of patients with ≥50%, ≥75%, and 100% reductions in convulsive seizures were 52%, 31%, and 11%, respectively, at 12 weeks, with similar rates through 96 weeks. CBD was generally well tolerated; most common AEs were diarrhea (29%) and somnolence (22%). Significance: Results from this ongoing EAP support previous observational and clinical trial data showing that add-on CBD may be an efficacious long-term treatment option for TRE.","author":[{"dropping-particle":"","family":"Szaflarski","given":"Jerzy P.","non-dropping-particle":"","parse-names":false,"suffix":""},{"dropping-particle":"","family":"Bebin","given":"Elizabeth Martina","non-dropping-particle":"","parse-names":false,"suffix":""},{"dropping-particle":"","family":"Comi","given":"Anne M.","non-dropping-particle":"","parse-names":false,"suffix":""},{"dropping-particle":"","family":"Patel","given":"Anup D.","non-dropping-particle":"","parse-names":false,"suffix":""},{"dropping-particle":"","family":"Joshi","given":"Charuta","non-dropping-particle":"","parse-names":false,"suffix":""},{"dropping-particle":"","family":"Checketts","given":"Daniel","non-dropping-particle":"","parse-names":false,"suffix":""},{"dropping-particle":"","family":"Beal","given":"Jules C.","non-dropping-particle":"","parse-names":false,"suffix":""},{"dropping-particle":"","family":"Laux","given":"Linda C.","non-dropping-particle":"","parse-names":false,"suffix":""},{"dropping-particle":"","family":"Boer","given":"Lisa M.","non-dropping-particle":"De","parse-names":false,"suffix":""},{"dropping-particle":"","family":"Wong","given":"Matthew H.","non-dropping-particle":"","parse-names":false,"suffix":""},{"dropping-particle":"","family":"Lopez","given":"Merrick","non-dropping-particle":"","parse-names":false,"suffix":""},{"dropping-particle":"","family":"Devinsky","given":"Orrin","non-dropping-particle":"","parse-names":false,"suffix":""},{"dropping-particle":"","family":"Lyons","given":"Paul D.","non-dropping-particle":"","parse-names":false,"suffix":""},{"dropping-particle":"","family":"Zentil","given":"Pilar Pichon","non-dropping-particle":"","parse-names":false,"suffix":""},{"dropping-particle":"","family":"Wechsler","given":"Robert","non-dropping-particle":"","parse-names":false,"suffix":""},{"dropping-particle":"","family":"Chez","given":"Michael","non-dropping-particle":"","parse-names":false,"suffix":""},{"dropping-particle":"","family":"Flamini","given":"Robert","non-dropping-particle":"","parse-names":false,"suffix":""},{"dropping-particle":"","family":"Marsh","given":"Eric D.","non-dropping-particle":"","parse-names":false,"suffix":""},{"dropping-particle":"","family":"Miller","given":"Ian","non-dropping-particle":"","parse-names":false,"suffix":""},{"dropping-particle":"","family":"Park","given":"Yong","non-dropping-particle":"","parse-names":false,"suffix":""},{"dropping-particle":"","family":"Segal","given":"Eric","non-dropping-particle":"","parse-names":false,"suffix":""},{"dropping-particle":"","family":"Seltzer","given":"Laurie","non-dropping-particle":"","parse-names":false,"suffix":""},{"dropping-particle":"","family":"Thiele","given":"Elizabeth A.","non-dropping-particle":"","parse-names":false,"suffix":""},{"dropping-particle":"","family":"Weinstock","given":"Arie","non-dropping-particle":"","parse-names":false,"suffix":""}],"container-title":"Epilepsia","id":"ITEM-1","issue":"8","issued":{"date-parts":[["2018","8","1"]]},"page":"1540-1548","publisher":"Blackwell Publishing Inc.","title":"Long-term safety and treatment effects of cannabidiol in children and adults with treatment-resistant epilepsies: Expanded access program results","type":"article-journal","volume":"59"},"uris":["http://www.mendeley.com/documents/?uuid=cd87fa05-76b5-432e-a11d-aabb8ad12aad"]}],"mendeley":{"formattedCitation":"(2)","plainTextFormattedCitation":"(2)","previouslyFormattedCitation":"(2)"},"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(2)</w:t>
            </w:r>
            <w:r w:rsidRPr="00DB55B4">
              <w:rPr>
                <w:rFonts w:eastAsia="Arial" w:cs="Times New Roman"/>
                <w:b/>
                <w:bCs/>
                <w:i/>
                <w:iCs/>
                <w:color w:val="000000"/>
                <w:sz w:val="12"/>
                <w:szCs w:val="12"/>
              </w:rPr>
              <w:fldChar w:fldCharType="end"/>
            </w:r>
          </w:p>
        </w:tc>
        <w:tc>
          <w:tcPr>
            <w:tcW w:w="971" w:type="dxa"/>
            <w:tcBorders>
              <w:top w:val="single" w:sz="12" w:space="0" w:color="000000"/>
              <w:bottom w:val="single" w:sz="4" w:space="0" w:color="auto"/>
            </w:tcBorders>
            <w:shd w:val="clear" w:color="auto" w:fill="E7E6E6"/>
            <w:vAlign w:val="center"/>
          </w:tcPr>
          <w:p w14:paraId="4C306C9C"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Laux</w:t>
            </w:r>
          </w:p>
          <w:p w14:paraId="78C371A3"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2019</w:t>
            </w:r>
          </w:p>
          <w:p w14:paraId="493BB4E5" w14:textId="2B6CA61C"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{"citationItems":[{"id":"ITEM-1","itemData":{"DOI":"10.1016/j.eplepsyres.2019.03.015","ISSN":"18726844","abstract":"Background: Since 2014, patients with severe treatment-resistant epilepsies (TREs) have been receiving add-on cannabidiol (CBD) in an ongoing, expanded access program (EAP), which closely reflects clinical practice. We conducted an interim analysis of long-term efficacy and tolerability in patients with Lennox-Gastaut syndrome (LGS) or Dravet syndrome (DS) who received CBD treatment through December 2016. Methods: Children and adults with LGS/DS taking stable doses of antiepileptic drugs (AEDs) at baseline were included from 25 EAP sites across the United States. During the 4-week baseline period, parents/caregivers kept diaries of all countable seizure types. Patients received a pharmaceutical formulation of highly purified CBD (Epidiolex®; 100 mg/mL) in oral solution at 2–10 mg/kg/day, titrated until tolerability limit or a maximum dose of 25–50 mg/kg/day. Patient visits were every 2–4 weeks. The percentage change from baseline in median monthly convulsive (ie, major motor) and total seizures was evaluated at 12-week intervals through 96 weeks. The percentages of patients who had ≥50%, ≥75%, and 100% reduction in monthly seizures relative to the baseline period were also evaluated. Adverse events (AEs) were monitored and summarized for the safety analysis set (SAS) through 144 weeks. Results: Of the 607 patients in the SAS, 58 had DS and 94 had LGS (N = 152); 455 patients had other TREs. Twenty-eight percent of LGS/DS patients withdrew, primarily owing to lack of efficacy (20%). LGS/DS patients were taking a median of 3 (0–10) concomitant AEDs. Median treatment duration was 78.3 (range, 4.1–146.4) weeks. Between weeks 12 and 96, median CBD dose ranged from 21 to 25 mg/kg/day. At 12 weeks, add-on CBD reduced median monthly major motor seizures by 50% and total seizures by 44%, with consistent reductions in both seizure types through 96 weeks. At 12 weeks, the proportions of patients with ≥50%, ≥75%, and 100% reductions in major motor seizures were 53%, 23%, and 6%; the proportions with corresponding reductions in total seizures were 46%, 26%, and 5%. Responder rates for both seizure types were consistent through 96 weeks. CBD had an acceptable safety profile; the most common AEs were somnolence (30%) and diarrhea (24%). Conclusions: Results from this interim analysis support add-on CBD as an effective long-term treatment option in LGS or DS.","author":[{"dropping-particle":"","family":"Laux","given":"Linda C.","non-dropping-particle":"","parse-names":false,"suffix":""},{"dropping-particle":"","family":"Bebin","given":"E. Martina","non-dropping-particle":"","parse-names":false,"suffix":""},{"dropping-particle":"","family":"Checketts","given":"Daniel","non-dropping-particle":"","parse-names":false,"suffix":""},{"dropping-particle":"","family":"Chez","given":"Michael","non-dropping-particle":"","parse-names":false,"suffix":""},{"dropping-particle":"","family":"Flamini","given":"Robert","non-dropping-particle":"","parse-names":false,"suffix":""},{"dropping-particle":"","family":"Marsh","given":"Eric D.","non-dropping-particle":"","parse-names":false,"suffix":""},{"dropping-particle":"","family":"Miller","given":"Ian","non-dropping-particle":"","parse-names":false,"suffix":""},{"dropping-particle":"","family":"Nichol","given":"Kathryn","non-dropping-particle":"","parse-names":false,"suffix":""},{"dropping-particle":"","family":"Park","given":"Yong","non-dropping-particle":"","parse-names":false,"suffix":""},{"dropping-particle":"","family":"Segal","given":"Eric","non-dropping-particle":"","parse-names":false,"suffix":""},{"dropping-particle":"","family":"Seltzer","given":"Laurie","non-dropping-particle":"","parse-names":false,"suffix":""},{"dropping-particle":"","family":"Szaflarski","given":"Jerzy P.","non-dropping-particle":"","parse-names":false,"suffix":""},{"dropping-particle":"","family":"Thiele","given":"Elizabeth A.","non-dropping-particle":"","parse-names":false,"suffix":""},{"dropping-particle":"","family":"Weinstock","given":"Arie","non-dropping-particle":"","parse-names":false,"suffix":""}],"container-title":"Epilepsy Research","id":"ITEM-1","issue":"January","issued":{"date-parts":[["2019"]]},"page":"13-20","publisher":"Elsevier","title":"Long-term safety and efficacy of cannabidiol in children and adults with treatmentresistant Lennox-Gastaut syndrome or Dravet syndrome: Expanded access program results","type":"article-journal","volume":"154"},"uris":["http://www.mendeley.com/documents/?uuid=8fab2823-0eab-40de-b87b-dad918e475e4"]}],"mendeley":{"formattedCitation":"(3)","plainTextFormattedCitation":"(3)","previouslyFormattedCitation":"(3)"},"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(3)</w:t>
            </w:r>
            <w:r w:rsidRPr="00DB55B4">
              <w:rPr>
                <w:rFonts w:eastAsia="Arial" w:cs="Times New Roman"/>
                <w:b/>
                <w:bCs/>
                <w:i/>
                <w:iCs/>
                <w:color w:val="000000"/>
                <w:sz w:val="12"/>
                <w:szCs w:val="12"/>
              </w:rPr>
              <w:fldChar w:fldCharType="end"/>
            </w:r>
          </w:p>
        </w:tc>
        <w:tc>
          <w:tcPr>
            <w:tcW w:w="970" w:type="dxa"/>
            <w:tcBorders>
              <w:top w:val="single" w:sz="12" w:space="0" w:color="000000"/>
              <w:bottom w:val="single" w:sz="4" w:space="0" w:color="auto"/>
              <w:right w:val="single" w:sz="12" w:space="0" w:color="000000"/>
            </w:tcBorders>
            <w:shd w:val="clear" w:color="auto" w:fill="E7E6E6"/>
            <w:vAlign w:val="center"/>
          </w:tcPr>
          <w:p w14:paraId="12977FD3" w14:textId="623066EC"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Our study</w:t>
            </w:r>
          </w:p>
        </w:tc>
        <w:tc>
          <w:tcPr>
            <w:tcW w:w="970" w:type="dxa"/>
            <w:tcBorders>
              <w:top w:val="single" w:sz="12" w:space="0" w:color="000000"/>
              <w:left w:val="single" w:sz="12" w:space="0" w:color="000000"/>
              <w:bottom w:val="single" w:sz="4" w:space="0" w:color="auto"/>
            </w:tcBorders>
            <w:shd w:val="clear" w:color="auto" w:fill="E7E6E6"/>
            <w:vAlign w:val="center"/>
          </w:tcPr>
          <w:p w14:paraId="15017D55"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7531D275"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2017</w:t>
            </w:r>
          </w:p>
          <w:p w14:paraId="590F71D4" w14:textId="2109FD96" w:rsidR="006F499D" w:rsidRPr="00DB55B4" w:rsidRDefault="006F499D"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{"citationItems":[{"id":"ITEM-1","itemData":{"DOI":"10.1056/NEJMoa1611618","ISSN":"15334406","PMID":"28538134","abstract":"BACKGROUND The Dravet syndrome is a complex childhood epilepsy disorder that is associated with drug-resistant seizures and a high mortality rate. We studied cannabidiol for the treatment of drug-resistant seizures in the Dravet syndrome. METHODS In this double-blind, placebo-controlled trial, we randomly assigned 120 children and young adults with the Dravet syndrome and drug-resistant seizures to receive either cannabidiol oral solution at a dose of 20 mg per kilogram of body weight per day or placebo, in addition to standard antiepileptic treatment. The primary end point was the change in convulsive-seizure frequency over a 14-week treatment period, as compared with a 4-week baseline period. RESULTS The median frequency of convulsive seizures per month decreased from 12.4 to 5.9 with cannabidiol, as compared with a decrease from 14.9 to 14.1 with placebo (adjusted median difference between the cannabidiol group and the placebo group in change in seizure frequency, -22.8 percentage points; 95% confidence interval [CI], -41.1 to -5.4; P = 0.01). The percentage of patients who had at least a 50% reduction in convulsiveseizure frequency was 43% with cannabidiol and 27% with placebo (odds ratio, 2.00; 95% CI, 0.93 to 4.30; P = 0.08). The patient's overall condition improved by at least one category on the seven-category Caregiver Global Impression of Change scale in 62% of the cannabidiol group as compared with 34% of the placebo group (P = 0.02). The frequency of total seizures of all types was significantly reduced with cannabidiol (P = 0.03), but there was no significant reduction in nonconvulsive seizures. The percentage of patients who became seizure-free was 5% with cannabidiol and 0% with placebo (P = 0.08). Adverse events that occurred more frequently in the cannabidiol group than in the placebo group included diarrhea, vomiting, fatigue, pyrexia, somnolence, and abnormal results on liver-function tests. There were more withdrawals from the trial in the cannabidiol group. CONCLUSIONS Among patients with the Dravet syndrome, cannabidiol resulted in a greater reduction in convulsive-seizure frequency than placebo and was associated with higher rates of adverse events. (Funded by GW Pharmaceuticals; ClinicalTrials.gov number, NCT02091375.).","author":[{"dropping-particle":"","family":"Devinsky","given":"Orrin","non-dropping-particle":"","parse-names":false,"suffix":""},{"dropping-particle":"","family":"Cross","given":"J. Helen","non-dropping-particle":"","parse-names":false,"suffix":""},{"dropping-particle":"","family":"Laux","given":"Linda","non-dropping-particle":"","parse-names":false,"suffix":""},{"dropping-particle":"","family":"Marsh","given":"Eric","non-dropping-particle":"","parse-names":false,"suffix":""},{"dropping-particle":"","family":"Miller","given":"Ian","non-dropping-particle":"","parse-names":false,"suffix":""},{"dropping-particle":"","family":"Nabbout","given":"Rima","non-dropping-particle":"","parse-names":false,"suffix":""},{"dropping-particle":"","family":"Scheffer","given":"Ingrid E.","non-dropping-particle":"","parse-names":false,"suffix":""},{"dropping-particle":"","family":"Thiele","given":"Elizabeth A.","non-dropping-particle":"","parse-names":false,"suffix":""},{"dropping-particle":"","family":"Wright","given":"Stephen","non-dropping-particle":"","parse-names":false,"suffix":""}],"container-title":"New England Journal of Medicine","id":"ITEM-1","issue":"21","issued":{"date-parts":[["2017"]]},"page":"2011-2020","title":"Trial of cannabidiol for drug-resistant seizures in the dravet syndrome","type":"article-journal","volume":"376"},"uris":["http://www.mendeley.com/documents/?uuid=cdefa4c4-ce24-4c90-bf00-2e56e318267e"]}],"mendeley":{"formattedCitation":"(4)","plainTextFormattedCitation":"(4)","previouslyFormattedCitation":"(4)"},"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(4)</w:t>
            </w:r>
            <w:r w:rsidRPr="00DB55B4">
              <w:rPr>
                <w:rFonts w:eastAsia="Arial" w:cs="Times New Roman"/>
                <w:b/>
                <w:bCs/>
                <w:i/>
                <w:iCs/>
                <w:color w:val="000000"/>
                <w:sz w:val="12"/>
                <w:szCs w:val="12"/>
              </w:rPr>
              <w:fldChar w:fldCharType="end"/>
            </w:r>
          </w:p>
        </w:tc>
        <w:tc>
          <w:tcPr>
            <w:tcW w:w="971" w:type="dxa"/>
            <w:tcBorders>
              <w:top w:val="single" w:sz="12" w:space="0" w:color="000000"/>
              <w:bottom w:val="single" w:sz="4" w:space="0" w:color="auto"/>
            </w:tcBorders>
            <w:shd w:val="clear" w:color="auto" w:fill="E7E6E6"/>
            <w:vAlign w:val="center"/>
          </w:tcPr>
          <w:p w14:paraId="4C8F7F77"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3819CCFA"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408ECA5A" w14:textId="78A6CA3A" w:rsidR="006F499D" w:rsidRPr="00DB55B4" w:rsidRDefault="006F499D"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{"citationItems":[{"id":"ITEM-1","itemData":{"DOI":"10.1212/WNL.0000000000005254","ISBN":"0000000000","ISSN":"1526632X","PMID":"29540584","abstract":"OBJECTIVE: To evaluate the safety and preliminary pharmacokinetics of a pharmaceutical formulation of purified cannabidiol (CBD) in children with Dravet syndrome. METHODS: Patients aged 4-10 years were randomized 4:1 to CBD (5, 10, or 20 mg/kg/d) or placebo taken twice daily. The double-blind trial comprised 4-week baseline, 3-week treatment (including titration), 10-day taper, and 4-week follow-up periods. Completers could continue in an open-label extension. Multiple pharmacokinetic blood samples were taken on the first day of dosing and at end of treatment for measurement of CBD, its metabolites 6-OH-CBD, 7-OH-CBD, and 7-COOH-CBD, and antiepileptic drugs (AEDs; clobazam and metabolite N-desmethylclobazam [N-CLB], valproate, levetiracetam, topiramate, and stiripentol). Safety assessments were clinical laboratory tests, physical examinations, vital signs, ECGs, adverse events (AEs), seizure frequency, and suicidality. RESULTS: Thirty-four patients were randomized (10, 8, and 9 to the 5, 10, and 20 mg/kg/d CBD groups, and 7 to placebo); 32 (94%) completed treatment. Exposure to CBD and its metabolites was dose-proportional (AUC0-t). CBD did not affect concomitant AED levels, apart from an increase in N-CLB (except in patients taking stiripentol). The most common AEs on CBD were pyrexia, somnolence, decreased appetite, sedation, vomiting, ataxia, and abnormal behavior. Six patients taking CBD and valproate developed elevated transaminases; none met criteria for drug-induced liver injury and all recovered. No other clinically relevant safety signals were observed. CONCLUSIONS: Exposure to CBD and its metabolites increased proportionally with dose. An interaction with N-CLB was observed, likely related to CBD inhibition of cytochrome P450 subtype 2C19. CBD resulted in more AEs than placebo but was generally well-tolerated. CLASSIFICATION OF EVIDENCE: This study provides Class I evidence that for children with Dravet syndrome, CBD resulted in more AEs than placebo but was generally well-tolerated.","author":[{"dropping-particle":"","family":"Devinsky","given":"Orrin","non-dropping-particle":"","parse-names":false,"suffix":""},{"dropping-particle":"","family":"Patel","given":"Anup D.","non-dropping-particle":"","parse-names":false,"suffix":""},{"dropping-particle":"","family":"Thiele","given":"Elizabeth A.","non-dropping-particle":"","parse-names":false,"suffix":""},{"dropping-particle":"","family":"Wong","given":"Matthew H.","non-dropping-particle":"","parse-names":false,"suffix":""},{"dropping-particle":"","family":"Appleton","given":"Richard","non-dropping-particle":"","parse-names":false,"suffix":""},{"dropping-particle":"","family":"Harden","given":"Cynthia L.","non-dropping-particle":"","parse-names":false,"suffix":""},{"dropping-particle":"","family":"Greenwood","given":"Sam","non-dropping-particle":"","parse-names":false,"suffix":""},{"dropping-particle":"","family":"Morrison","given":"Gilmour","non-dropping-particle":"","parse-names":false,"suffix":""},{"dropping-particle":"","family":"Sommerville","given":"Kenneth","non-dropping-particle":"","parse-names":false,"suffix":""}],"container-title":"Neurology","id":"ITEM-1","issue":"14","issued":{"date-parts":[["2018","4","3"]]},"page":"e1204-e1211","publisher":"NLM (Medline)","title":"Randomized, dose-ranging safety trial of cannabidiol in Dravet syndrome","type":"article-journal","volume":"90"},"uris":["http://www.mendeley.com/documents/?uuid=0e6a8c16-d6d1-4678-81df-0152a90e5eed"]}],"mendeley":{"formattedCitation":"(5)","plainTextFormattedCitation":"(5)","previouslyFormattedCitation":"(5)"},"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(5)</w:t>
            </w:r>
            <w:r w:rsidRPr="00DB55B4">
              <w:rPr>
                <w:rFonts w:eastAsia="Arial" w:cs="Times New Roman"/>
                <w:b/>
                <w:bCs/>
                <w:i/>
                <w:iCs/>
                <w:color w:val="000000"/>
                <w:sz w:val="12"/>
                <w:szCs w:val="12"/>
              </w:rPr>
              <w:fldChar w:fldCharType="end"/>
            </w:r>
          </w:p>
        </w:tc>
        <w:tc>
          <w:tcPr>
            <w:tcW w:w="970" w:type="dxa"/>
            <w:tcBorders>
              <w:top w:val="single" w:sz="12" w:space="0" w:color="000000"/>
              <w:bottom w:val="single" w:sz="4" w:space="0" w:color="auto"/>
            </w:tcBorders>
            <w:shd w:val="clear" w:color="auto" w:fill="E7E6E6"/>
            <w:vAlign w:val="center"/>
          </w:tcPr>
          <w:p w14:paraId="375D182A"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0974D84E"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2019</w:t>
            </w:r>
          </w:p>
          <w:p w14:paraId="40F5AD98" w14:textId="5A5547C5" w:rsidR="006F499D" w:rsidRPr="00DB55B4" w:rsidRDefault="006F499D"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{"citationItems":[{"id":"ITEM-1","itemData":{"DOI":"10.1111/epi.14628","ISSN":"15281167","abstract":"Objective: Add-on cannabidiol (CBD) significantly reduced seizures associated with Dravet syndrome (DS) in a randomized, double-blind, placebo-controlled trial: GWPCARE1 Part B (NCT02091375). Patients who completed GWPCARE1 Part A (NCT02091206) or Part B, or a second placebo-controlled trial, GWPCARE2 (NCT02224703), were invited to enroll in a long-term open-label extension trial, GWPCARE5 (NCT02224573). We present an interim analysis of the safety, efficacy, and patient-reported outcomes from GWPCARE5. Methods: Patients received a pharmaceutical formulation of highly purified CBD in oral solution (100 mg/mL), titrated from 2.5 to 20 mg/kg/d over a 2-week period, with their existing medications. Based on response and tolerance, CBD could be reduced or increased up to 30 mg/kg/d. Results: By November 2016, a total of 278 patients had completed the original randomized trials, and 264 (95%) enrolled in this open-label extension. Median treatment duration was 274 days (range 1-512) with a mean modal dose of 21 mg/kg/d, and patients received a median of 3 concomitant antiepileptic medications. Adverse events (AEs) occurred in 93.2% of patients and were mostly mild (36.7%) or moderate (39.0%). Commonly reported AEs were diarrhea (34.5%), pyrexia (27.3%), decreased appetite (25.4%), and somnolence (24.6%). Seventeen patients (6.4%) discontinued due to AEs. Twenty-two of the 128 patients from GWPCARE1 (17.2%), all taking valproic acid, had liver transaminase elevations ≥3 times the upper limit of normal. In patients from GWPCARE1 Part B, the median reduction from baseline in monthly seizure frequency assessed in 12-week periods up to week 48 ranged from 38% to 44% for convulsive seizures and 39% to 51% for total seizures. After 48 weeks of treatment, 85% of patients/caregivers reported improvement in the patient's overall condition on the Subject/Caregiver Global Impression of Change scale. Significance: This trial shows that long-term CBD treatment had an acceptable safety profile and led to sustained, clinically meaningful reductions in seizure frequency in patients with treatment-resistant DS.","author":[{"dropping-particle":"","family":"Devinsky","given":"Orrin","non-dropping-particle":"","parse-names":false,"suffix":""},{"dropping-particle":"","family":"Nabbout","given":"Rima","non-dropping-particle":"","parse-names":false,"suffix":""},{"dropping-particle":"","family":"Miller","given":"Ian","non-dropping-particle":"","parse-names":false,"suffix":""},{"dropping-particle":"","family":"Laux","given":"Linda","non-dropping-particle":"","parse-names":false,"suffix":""},{"dropping-particle":"","family":"Zolnowska","given":"Marta","non-dropping-particle":"","parse-names":false,"suffix":""},{"dropping-particle":"","family":"Wright","given":"Stephen","non-dropping-particle":"","parse-names":false,"suffix":""},{"dropping-particle":"","family":"Roberts","given":"Claire","non-dropping-particle":"","parse-names":false,"suffix":""}],"container-title":"Epilepsia","id":"ITEM-1","issue":"2","issued":{"date-parts":[["2019","2","1"]]},"page":"294-302","publisher":"Blackwell Publishing Inc.","title":"Long-term cannabidiol treatment in patients with Dravet syndrome: An open-label extension trial","type":"article-journal","volume":"60"},"uris":["http://www.mendeley.com/documents/?uuid=0e110290-1c34-4199-b9c5-226565acaa23"]}],"mendeley":{"formattedCitation":"(6)","plainTextFormattedCitation":"(6)","previouslyFormattedCitation":"(6)"},"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(6)</w:t>
            </w:r>
            <w:r w:rsidRPr="00DB55B4">
              <w:rPr>
                <w:rFonts w:eastAsia="Arial" w:cs="Times New Roman"/>
                <w:b/>
                <w:bCs/>
                <w:i/>
                <w:iCs/>
                <w:color w:val="000000"/>
                <w:sz w:val="12"/>
                <w:szCs w:val="12"/>
              </w:rPr>
              <w:fldChar w:fldCharType="end"/>
            </w:r>
          </w:p>
        </w:tc>
        <w:tc>
          <w:tcPr>
            <w:tcW w:w="971" w:type="dxa"/>
            <w:tcBorders>
              <w:top w:val="single" w:sz="12" w:space="0" w:color="000000"/>
              <w:bottom w:val="single" w:sz="4" w:space="0" w:color="auto"/>
            </w:tcBorders>
            <w:shd w:val="clear" w:color="auto" w:fill="E7E6E6"/>
            <w:vAlign w:val="center"/>
          </w:tcPr>
          <w:p w14:paraId="66B8081C"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Miller</w:t>
            </w:r>
          </w:p>
          <w:p w14:paraId="3D1C077E"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2020</w:t>
            </w:r>
          </w:p>
          <w:p w14:paraId="370E3167" w14:textId="1424D2CD"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{"citationItems":[{"id":"ITEM-1","itemData":{"DOI":"10.1001/jamaneurol.2020.0073","ISSN":"21686157","abstract":"Importance: Clinical evidence supports effectiveness of cannabidiol for treatment-resistant seizures in Dravet syndrome, but this trial is the first to evaluate the 10-mg/kg/d dose. Objective: To evaluate the efficacy and safety of a pharmaceutical formulation of cannabidiol, 10 and 20 mg/kg/d, vs placebo for adjunctive treatment of convulsive seizures in patients with Dravet syndrome. Design, Setting, and Participants: This double-blind, placebo-controlled, randomized clinical trial (GWPCARE2) recruited patients from April 13, 2015, to November 10, 2017, with follow-up completed on April 9, 2018. Of 285 patients screened from 38 centers in the United States, Spain, Poland, the Netherlands, Australia, and Israel, 86 were excluded, and 199 were randomized. Patients were aged 2 to 18 years with a confirmed diagnosis of Dravet syndrome and at least 4 convulsive seizures during the 4-week baseline period while receiving at least 1 antiepileptic drug. Data were analyzed from November 16 (date of unblinding) to December 13 (date of final outputs), 2018, based on intention to treat and per protocol. Interventions: Patients received cannabidiol oral solution at a dose of 10 or 20 mg/kg per day (CBD10 and CBD20 groups, respectively) or matched placebo in 2 equally divided doses for 14 weeks. All patients, caregivers, investigators, and individuals assessing data were blinded to group assignment. Main Outcomes and Measures: The primary outcome was change from baseline in convulsive seizure frequency during the treatment period. Secondary outcomes included change in all seizure frequency, proportion with at least a 50% reduction in convulsive seizure activity, and change in Caregiver Global Impression of Change score. Results: Of 198 eligible patients (mean [SD] age, 9.3 [4.4] years; 104 female [52.5%]), 66 were randomized to the CBD10 group, 67 to the CBD20 group, and 65 to the placebo group, and 190 completed treatment. The percentage reduction from baseline in convulsive seizure frequency was 48.7% for CBD10 group and 45.7% for the CBD20 group vs 26.9% for the placebo group; the percentage reduction from placebo was 29.8% (95% CI, 8.4%-46.2%; P =.01) for CBD10 group and 25.7% (95% CI, 2.9%-43.2%; P =.03) for the CBD20 group. The most common adverse events were decreased appetite, diarrhea, somnolence, pyrexia, and fatigue. Five patients in the CBD20 group discontinued owing to adverse events. Elevated liver transaminase levels occurred more frequently in the CB…","author":[{"dropping-particle":"","family":"Miller","given":"Ian","non-dropping-particle":"","parse-names":false,"suffix":""},{"dropping-particle":"","family":"Scheffer","given":"Ingrid E.","non-dropping-particle":"","parse-names":false,"suffix":""},{"dropping-particle":"","family":"Gunning","given":"Boudewijn","non-dropping-particle":"","parse-names":false,"suffix":""},{"dropping-particle":"","family":"Sanchez-Carpintero","given":"Rocio","non-dropping-particle":"","parse-names":false,"suffix":""},{"dropping-particle":"","family":"Gil-Nagel","given":"Antonio","non-dropping-particle":"","parse-names":false,"suffix":""},{"dropping-particle":"","family":"Perry","given":"M. Scott","non-dropping-particle":"","parse-names":false,"suffix":""},{"dropping-particle":"","family":"Saneto","given":"Russell P.","non-dropping-particle":"","parse-names":false,"suffix":""},{"dropping-particle":"","family":"Checketts","given":"Daniel","non-dropping-particle":"","parse-names":false,"suffix":""},{"dropping-particle":"","family":"Dunayevich","given":"Eduardo","non-dropping-particle":"","parse-names":false,"suffix":""},{"dropping-particle":"","family":"Knappertz","given":"Volker","non-dropping-particle":"","parse-names":false,"suffix":""}],"container-title":"JAMA Neurology","id":"ITEM-1","issued":{"date-parts":[["2020","3","2"]]},"publisher":"American Medical Association","title":"Dose-Ranging Effect of Adjunctive Oral Cannabidiol vs Placebo on Convulsive Seizure Frequency in Dravet Syndrome: A Randomized Clinical Trial","type":"article-journal"},"uris":["http://www.mendeley.com/documents/?uuid=bca5f2a8-aaf5-3919-a5b3-5ab8db3230eb"]}],"mendeley":{"formattedCitation":"(7)","plainTextFormattedCitation":"(7)","previouslyFormattedCitation":"(7)"},"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(7)</w:t>
            </w:r>
            <w:r w:rsidRPr="00DB55B4">
              <w:rPr>
                <w:rFonts w:eastAsia="Arial" w:cs="Times New Roman"/>
                <w:b/>
                <w:bCs/>
                <w:i/>
                <w:iCs/>
                <w:color w:val="000000"/>
                <w:sz w:val="12"/>
                <w:szCs w:val="12"/>
              </w:rPr>
              <w:fldChar w:fldCharType="end"/>
            </w:r>
          </w:p>
        </w:tc>
        <w:tc>
          <w:tcPr>
            <w:tcW w:w="970" w:type="dxa"/>
            <w:tcBorders>
              <w:top w:val="single" w:sz="12" w:space="0" w:color="000000"/>
              <w:bottom w:val="single" w:sz="4" w:space="0" w:color="auto"/>
              <w:right w:val="single" w:sz="12" w:space="0" w:color="000000"/>
            </w:tcBorders>
            <w:shd w:val="clear" w:color="auto" w:fill="E7E6E6"/>
            <w:vAlign w:val="center"/>
          </w:tcPr>
          <w:p w14:paraId="368A20AC" w14:textId="7A55CC73"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Our study</w:t>
            </w:r>
          </w:p>
        </w:tc>
        <w:tc>
          <w:tcPr>
            <w:tcW w:w="970" w:type="dxa"/>
            <w:tcBorders>
              <w:top w:val="single" w:sz="12" w:space="0" w:color="000000"/>
              <w:left w:val="single" w:sz="12" w:space="0" w:color="000000"/>
              <w:bottom w:val="single" w:sz="4" w:space="0" w:color="auto"/>
            </w:tcBorders>
            <w:shd w:val="clear" w:color="auto" w:fill="E7E6E6"/>
            <w:vAlign w:val="center"/>
          </w:tcPr>
          <w:p w14:paraId="0A9B6D5A"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07BEC4E7"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6C1441AB" w14:textId="19541753" w:rsidR="006F499D" w:rsidRPr="00DB55B4" w:rsidRDefault="006F499D"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{"citationItems":[{"id":"ITEM-1","itemData":{"DOI":"10.1056/NEJMoa1714631","ISSN":"15334406","abstract":"BACKGROUND Cannabidiol has been used for treatment-resistant seizures in patients with severe early-onset epilepsy. We investigated the efficacy and safety of cannabidiol added to a regimen of conventional antiepileptic medication to treat drop seizures in patients with the Lennox–Gastaut syndrome, a severe developmental epileptic encephalopathy. METHODS In this double-blind, placebo-controlled trial conducted at 30 clinical centers, we randomly assigned patients with the Lennox–Gastaut syndrome (age range, 2 to 55 years) who had had two or more drop seizures per week during a 28-day baseline period to receive cannabidiol oral solution at a dose of either 20 mg per kilogram of body weight (20-mg cannabidiol group) or 10 mg per kilogram (10-mg cannabidiol group) or matching placebo, administered in two equally divided doses daily for 14 weeks. The primary outcome was the percentage change from baseline in the frequency of drop seizures (average per 28 days) during the treatment period. RESULTS A total of 225 patients were enrolled; 76 patients were assigned to the 20-mg cannabidiol group, 73 to the 10-mg cannabidiol group, and 76 to the placebo group. During the 28-day baseline period, the median number of drop seizures was 85 in all trial groups combined. The median percent reduction from baseline in drop-seizure frequency during the treatment period was 41.9% in the 20-mg cannabidiol group, 37.2% in the 10-mg cannabidiol group, and 17.2% in the placebo group (P=0.005 for the 20-mg cannabidiol group vs. placebo group, and P=0.002 for the 10-mg cannabidiol group vs. placebo group). The most common adverse events among the patients in the cannabidiol groups were somnolence, decreased appetite, and diarrhea; these events occurred more frequently in the higher-dose group. Six patients in the 20-mg cannabidiol group and 1 patient in the 10-mg cannabidiol group discontinued the trial medication because of adverse events and were withdrawn from the trial. Fourteen patients who received cannabidiol (9%) had elevated liver aminotransferase concentrations. CONCLUSIONS Among children and adults with the Lennox–Gastaut syndrome, the addition of cannabidiol at a dose of 10 mg or 20 mg per kilogram per day to a conventional antiepileptic regimen resulted in greater reductions in the frequency of drop seizures than placebo. Adverse events with cannabidiol included elevated liver aminotransferase concentrations. (Funded by GW Pharmaceuticals; GWPCARE3 ClinicalTrials.go…","author":[{"dropping-particle":"","family":"Devinsky","given":"Orrin","non-dropping-particle":"","parse-names":false,"suffix":""},{"dropping-particle":"","family":"Patel","given":"Anup D.","non-dropping-particle":"","parse-names":false,"suffix":""},{"dropping-particle":"","family":"Cross","given":"J. Helen","non-dropping-particle":"","parse-names":false,"suffix":""},{"dropping-particle":"","family":"Villanueva","given":"Vicente","non-dropping-particle":"","parse-names":false,"suffix":""},{"dropping-particle":"","family":"Wirrell","given":"Elaine C.","non-dropping-particle":"","parse-names":false,"suffix":""},{"dropping-particle":"","family":"Privitera","given":"Michael","non-dropping-particle":"","parse-names":false,"suffix":""},{"dropping-particle":"","family":"Greenwood","given":"Sam M.","non-dropping-particle":"","parse-names":false,"suffix":""},{"dropping-particle":"","family":"Roberts","given":"Claire","non-dropping-particle":"","parse-names":false,"suffix":""},{"dropping-particle":"","family":"Checketts","given":"Daniel","non-dropping-particle":"","parse-names":false,"suffix":""},{"dropping-particle":"","family":"VanLandingham","given":"Kevan E.","non-dropping-particle":"","parse-names":false,"suffix":""},{"dropping-particle":"","family":"Zuberi","given":"Sameer M.","non-dropping-particle":"","parse-names":false,"suffix":""}],"container-title":"New England Journal of Medicine","id":"ITEM-1","issue":"20","issued":{"date-parts":[["2018"]]},"page":"1888-1897","title":"Effect of cannabidiol on drop seizures in the lennox–gastaut syndrome","type":"article-journal","volume":"378"},"uris":["http://www.mendeley.com/documents/?uuid=7834fb1c-6c93-45f7-b3b9-5c23fdf57365"]}],"mendeley":{"formattedCitation":"(8)","plainTextFormattedCitation":"(8)","previouslyFormattedCitation":"(8)"},"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(8)</w:t>
            </w:r>
            <w:r w:rsidRPr="00DB55B4">
              <w:rPr>
                <w:rFonts w:eastAsia="Arial" w:cs="Times New Roman"/>
                <w:b/>
                <w:bCs/>
                <w:i/>
                <w:iCs/>
                <w:color w:val="000000"/>
                <w:sz w:val="12"/>
                <w:szCs w:val="12"/>
              </w:rPr>
              <w:fldChar w:fldCharType="end"/>
            </w:r>
          </w:p>
        </w:tc>
        <w:tc>
          <w:tcPr>
            <w:tcW w:w="971" w:type="dxa"/>
            <w:tcBorders>
              <w:top w:val="single" w:sz="12" w:space="0" w:color="000000"/>
              <w:bottom w:val="single" w:sz="4" w:space="0" w:color="auto"/>
            </w:tcBorders>
            <w:shd w:val="clear" w:color="auto" w:fill="E7E6E6"/>
            <w:vAlign w:val="center"/>
          </w:tcPr>
          <w:p w14:paraId="2D57ADE7"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Thiele</w:t>
            </w:r>
          </w:p>
          <w:p w14:paraId="17B74B97" w14:textId="77777777" w:rsidR="006F499D"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0318C714" w14:textId="39E11BAC" w:rsidR="006F499D" w:rsidRPr="00DB55B4" w:rsidRDefault="006F499D"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{"citationItems":[{"id":"ITEM-1","itemData":{"DOI":"10.1016/S0140-6736(18)30136-3","ISSN":"1474547X","PMID":"29395273","abstract":"Background: Patients with Lennox-Gastaut syndrome, a rare, severe form of epileptic encephalopathy, are frequently treatment resistant to available medications. No controlled studies have investigated the use of cannabidiol for patients with seizures associated with Lennox-Gastaut syndrome. We therefore assessed the efficacy and safety of cannabidiol as an add-on anticonvulsant therapy in this population of patients. Methods: In this randomised, double-blind, placebo-controlled trial done at 24 clinical sites in the USA, the Netherlands, and Poland, we investigated the efficacy of cannabidiol as add-on therapy for drop seizures in patients with treatment-resistant Lennox-Gastaut syndrome. Eligible patients (aged 2–55 years) had Lennox-Gastaut syndrome, including a history of slow (&lt;3 Hz) spike-and-wave patterns on electroencephalogram, evidence of more than one type of generalised seizure for at least 6 months, at least two drop seizures per week during the 4-week baseline period, and had not responded to treatment with at least two antiepileptic drugs. Patients were randomly assigned (1:1) using an interactive voice response system, stratified by age group, to receive 20 mg/kg oral cannabidiol daily or matched placebo for 14 weeks. All patients, caregivers, investigators, and individuals assessing data were masked to group assignment. The primary endpoint was percentage change from baseline in monthly frequency of drop seizures during the treatment period, analysed in all patients who received at least one dose of study drug and had post-baseline efficacy data. All randomly assigned patients were included in the safety analyses. This study is registered with ClinicalTrials.gov, number NCT02224690. Findings: Between April 28, 2015, and Oct 15, 2015, we randomly assigned 171 patients to receive cannabidiol (n=86) or placebo (n=85). 14 patients in the cannabidiol group and one in the placebo group discontinued study treatment; all randomly assigned patients received at least one dose of study treatment and had post-baseline efficacy data. The median percentage reduction in monthly drop seizure frequency from baseline was 43·9% (IQR −69·6 to −1·9) in the cannibidiol group and 21·8% (IQR −45·7 to 1·7) in the placebo group. The estimated median difference between the treatment groups was −17·21 (95% CI −30·32 to −4·09; p=0·0135) during the 14-week treatment period. Adverse events occurred in 74 (86%) of 86 patients in the cannabidiol group and 59 (69%) of 85…","author":[{"dropping-particle":"","family":"Thiele","given":"Elizabeth A.","non-dropping-particle":"","parse-names":false,"suffix":""},{"dropping-particle":"","family":"Marsh","given":"Eric D.","non-dropping-particle":"","parse-names":false,"suffix":""},{"dropping-particle":"","family":"French","given":"Jacqueline A.","non-dropping-particle":"","parse-names":false,"suffix":""},{"dropping-particle":"","family":"Mazurkiewicz","given":"Maria B.","non-dropping-particle":"","parse-names":false,"suffix":""},{"dropping-particle":"","family":"Benbadis","given":"Selim R.","non-dropping-particle":"","parse-names":false,"suffix":""},{"dropping-particle":"","family":"Joshi","given":"Charuta","non-dropping-particle":"","parse-names":false,"suffix":""},{"dropping-particle":"","family":"Lyons","given":"Paul D.","non-dropping-particle":"","parse-names":false,"suffix":""},{"dropping-particle":"","family":"Taylor","given":"Adam","non-dropping-particle":"","parse-names":false,"suffix":""},{"dropping-particle":"","family":"Roberts","given":"Claire","non-dropping-particle":"","parse-names":false,"suffix":""},{"dropping-particle":"","family":"Sommerville","given":"Kenneth","non-dropping-particle":"","parse-names":false,"suffix":""},{"dropping-particle":"","family":"Gunning","given":"Boudewjin","non-dropping-particle":"","parse-names":false,"suffix":""},{"dropping-particle":"","family":"Gawlowicz","given":"Jacek","non-dropping-particle":"","parse-names":false,"suffix":""},{"dropping-particle":"","family":"Lisewski","given":"Pawel","non-dropping-particle":"","parse-names":false,"suffix":""},{"dropping-particle":"","family":"Mitosek Szewczyk","given":"Krystyna","non-dropping-particle":"","parse-names":false,"suffix":""},{"dropping-particle":"","family":"Steinborn","given":"Barbara","non-dropping-particle":"","parse-names":false,"suffix":""},{"dropping-particle":"","family":"Zolnowska","given":"Marta","non-dropping-particle":"","parse-names":false,"suffix":""},{"dropping-particle":"","family":"Hughes","given":"Elaine","non-dropping-particle":"","parse-names":false,"suffix":""},{"dropping-particle":"","family":"McLellan","given":"Ailsa","non-dropping-particle":"","parse-names":false,"suffix":""},{"dropping-particle":"","family":"Benbadis","given":"Selim R.","non-dropping-particle":"","parse-names":false,"suffix":""},{"dropping-particle":"","family":"Ciliberto","given":"Michael","non-dropping-particle":"","parse-names":false,"suffix":""},{"dropping-particle":"","family":"Clark","given":"Gary","non-dropping-particle":"","parse-names":false,"suffix":""},{"dropping-particle":"","family":"Dlugos","given":"Dennis","non-dropping-particle":"","parse-names":false,"suffix":""},{"dropping-particle":"","family":"Filloux","given":"Francis","non-dropping-particle":"","parse-names":false,"suffix":""},{"dropping-particle":"","family":"Flamini","given":"Robert","non-dropping-particle":"","parse-names":false,"suffix":""},{"dropping-particle":"","family":"French","given":"Jacqueline A.","non-dropping-particle":"","parse-names":false,"suffix":""},{"dropping-particle":"","family":"Frost","given":"Michael","non-dropping-particle":"","parse-names":false,"suffix":""},{"dropping-particle":"","family":"Haut","given":"Sheryl","non-dropping-particle":"","parse-names":false,"suffix":""},{"dropping-particle":"","family":"Joshi","given":"Charuta","non-dropping-particle":"","parse-names":false,"suffix":""},{"dropping-particle":"","family":"Kapoor","given":"Siddarth","non-dropping-particle":"","parse-names":false,"suffix":""},{"dropping-particle":"","family":"Kessler","given":"Sudha","non-dropping-particle":"","parse-names":false,"suffix":""},{"dropping-particle":"","family":"Laux","given":"Linda","non-dropping-particle":"","parse-names":false,"suffix":""},{"dropping-particle":"","family":"Lyons","given":"Paul D.","non-dropping-particle":"","parse-names":false,"suffix":""},{"dropping-particle":"","family":"Marsh","given":"Eric D.","non-dropping-particle":"","parse-names":false,"suffix":""},{"dropping-particle":"","family":"Moore","given":"David","non-dropping-particle":"","parse-names":false,"suffix":""},{"dropping-particle":"","family":"Morse","given":"Richard","non-dropping-particle":"","parse-names":false,"suffix":""},{"dropping-particle":"","family":"Nagaraddi","given":"Venkatesh","non-dropping-particle":"","parse-names":false,"suffix":""},{"dropping-particle":"","family":"Rosenfeld","given":"William","non-dropping-particle":"","parse-names":false,"suffix":""},{"dropping-particle":"","family":"Seltzer","given":"Laurie","non-dropping-particle":"","parse-names":false,"suffix":""},{"dropping-particle":"","family":"Shellhaas","given":"Renée","non-dropping-particle":"","parse-names":false,"suffix":""},{"dropping-particle":"","family":"Thiele","given":"Elizabeth A.","non-dropping-particle":"","parse-names":false,"suffix":""},{"dropping-particle":"","family":"Thio","given":"Liu Lin","non-dropping-particle":"","parse-names":false,"suffix":""},{"dropping-particle":"","family":"Wang","given":"David","non-dropping-particle":"","parse-names":false,"suffix":""},{"dropping-particle":"","family":"Wilfong","given":"Angus","non-dropping-particle":"","parse-names":false,"suffix":""}],"container-title":"The Lancet","id":"ITEM-1","issue":"10125","issued":{"date-parts":[["2018","1","1"]]},"page":"1085-1096","publisher":"Lancet Publishing Group","title":"Cannabidiol in patients with seizures associated with Lennox-Gastaut syndrome (GWPCARE4): a randomised, double-blind, placebo-controlled phase 3 trial","type":"article-journal","volume":"391"},"uris":["http://www.mendeley.com/documents/?uuid=85d8734c-4855-4c97-9a6a-236c24a89cf5"]}],"mendeley":{"formattedCitation":"(9)","plainTextFormattedCitation":"(9)","previouslyFormattedCitation":"(9)"},"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(9)</w:t>
            </w:r>
            <w:r w:rsidRPr="00DB55B4">
              <w:rPr>
                <w:rFonts w:eastAsia="Arial" w:cs="Times New Roman"/>
                <w:b/>
                <w:bCs/>
                <w:i/>
                <w:iCs/>
                <w:color w:val="000000"/>
                <w:sz w:val="12"/>
                <w:szCs w:val="12"/>
              </w:rPr>
              <w:fldChar w:fldCharType="end"/>
            </w:r>
          </w:p>
        </w:tc>
        <w:tc>
          <w:tcPr>
            <w:tcW w:w="970" w:type="dxa"/>
            <w:tcBorders>
              <w:top w:val="single" w:sz="12" w:space="0" w:color="000000"/>
              <w:bottom w:val="single" w:sz="4" w:space="0" w:color="auto"/>
              <w:right w:val="single" w:sz="4" w:space="0" w:color="auto"/>
            </w:tcBorders>
            <w:shd w:val="clear" w:color="auto" w:fill="E7E6E6"/>
            <w:vAlign w:val="center"/>
          </w:tcPr>
          <w:p w14:paraId="482DC166" w14:textId="77777777"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Thiele</w:t>
            </w:r>
          </w:p>
          <w:p w14:paraId="1E613E9F" w14:textId="77777777" w:rsidR="006F499D" w:rsidRDefault="006F499D"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t>2019</w:t>
            </w:r>
          </w:p>
          <w:p w14:paraId="75ED5C1A" w14:textId="73ABB892" w:rsidR="006F499D" w:rsidRPr="00DB55B4" w:rsidRDefault="006F499D"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vertAlign w:val="superscript"/>
              </w:rPr>
              <w:fldChar w:fldCharType="begin" w:fldLock="1"/>
            </w:r>
            <w:r>
              <w:rPr>
                <w:rFonts w:eastAsia="Arial" w:cs="Times New Roman"/>
                <w:b/>
                <w:bCs/>
                <w:i/>
                <w:iCs/>
                <w:color w:val="000000"/>
                <w:sz w:val="12"/>
                <w:szCs w:val="12"/>
                <w:vertAlign w:val="superscript"/>
              </w:rPr>
              <w:instrText>ADDIN CSL_CITATION {"citationItems":[{"id":"ITEM-1","itemData":{"DOI":"10.1111/epi.14670","ISSN":"15281167","abstract":"Objective: Patients with Lennox-Gastaut syndrome (LGS) who completed 1 of 2 randomized, double-blind, placebo-controlled trials of add-on cannabidiol (CBD) (GWPCARE3, NCT02224560 or GWPCARE4, NCT02224690) were invited to enroll in an open-label extension (OLE) study evaluating the long-term safety and efficacy of CBD (GWPCARE5, NCT02224573). Herein we present an interim analysis of the safety, efficacy, and patient-reported outcomes from this trial. Methods: Patients received a pharmaceutical formulation of highly purified CBD oral solution (Epidiolex; 100 mg/mL), titrated from 2.5 to 20 mg/kg/d over a 2-week titration period, in addition to their existing medications. Doses could be reduced if not tolerated or increased up to 30 mg/kg/d if thought to be of benefit. Results: This interim analysis was based on a November 2016 data cut. Of 368 patients who completed treatment in GWPCARE3 and GWPCARE4, 366 (99.5%) enrolled in the OLE study (GWPCARE5). Median treatment duration was 38 weeks at a mean modal dose of 23 mg/kg/d. Most patients (92.1%) experienced adverse events (AEs), primarily of mild (32.5%) or moderate (43.4%) severity. The most common AEs were diarrhea (26.8%), somnolence (23.5%), and convulsion (21.3%). Thirty-five patients (9.6%) discontinued treatment due to AEs. Liver transaminase elevations were reported in 37 patients (10.1%), of whom 29 were receiving concomitant valproic acid; 34 cases resolved spontaneously or with dose modification of CBD or concomitant medication. Median reduction from baseline in drop seizure frequency (quantified monthly over 12-week periods) ranged from 48% to 60% through week 48. Median reduction in monthly total seizure frequency ranged from 48% to 57% across all 12-week periods through week 48. Eighty-eight percent of patients/caregivers reported an improvement in the patient's overall condition per the Subject/Caregiver Global Impression of Change scale. Significance: In this study, long-term add-on CBD treatment had an acceptable safety profile in patients with LGS and led to sustained reductions in seizures.","author":[{"dropping-particle":"","family":"Thiele","given":"Elizabeth","non-dropping-particle":"","parse-names":false,"suffix":""},{"dropping-particle":"","family":"Marsh","given":"Eric","non-dropping-particle":"","parse-names":false,"suffix":""},{"dropping-particle":"","family":"Mazurkiewicz-Beldzinska","given":"Maria","non-dropping-particle":"","parse-names":false,"suffix":""},{"dropping-particle":"","family":"Halford","given":"Jonathan J.","non-dropping-particle":"","parse-names":false,"suffix":""},{"dropping-particle":"","family":"Gunning","given":"Boudewijn","non-dropping-particle":"","parse-names":false,"suffix":""},{"dropping-particle":"","family":"Devinsky","given":"Orrin","non-dropping-particle":"","parse-names":false,"suffix":""},{"dropping-particle":"","family":"Checketts","given":"Daniel","non-dropping-particle":"","parse-names":false,"suffix":""},{"dropping-particle":"","family":"Roberts","given":"Claire","non-dropping-particle":"","parse-names":false,"suffix":""}],"container-title":"Epilepsia","id":"ITEM-1","issue":"3","issued":{"date-parts":[["2019"]]},"page":"419-428","title":"Cannabidiol in patients with Lennox-Gastaut syndrome: Interim analysis of an open-label extension study","type":"article-journal","volume":"60"},"uris":["http://www.mendeley.com/documents/?uuid=08254421-45a9-4708-85aa-ab7ba53ba1d1"]}],"mendeley":{"formattedCitation":"(10)","plainTextFormattedCitation":"(10)","previouslyFormattedCitation":"(10)"},"properties":{"noteIndex":0},"schema":"https://github.com/citation-style-language/schema/raw/master/csl-citation.json"}</w:instrText>
            </w:r>
            <w:r w:rsidRPr="00DB55B4">
              <w:rPr>
                <w:rFonts w:eastAsia="Arial" w:cs="Times New Roman"/>
                <w:b/>
                <w:bCs/>
                <w:i/>
                <w:iCs/>
                <w:color w:val="000000"/>
                <w:sz w:val="12"/>
                <w:szCs w:val="12"/>
                <w:vertAlign w:val="superscript"/>
              </w:rPr>
              <w:fldChar w:fldCharType="separate"/>
            </w:r>
            <w:r w:rsidRPr="006F499D">
              <w:rPr>
                <w:rFonts w:eastAsia="Arial" w:cs="Times New Roman"/>
                <w:bCs/>
                <w:iCs/>
                <w:noProof/>
                <w:color w:val="000000"/>
                <w:sz w:val="12"/>
                <w:szCs w:val="12"/>
              </w:rPr>
              <w:t>(10)</w:t>
            </w:r>
            <w:r w:rsidRPr="00DB55B4">
              <w:rPr>
                <w:rFonts w:eastAsia="Arial" w:cs="Times New Roman"/>
                <w:b/>
                <w:bCs/>
                <w:i/>
                <w:iCs/>
                <w:color w:val="000000"/>
                <w:sz w:val="12"/>
                <w:szCs w:val="12"/>
                <w:vertAlign w:val="superscript"/>
              </w:rPr>
              <w:fldChar w:fldCharType="end"/>
            </w:r>
          </w:p>
        </w:tc>
        <w:tc>
          <w:tcPr>
            <w:tcW w:w="971" w:type="dxa"/>
            <w:tcBorders>
              <w:top w:val="single" w:sz="12" w:space="0" w:color="000000"/>
              <w:bottom w:val="single" w:sz="4" w:space="0" w:color="auto"/>
              <w:right w:val="single" w:sz="12" w:space="0" w:color="000000"/>
            </w:tcBorders>
            <w:shd w:val="clear" w:color="auto" w:fill="E7E6E6"/>
            <w:vAlign w:val="center"/>
          </w:tcPr>
          <w:p w14:paraId="2DF3412A" w14:textId="54A75296" w:rsidR="006F499D" w:rsidRPr="00DB55B4" w:rsidRDefault="00C77FAB"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Our study</w:t>
            </w:r>
          </w:p>
        </w:tc>
      </w:tr>
      <w:tr w:rsidR="00DB55B4" w:rsidRPr="00DB55B4" w14:paraId="04496CF3" w14:textId="77777777" w:rsidTr="00591A66">
        <w:trPr>
          <w:trHeight w:val="227"/>
          <w:jc w:val="center"/>
        </w:trPr>
        <w:tc>
          <w:tcPr>
            <w:tcW w:w="1555" w:type="dxa"/>
            <w:tcBorders>
              <w:top w:val="single" w:sz="4" w:space="0" w:color="auto"/>
              <w:right w:val="single" w:sz="12" w:space="0" w:color="000000"/>
            </w:tcBorders>
            <w:vAlign w:val="center"/>
          </w:tcPr>
          <w:p w14:paraId="7181162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Study</w:t>
            </w:r>
          </w:p>
        </w:tc>
        <w:tc>
          <w:tcPr>
            <w:tcW w:w="970" w:type="dxa"/>
            <w:tcBorders>
              <w:top w:val="single" w:sz="4" w:space="0" w:color="auto"/>
              <w:left w:val="single" w:sz="12" w:space="0" w:color="000000"/>
            </w:tcBorders>
            <w:vAlign w:val="center"/>
          </w:tcPr>
          <w:p w14:paraId="003B0121" w14:textId="77777777" w:rsidR="00DB55B4" w:rsidRPr="00DB55B4" w:rsidRDefault="00DB55B4" w:rsidP="00591A66">
            <w:pPr>
              <w:spacing w:before="0" w:after="0" w:line="276" w:lineRule="auto"/>
              <w:jc w:val="center"/>
              <w:rPr>
                <w:rFonts w:eastAsia="Calibri" w:cs="Times New Roman"/>
                <w:sz w:val="12"/>
                <w:szCs w:val="12"/>
              </w:rPr>
            </w:pPr>
            <w:r w:rsidRPr="00DB55B4">
              <w:rPr>
                <w:rFonts w:eastAsia="Arial" w:cs="Times New Roman"/>
                <w:color w:val="000000"/>
                <w:sz w:val="12"/>
                <w:szCs w:val="12"/>
              </w:rPr>
              <w:t>OL</w:t>
            </w:r>
          </w:p>
        </w:tc>
        <w:tc>
          <w:tcPr>
            <w:tcW w:w="970" w:type="dxa"/>
            <w:tcBorders>
              <w:top w:val="single" w:sz="4" w:space="0" w:color="auto"/>
            </w:tcBorders>
            <w:vAlign w:val="center"/>
          </w:tcPr>
          <w:p w14:paraId="72A6FC5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EAP</w:t>
            </w:r>
          </w:p>
        </w:tc>
        <w:tc>
          <w:tcPr>
            <w:tcW w:w="971" w:type="dxa"/>
            <w:tcBorders>
              <w:top w:val="single" w:sz="4" w:space="0" w:color="auto"/>
            </w:tcBorders>
            <w:vAlign w:val="center"/>
          </w:tcPr>
          <w:p w14:paraId="0B2AAB8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EAP</w:t>
            </w:r>
          </w:p>
        </w:tc>
        <w:tc>
          <w:tcPr>
            <w:tcW w:w="970" w:type="dxa"/>
            <w:tcBorders>
              <w:top w:val="single" w:sz="4" w:space="0" w:color="auto"/>
              <w:right w:val="single" w:sz="12" w:space="0" w:color="000000"/>
            </w:tcBorders>
            <w:vAlign w:val="center"/>
          </w:tcPr>
          <w:p w14:paraId="7F027AA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OL</w:t>
            </w:r>
          </w:p>
        </w:tc>
        <w:tc>
          <w:tcPr>
            <w:tcW w:w="970" w:type="dxa"/>
            <w:tcBorders>
              <w:top w:val="single" w:sz="4" w:space="0" w:color="auto"/>
              <w:left w:val="single" w:sz="12" w:space="0" w:color="000000"/>
            </w:tcBorders>
            <w:vAlign w:val="center"/>
          </w:tcPr>
          <w:p w14:paraId="1D28767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RCT</w:t>
            </w:r>
          </w:p>
        </w:tc>
        <w:tc>
          <w:tcPr>
            <w:tcW w:w="971" w:type="dxa"/>
            <w:tcBorders>
              <w:top w:val="single" w:sz="4" w:space="0" w:color="auto"/>
            </w:tcBorders>
            <w:vAlign w:val="center"/>
          </w:tcPr>
          <w:p w14:paraId="3455A1C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RCT</w:t>
            </w:r>
          </w:p>
        </w:tc>
        <w:tc>
          <w:tcPr>
            <w:tcW w:w="970" w:type="dxa"/>
            <w:tcBorders>
              <w:top w:val="single" w:sz="4" w:space="0" w:color="auto"/>
            </w:tcBorders>
            <w:vAlign w:val="center"/>
          </w:tcPr>
          <w:p w14:paraId="542B198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OLE</w:t>
            </w:r>
          </w:p>
        </w:tc>
        <w:tc>
          <w:tcPr>
            <w:tcW w:w="971" w:type="dxa"/>
            <w:tcBorders>
              <w:top w:val="single" w:sz="4" w:space="0" w:color="auto"/>
            </w:tcBorders>
            <w:vAlign w:val="center"/>
          </w:tcPr>
          <w:p w14:paraId="147EC3D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RCT</w:t>
            </w:r>
          </w:p>
        </w:tc>
        <w:tc>
          <w:tcPr>
            <w:tcW w:w="970" w:type="dxa"/>
            <w:tcBorders>
              <w:top w:val="single" w:sz="4" w:space="0" w:color="auto"/>
              <w:right w:val="single" w:sz="12" w:space="0" w:color="000000"/>
            </w:tcBorders>
            <w:vAlign w:val="center"/>
          </w:tcPr>
          <w:p w14:paraId="5E2B84E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OL</w:t>
            </w:r>
          </w:p>
        </w:tc>
        <w:tc>
          <w:tcPr>
            <w:tcW w:w="970" w:type="dxa"/>
            <w:tcBorders>
              <w:top w:val="single" w:sz="4" w:space="0" w:color="auto"/>
              <w:left w:val="single" w:sz="12" w:space="0" w:color="000000"/>
            </w:tcBorders>
            <w:vAlign w:val="center"/>
          </w:tcPr>
          <w:p w14:paraId="4696EA3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RCT</w:t>
            </w:r>
          </w:p>
        </w:tc>
        <w:tc>
          <w:tcPr>
            <w:tcW w:w="971" w:type="dxa"/>
            <w:tcBorders>
              <w:top w:val="single" w:sz="4" w:space="0" w:color="auto"/>
            </w:tcBorders>
            <w:vAlign w:val="center"/>
          </w:tcPr>
          <w:p w14:paraId="26A4E8D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RCT</w:t>
            </w:r>
          </w:p>
        </w:tc>
        <w:tc>
          <w:tcPr>
            <w:tcW w:w="970" w:type="dxa"/>
            <w:tcBorders>
              <w:top w:val="single" w:sz="4" w:space="0" w:color="auto"/>
            </w:tcBorders>
            <w:vAlign w:val="center"/>
          </w:tcPr>
          <w:p w14:paraId="1F8599A3" w14:textId="77777777" w:rsidR="00DB55B4" w:rsidRPr="00DB55B4" w:rsidRDefault="00DB55B4" w:rsidP="00591A66">
            <w:pPr>
              <w:spacing w:before="0" w:after="0" w:line="276" w:lineRule="auto"/>
              <w:jc w:val="center"/>
              <w:rPr>
                <w:rFonts w:eastAsia="Calibri" w:cs="Times New Roman"/>
                <w:sz w:val="12"/>
                <w:szCs w:val="12"/>
              </w:rPr>
            </w:pPr>
            <w:r w:rsidRPr="00DB55B4">
              <w:rPr>
                <w:rFonts w:eastAsia="Arial" w:cs="Times New Roman"/>
                <w:color w:val="000000"/>
                <w:sz w:val="12"/>
                <w:szCs w:val="12"/>
              </w:rPr>
              <w:t>OLE</w:t>
            </w:r>
          </w:p>
        </w:tc>
        <w:tc>
          <w:tcPr>
            <w:tcW w:w="971" w:type="dxa"/>
            <w:tcBorders>
              <w:top w:val="single" w:sz="4" w:space="0" w:color="auto"/>
              <w:right w:val="single" w:sz="12" w:space="0" w:color="000000"/>
            </w:tcBorders>
            <w:vAlign w:val="center"/>
          </w:tcPr>
          <w:p w14:paraId="6363BCA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OL</w:t>
            </w:r>
          </w:p>
        </w:tc>
      </w:tr>
      <w:tr w:rsidR="00DB55B4" w:rsidRPr="00DB55B4" w14:paraId="21FE71A7" w14:textId="77777777" w:rsidTr="00591A66">
        <w:trPr>
          <w:trHeight w:val="227"/>
          <w:jc w:val="center"/>
        </w:trPr>
        <w:tc>
          <w:tcPr>
            <w:tcW w:w="1555" w:type="dxa"/>
            <w:tcBorders>
              <w:right w:val="single" w:sz="12" w:space="0" w:color="000000"/>
            </w:tcBorders>
            <w:vAlign w:val="center"/>
          </w:tcPr>
          <w:p w14:paraId="0FE559AE"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Period</w:t>
            </w:r>
          </w:p>
        </w:tc>
        <w:tc>
          <w:tcPr>
            <w:tcW w:w="970" w:type="dxa"/>
            <w:tcBorders>
              <w:left w:val="single" w:sz="12" w:space="0" w:color="000000"/>
            </w:tcBorders>
            <w:vAlign w:val="center"/>
          </w:tcPr>
          <w:p w14:paraId="6CAE32E9"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01/2014 - 01/2015</w:t>
            </w:r>
          </w:p>
        </w:tc>
        <w:tc>
          <w:tcPr>
            <w:tcW w:w="970" w:type="dxa"/>
            <w:vAlign w:val="center"/>
          </w:tcPr>
          <w:p w14:paraId="71E41884"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01/2014 - 12/2016</w:t>
            </w:r>
          </w:p>
        </w:tc>
        <w:tc>
          <w:tcPr>
            <w:tcW w:w="971" w:type="dxa"/>
            <w:vAlign w:val="center"/>
          </w:tcPr>
          <w:p w14:paraId="568D742A"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01/2014-12/2016</w:t>
            </w:r>
          </w:p>
        </w:tc>
        <w:tc>
          <w:tcPr>
            <w:tcW w:w="970" w:type="dxa"/>
            <w:tcBorders>
              <w:right w:val="single" w:sz="12" w:space="0" w:color="000000"/>
            </w:tcBorders>
            <w:vAlign w:val="center"/>
          </w:tcPr>
          <w:p w14:paraId="0BAE64F9"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03/2019-09/2019</w:t>
            </w:r>
          </w:p>
        </w:tc>
        <w:tc>
          <w:tcPr>
            <w:tcW w:w="970" w:type="dxa"/>
            <w:tcBorders>
              <w:left w:val="single" w:sz="12" w:space="0" w:color="000000"/>
            </w:tcBorders>
            <w:vAlign w:val="center"/>
          </w:tcPr>
          <w:p w14:paraId="3C6465A5"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w:t>
            </w:r>
          </w:p>
        </w:tc>
        <w:tc>
          <w:tcPr>
            <w:tcW w:w="971" w:type="dxa"/>
            <w:vAlign w:val="center"/>
          </w:tcPr>
          <w:p w14:paraId="729C45D4"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10/2014-03/2015</w:t>
            </w:r>
          </w:p>
        </w:tc>
        <w:tc>
          <w:tcPr>
            <w:tcW w:w="970" w:type="dxa"/>
            <w:vAlign w:val="center"/>
          </w:tcPr>
          <w:p w14:paraId="702FBC84"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11/2016</w:t>
            </w:r>
          </w:p>
        </w:tc>
        <w:tc>
          <w:tcPr>
            <w:tcW w:w="971" w:type="dxa"/>
            <w:vAlign w:val="center"/>
          </w:tcPr>
          <w:p w14:paraId="7260005F" w14:textId="3E370146"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04/2015-11/2017</w:t>
            </w:r>
          </w:p>
        </w:tc>
        <w:tc>
          <w:tcPr>
            <w:tcW w:w="970" w:type="dxa"/>
            <w:tcBorders>
              <w:right w:val="single" w:sz="12" w:space="0" w:color="000000"/>
            </w:tcBorders>
            <w:vAlign w:val="center"/>
          </w:tcPr>
          <w:p w14:paraId="67FB366B"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03/2019-09/2019</w:t>
            </w:r>
          </w:p>
        </w:tc>
        <w:tc>
          <w:tcPr>
            <w:tcW w:w="970" w:type="dxa"/>
            <w:tcBorders>
              <w:left w:val="single" w:sz="12" w:space="0" w:color="000000"/>
            </w:tcBorders>
            <w:vAlign w:val="center"/>
          </w:tcPr>
          <w:p w14:paraId="2B639518"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06/2015 - 12/2015</w:t>
            </w:r>
          </w:p>
        </w:tc>
        <w:tc>
          <w:tcPr>
            <w:tcW w:w="971" w:type="dxa"/>
            <w:vAlign w:val="center"/>
          </w:tcPr>
          <w:p w14:paraId="265B749D"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04/2015 - 10/2015</w:t>
            </w:r>
          </w:p>
        </w:tc>
        <w:tc>
          <w:tcPr>
            <w:tcW w:w="970" w:type="dxa"/>
            <w:vAlign w:val="center"/>
          </w:tcPr>
          <w:p w14:paraId="1D957C09"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11/2016</w:t>
            </w:r>
          </w:p>
        </w:tc>
        <w:tc>
          <w:tcPr>
            <w:tcW w:w="971" w:type="dxa"/>
            <w:tcBorders>
              <w:right w:val="single" w:sz="12" w:space="0" w:color="000000"/>
            </w:tcBorders>
            <w:vAlign w:val="center"/>
          </w:tcPr>
          <w:p w14:paraId="0AC42650" w14:textId="77777777" w:rsidR="00DB55B4" w:rsidRPr="00DB55B4" w:rsidRDefault="00DB55B4" w:rsidP="00591A66">
            <w:pPr>
              <w:spacing w:before="0" w:after="0" w:line="276" w:lineRule="auto"/>
              <w:jc w:val="center"/>
              <w:rPr>
                <w:rFonts w:eastAsia="Arial" w:cs="Times New Roman"/>
                <w:i/>
                <w:iCs/>
                <w:color w:val="000000"/>
                <w:sz w:val="12"/>
                <w:szCs w:val="12"/>
              </w:rPr>
            </w:pPr>
            <w:r w:rsidRPr="00DB55B4">
              <w:rPr>
                <w:rFonts w:eastAsia="Arial" w:cs="Times New Roman"/>
                <w:i/>
                <w:iCs/>
                <w:color w:val="000000"/>
                <w:sz w:val="12"/>
                <w:szCs w:val="12"/>
              </w:rPr>
              <w:t>03/2019-09/2019</w:t>
            </w:r>
          </w:p>
        </w:tc>
      </w:tr>
      <w:tr w:rsidR="00DB55B4" w:rsidRPr="00DB55B4" w14:paraId="2FA6D114" w14:textId="77777777" w:rsidTr="00591A66">
        <w:trPr>
          <w:trHeight w:val="227"/>
          <w:jc w:val="center"/>
        </w:trPr>
        <w:tc>
          <w:tcPr>
            <w:tcW w:w="1555" w:type="dxa"/>
            <w:tcBorders>
              <w:right w:val="single" w:sz="12" w:space="0" w:color="000000"/>
            </w:tcBorders>
            <w:vAlign w:val="center"/>
          </w:tcPr>
          <w:p w14:paraId="395ADC0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Number of patients</w:t>
            </w:r>
          </w:p>
        </w:tc>
        <w:tc>
          <w:tcPr>
            <w:tcW w:w="970" w:type="dxa"/>
            <w:tcBorders>
              <w:left w:val="single" w:sz="12" w:space="0" w:color="000000"/>
            </w:tcBorders>
            <w:vAlign w:val="center"/>
          </w:tcPr>
          <w:p w14:paraId="6DB8A40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162</w:t>
            </w:r>
          </w:p>
        </w:tc>
        <w:tc>
          <w:tcPr>
            <w:tcW w:w="970" w:type="dxa"/>
            <w:vAlign w:val="center"/>
          </w:tcPr>
          <w:p w14:paraId="5F79A16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607</w:t>
            </w:r>
          </w:p>
        </w:tc>
        <w:tc>
          <w:tcPr>
            <w:tcW w:w="971" w:type="dxa"/>
            <w:vAlign w:val="center"/>
          </w:tcPr>
          <w:p w14:paraId="58326FE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152</w:t>
            </w:r>
          </w:p>
        </w:tc>
        <w:tc>
          <w:tcPr>
            <w:tcW w:w="970" w:type="dxa"/>
            <w:tcBorders>
              <w:right w:val="single" w:sz="12" w:space="0" w:color="000000"/>
            </w:tcBorders>
            <w:vAlign w:val="center"/>
          </w:tcPr>
          <w:p w14:paraId="21FB7ED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125</w:t>
            </w:r>
          </w:p>
        </w:tc>
        <w:tc>
          <w:tcPr>
            <w:tcW w:w="970" w:type="dxa"/>
            <w:tcBorders>
              <w:left w:val="single" w:sz="12" w:space="0" w:color="000000"/>
            </w:tcBorders>
            <w:vAlign w:val="center"/>
          </w:tcPr>
          <w:p w14:paraId="483E692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61</w:t>
            </w:r>
          </w:p>
        </w:tc>
        <w:tc>
          <w:tcPr>
            <w:tcW w:w="971" w:type="dxa"/>
            <w:vAlign w:val="center"/>
          </w:tcPr>
          <w:p w14:paraId="1D54F5F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10, 8, 9</w:t>
            </w:r>
          </w:p>
        </w:tc>
        <w:tc>
          <w:tcPr>
            <w:tcW w:w="970" w:type="dxa"/>
            <w:vAlign w:val="center"/>
          </w:tcPr>
          <w:p w14:paraId="5F6C63F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264</w:t>
            </w:r>
          </w:p>
        </w:tc>
        <w:tc>
          <w:tcPr>
            <w:tcW w:w="971" w:type="dxa"/>
            <w:vAlign w:val="center"/>
          </w:tcPr>
          <w:p w14:paraId="5C44AC4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66, 67</w:t>
            </w:r>
          </w:p>
        </w:tc>
        <w:tc>
          <w:tcPr>
            <w:tcW w:w="970" w:type="dxa"/>
            <w:tcBorders>
              <w:right w:val="single" w:sz="12" w:space="0" w:color="000000"/>
            </w:tcBorders>
            <w:vAlign w:val="center"/>
          </w:tcPr>
          <w:p w14:paraId="5192626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48</w:t>
            </w:r>
          </w:p>
        </w:tc>
        <w:tc>
          <w:tcPr>
            <w:tcW w:w="970" w:type="dxa"/>
            <w:tcBorders>
              <w:left w:val="single" w:sz="12" w:space="0" w:color="000000"/>
            </w:tcBorders>
            <w:vAlign w:val="center"/>
          </w:tcPr>
          <w:p w14:paraId="77D518B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67, 82</w:t>
            </w:r>
          </w:p>
        </w:tc>
        <w:tc>
          <w:tcPr>
            <w:tcW w:w="971" w:type="dxa"/>
            <w:vAlign w:val="center"/>
          </w:tcPr>
          <w:p w14:paraId="45226A3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86</w:t>
            </w:r>
          </w:p>
        </w:tc>
        <w:tc>
          <w:tcPr>
            <w:tcW w:w="970" w:type="dxa"/>
            <w:vAlign w:val="center"/>
          </w:tcPr>
          <w:p w14:paraId="5451A74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366</w:t>
            </w:r>
          </w:p>
        </w:tc>
        <w:tc>
          <w:tcPr>
            <w:tcW w:w="971" w:type="dxa"/>
            <w:tcBorders>
              <w:right w:val="single" w:sz="12" w:space="0" w:color="000000"/>
            </w:tcBorders>
            <w:vAlign w:val="center"/>
          </w:tcPr>
          <w:p w14:paraId="5B8C47A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62</w:t>
            </w:r>
          </w:p>
        </w:tc>
      </w:tr>
      <w:tr w:rsidR="00DB55B4" w:rsidRPr="00DB55B4" w14:paraId="063A6BA9" w14:textId="77777777" w:rsidTr="00591A66">
        <w:trPr>
          <w:trHeight w:val="227"/>
          <w:jc w:val="center"/>
        </w:trPr>
        <w:tc>
          <w:tcPr>
            <w:tcW w:w="1555" w:type="dxa"/>
            <w:tcBorders>
              <w:right w:val="single" w:sz="12" w:space="0" w:color="000000"/>
            </w:tcBorders>
            <w:vAlign w:val="center"/>
          </w:tcPr>
          <w:p w14:paraId="2DAFB133"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Age of patients</w:t>
            </w:r>
          </w:p>
        </w:tc>
        <w:tc>
          <w:tcPr>
            <w:tcW w:w="970" w:type="dxa"/>
            <w:tcBorders>
              <w:left w:val="single" w:sz="12" w:space="0" w:color="000000"/>
            </w:tcBorders>
            <w:vAlign w:val="center"/>
          </w:tcPr>
          <w:p w14:paraId="482DCF9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1-30 y</w:t>
            </w:r>
          </w:p>
        </w:tc>
        <w:tc>
          <w:tcPr>
            <w:tcW w:w="970" w:type="dxa"/>
            <w:vAlign w:val="center"/>
          </w:tcPr>
          <w:p w14:paraId="20809F9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0176C98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1.7-51</w:t>
            </w:r>
          </w:p>
        </w:tc>
        <w:tc>
          <w:tcPr>
            <w:tcW w:w="970" w:type="dxa"/>
            <w:tcBorders>
              <w:right w:val="single" w:sz="12" w:space="0" w:color="000000"/>
            </w:tcBorders>
            <w:vAlign w:val="center"/>
          </w:tcPr>
          <w:p w14:paraId="451F2FC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2-20 y</w:t>
            </w:r>
          </w:p>
        </w:tc>
        <w:tc>
          <w:tcPr>
            <w:tcW w:w="970" w:type="dxa"/>
            <w:tcBorders>
              <w:left w:val="single" w:sz="12" w:space="0" w:color="000000"/>
            </w:tcBorders>
            <w:vAlign w:val="center"/>
          </w:tcPr>
          <w:p w14:paraId="5879451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2-18 y</w:t>
            </w:r>
          </w:p>
        </w:tc>
        <w:tc>
          <w:tcPr>
            <w:tcW w:w="971" w:type="dxa"/>
            <w:vAlign w:val="center"/>
          </w:tcPr>
          <w:p w14:paraId="3F5CF14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4-10 y</w:t>
            </w:r>
          </w:p>
        </w:tc>
        <w:tc>
          <w:tcPr>
            <w:tcW w:w="970" w:type="dxa"/>
            <w:vAlign w:val="center"/>
          </w:tcPr>
          <w:p w14:paraId="6BA0194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2-18 y</w:t>
            </w:r>
          </w:p>
        </w:tc>
        <w:tc>
          <w:tcPr>
            <w:tcW w:w="971" w:type="dxa"/>
            <w:vAlign w:val="center"/>
          </w:tcPr>
          <w:p w14:paraId="77F6FB1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2-18 y</w:t>
            </w:r>
          </w:p>
        </w:tc>
        <w:tc>
          <w:tcPr>
            <w:tcW w:w="970" w:type="dxa"/>
            <w:tcBorders>
              <w:right w:val="single" w:sz="12" w:space="0" w:color="000000"/>
            </w:tcBorders>
            <w:vAlign w:val="center"/>
          </w:tcPr>
          <w:p w14:paraId="590B2E5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2-17 y</w:t>
            </w:r>
          </w:p>
        </w:tc>
        <w:tc>
          <w:tcPr>
            <w:tcW w:w="970" w:type="dxa"/>
            <w:tcBorders>
              <w:left w:val="single" w:sz="12" w:space="0" w:color="000000"/>
            </w:tcBorders>
            <w:vAlign w:val="center"/>
          </w:tcPr>
          <w:p w14:paraId="1CFCC39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2-55 y</w:t>
            </w:r>
          </w:p>
        </w:tc>
        <w:tc>
          <w:tcPr>
            <w:tcW w:w="971" w:type="dxa"/>
            <w:vAlign w:val="center"/>
          </w:tcPr>
          <w:p w14:paraId="27E8AD2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2-55 y</w:t>
            </w:r>
          </w:p>
        </w:tc>
        <w:tc>
          <w:tcPr>
            <w:tcW w:w="970" w:type="dxa"/>
            <w:vAlign w:val="center"/>
          </w:tcPr>
          <w:p w14:paraId="2448AD6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2-55 y</w:t>
            </w:r>
          </w:p>
        </w:tc>
        <w:tc>
          <w:tcPr>
            <w:tcW w:w="971" w:type="dxa"/>
            <w:tcBorders>
              <w:right w:val="single" w:sz="12" w:space="0" w:color="000000"/>
            </w:tcBorders>
            <w:vAlign w:val="center"/>
          </w:tcPr>
          <w:p w14:paraId="1332282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2-20 y</w:t>
            </w:r>
          </w:p>
        </w:tc>
      </w:tr>
      <w:tr w:rsidR="00DB55B4" w:rsidRPr="00DB55B4" w14:paraId="08E6910C" w14:textId="77777777" w:rsidTr="00591A66">
        <w:trPr>
          <w:trHeight w:val="227"/>
          <w:jc w:val="center"/>
        </w:trPr>
        <w:tc>
          <w:tcPr>
            <w:tcW w:w="1555" w:type="dxa"/>
            <w:tcBorders>
              <w:right w:val="single" w:sz="12" w:space="0" w:color="000000"/>
            </w:tcBorders>
            <w:vAlign w:val="center"/>
          </w:tcPr>
          <w:p w14:paraId="0A40D49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CBD titration</w:t>
            </w:r>
          </w:p>
        </w:tc>
        <w:tc>
          <w:tcPr>
            <w:tcW w:w="970" w:type="dxa"/>
            <w:tcBorders>
              <w:left w:val="single" w:sz="12" w:space="0" w:color="000000"/>
            </w:tcBorders>
            <w:vAlign w:val="center"/>
          </w:tcPr>
          <w:p w14:paraId="74276B8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 mg/kg/w</w:t>
            </w:r>
          </w:p>
        </w:tc>
        <w:tc>
          <w:tcPr>
            <w:tcW w:w="970" w:type="dxa"/>
            <w:vAlign w:val="center"/>
          </w:tcPr>
          <w:p w14:paraId="27561F3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2-10 mg/kg/d</w:t>
            </w:r>
          </w:p>
        </w:tc>
        <w:tc>
          <w:tcPr>
            <w:tcW w:w="971" w:type="dxa"/>
            <w:vAlign w:val="center"/>
          </w:tcPr>
          <w:p w14:paraId="2DF8924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2-10 mg/kg/d</w:t>
            </w:r>
          </w:p>
        </w:tc>
        <w:tc>
          <w:tcPr>
            <w:tcW w:w="970" w:type="dxa"/>
            <w:tcBorders>
              <w:right w:val="single" w:sz="12" w:space="0" w:color="000000"/>
            </w:tcBorders>
            <w:vAlign w:val="center"/>
          </w:tcPr>
          <w:p w14:paraId="34101C4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 mg/kg/w</w:t>
            </w:r>
          </w:p>
        </w:tc>
        <w:tc>
          <w:tcPr>
            <w:tcW w:w="970" w:type="dxa"/>
            <w:tcBorders>
              <w:left w:val="single" w:sz="12" w:space="0" w:color="000000"/>
            </w:tcBorders>
            <w:vAlign w:val="center"/>
          </w:tcPr>
          <w:p w14:paraId="6918FCD8" w14:textId="77777777" w:rsidR="00DB55B4" w:rsidRPr="00DB55B4" w:rsidRDefault="00DB55B4" w:rsidP="00591A66">
            <w:pPr>
              <w:spacing w:before="0" w:after="0" w:line="276" w:lineRule="auto"/>
              <w:jc w:val="center"/>
              <w:rPr>
                <w:rFonts w:eastAsia="Calibri" w:cs="Times New Roman"/>
                <w:sz w:val="12"/>
                <w:szCs w:val="12"/>
              </w:rPr>
            </w:pPr>
            <w:r w:rsidRPr="00DB55B4">
              <w:rPr>
                <w:rFonts w:eastAsia="Arial" w:cs="Times New Roman"/>
                <w:color w:val="000000"/>
                <w:sz w:val="12"/>
                <w:szCs w:val="12"/>
              </w:rPr>
              <w:t>10 mg/kg/w</w:t>
            </w:r>
          </w:p>
        </w:tc>
        <w:tc>
          <w:tcPr>
            <w:tcW w:w="971" w:type="dxa"/>
            <w:vAlign w:val="center"/>
          </w:tcPr>
          <w:p w14:paraId="7EA8E7B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0" w:type="dxa"/>
            <w:vAlign w:val="center"/>
          </w:tcPr>
          <w:p w14:paraId="30CF7F3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 mg/kg/w</w:t>
            </w:r>
          </w:p>
        </w:tc>
        <w:tc>
          <w:tcPr>
            <w:tcW w:w="971" w:type="dxa"/>
            <w:vAlign w:val="center"/>
          </w:tcPr>
          <w:p w14:paraId="234FA84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mg/kg/d</w:t>
            </w:r>
          </w:p>
          <w:p w14:paraId="41F6D8E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1.6 mg/kg/d</w:t>
            </w:r>
          </w:p>
        </w:tc>
        <w:tc>
          <w:tcPr>
            <w:tcW w:w="970" w:type="dxa"/>
            <w:tcBorders>
              <w:right w:val="single" w:sz="12" w:space="0" w:color="000000"/>
            </w:tcBorders>
            <w:vAlign w:val="center"/>
          </w:tcPr>
          <w:p w14:paraId="35ECB39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 mg/kg/w</w:t>
            </w:r>
          </w:p>
        </w:tc>
        <w:tc>
          <w:tcPr>
            <w:tcW w:w="970" w:type="dxa"/>
            <w:tcBorders>
              <w:left w:val="single" w:sz="12" w:space="0" w:color="000000"/>
            </w:tcBorders>
            <w:vAlign w:val="center"/>
          </w:tcPr>
          <w:p w14:paraId="54B3A51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2.5-5 mg/kg/d</w:t>
            </w:r>
          </w:p>
        </w:tc>
        <w:tc>
          <w:tcPr>
            <w:tcW w:w="971" w:type="dxa"/>
            <w:vAlign w:val="center"/>
          </w:tcPr>
          <w:p w14:paraId="0AD14464" w14:textId="77777777" w:rsidR="00DB55B4" w:rsidRPr="00DB55B4" w:rsidRDefault="00DB55B4" w:rsidP="00591A66">
            <w:pPr>
              <w:spacing w:before="0" w:after="0" w:line="276" w:lineRule="auto"/>
              <w:jc w:val="center"/>
              <w:rPr>
                <w:rFonts w:eastAsia="Calibri" w:cs="Times New Roman"/>
                <w:sz w:val="12"/>
                <w:szCs w:val="12"/>
              </w:rPr>
            </w:pPr>
            <w:r w:rsidRPr="00DB55B4">
              <w:rPr>
                <w:rFonts w:eastAsia="Arial" w:cs="Times New Roman"/>
                <w:color w:val="000000"/>
                <w:sz w:val="12"/>
                <w:szCs w:val="12"/>
              </w:rPr>
              <w:t>10 mg/kg/w</w:t>
            </w:r>
          </w:p>
        </w:tc>
        <w:tc>
          <w:tcPr>
            <w:tcW w:w="970" w:type="dxa"/>
            <w:vAlign w:val="center"/>
          </w:tcPr>
          <w:p w14:paraId="19396C6C" w14:textId="77777777" w:rsidR="00DB55B4" w:rsidRPr="00DB55B4" w:rsidRDefault="00DB55B4" w:rsidP="00591A66">
            <w:pPr>
              <w:spacing w:before="0" w:after="0" w:line="276" w:lineRule="auto"/>
              <w:jc w:val="center"/>
              <w:rPr>
                <w:rFonts w:eastAsia="Calibri" w:cs="Times New Roman"/>
                <w:sz w:val="12"/>
                <w:szCs w:val="12"/>
              </w:rPr>
            </w:pPr>
            <w:r w:rsidRPr="00DB55B4">
              <w:rPr>
                <w:rFonts w:eastAsia="Arial" w:cs="Times New Roman"/>
                <w:color w:val="000000"/>
                <w:sz w:val="12"/>
                <w:szCs w:val="12"/>
              </w:rPr>
              <w:t>10 mg/kg/w</w:t>
            </w:r>
          </w:p>
        </w:tc>
        <w:tc>
          <w:tcPr>
            <w:tcW w:w="971" w:type="dxa"/>
            <w:tcBorders>
              <w:right w:val="single" w:sz="12" w:space="0" w:color="000000"/>
            </w:tcBorders>
            <w:vAlign w:val="center"/>
          </w:tcPr>
          <w:p w14:paraId="4B0138A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 mg/kg/w</w:t>
            </w:r>
          </w:p>
        </w:tc>
      </w:tr>
      <w:tr w:rsidR="00DB55B4" w:rsidRPr="00DB55B4" w14:paraId="08E91449" w14:textId="77777777" w:rsidTr="00591A66">
        <w:trPr>
          <w:trHeight w:val="227"/>
          <w:jc w:val="center"/>
        </w:trPr>
        <w:tc>
          <w:tcPr>
            <w:tcW w:w="1555" w:type="dxa"/>
            <w:tcBorders>
              <w:right w:val="single" w:sz="12" w:space="0" w:color="000000"/>
            </w:tcBorders>
            <w:tcMar>
              <w:left w:w="0" w:type="dxa"/>
              <w:right w:w="0" w:type="dxa"/>
            </w:tcMar>
            <w:vAlign w:val="center"/>
          </w:tcPr>
          <w:p w14:paraId="105725F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CBD max dose (mg/kg/d)</w:t>
            </w:r>
          </w:p>
        </w:tc>
        <w:tc>
          <w:tcPr>
            <w:tcW w:w="970" w:type="dxa"/>
            <w:tcBorders>
              <w:left w:val="single" w:sz="12" w:space="0" w:color="000000"/>
            </w:tcBorders>
            <w:vAlign w:val="center"/>
          </w:tcPr>
          <w:p w14:paraId="7A576B4F" w14:textId="5F38A7D4"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25-50</w:t>
            </w:r>
          </w:p>
        </w:tc>
        <w:tc>
          <w:tcPr>
            <w:tcW w:w="970" w:type="dxa"/>
            <w:vAlign w:val="center"/>
          </w:tcPr>
          <w:p w14:paraId="06BCB0F6" w14:textId="1B8B6235"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25-50</w:t>
            </w:r>
          </w:p>
        </w:tc>
        <w:tc>
          <w:tcPr>
            <w:tcW w:w="971" w:type="dxa"/>
            <w:vAlign w:val="center"/>
          </w:tcPr>
          <w:p w14:paraId="0FDD7934" w14:textId="4D435E33"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25-50</w:t>
            </w:r>
          </w:p>
        </w:tc>
        <w:tc>
          <w:tcPr>
            <w:tcW w:w="970" w:type="dxa"/>
            <w:tcBorders>
              <w:right w:val="single" w:sz="12" w:space="0" w:color="000000"/>
            </w:tcBorders>
            <w:vAlign w:val="center"/>
          </w:tcPr>
          <w:p w14:paraId="3E7F7D55" w14:textId="2C81A74A"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w:t>
            </w:r>
          </w:p>
        </w:tc>
        <w:tc>
          <w:tcPr>
            <w:tcW w:w="970" w:type="dxa"/>
            <w:tcBorders>
              <w:left w:val="single" w:sz="12" w:space="0" w:color="000000"/>
            </w:tcBorders>
            <w:vAlign w:val="center"/>
          </w:tcPr>
          <w:p w14:paraId="3BF7FD9F" w14:textId="04FB96C8"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w:t>
            </w:r>
          </w:p>
        </w:tc>
        <w:tc>
          <w:tcPr>
            <w:tcW w:w="971" w:type="dxa"/>
            <w:vAlign w:val="center"/>
          </w:tcPr>
          <w:p w14:paraId="33C98B23" w14:textId="42D4226A"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w:t>
            </w:r>
          </w:p>
        </w:tc>
        <w:tc>
          <w:tcPr>
            <w:tcW w:w="970" w:type="dxa"/>
            <w:vAlign w:val="center"/>
          </w:tcPr>
          <w:p w14:paraId="55EB9767" w14:textId="5F391958"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20-30</w:t>
            </w:r>
          </w:p>
        </w:tc>
        <w:tc>
          <w:tcPr>
            <w:tcW w:w="971" w:type="dxa"/>
            <w:vAlign w:val="center"/>
          </w:tcPr>
          <w:p w14:paraId="4A1C3484" w14:textId="2C8E20D5"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10, 20</w:t>
            </w:r>
          </w:p>
        </w:tc>
        <w:tc>
          <w:tcPr>
            <w:tcW w:w="970" w:type="dxa"/>
            <w:tcBorders>
              <w:right w:val="single" w:sz="12" w:space="0" w:color="000000"/>
            </w:tcBorders>
            <w:vAlign w:val="center"/>
          </w:tcPr>
          <w:p w14:paraId="37178D96" w14:textId="638E5961"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w:t>
            </w:r>
          </w:p>
        </w:tc>
        <w:tc>
          <w:tcPr>
            <w:tcW w:w="970" w:type="dxa"/>
            <w:tcBorders>
              <w:left w:val="single" w:sz="12" w:space="0" w:color="000000"/>
            </w:tcBorders>
            <w:vAlign w:val="center"/>
          </w:tcPr>
          <w:p w14:paraId="1D9F80F8" w14:textId="6707BB72"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10, 20</w:t>
            </w:r>
          </w:p>
        </w:tc>
        <w:tc>
          <w:tcPr>
            <w:tcW w:w="971" w:type="dxa"/>
            <w:vAlign w:val="center"/>
          </w:tcPr>
          <w:p w14:paraId="0B237CE5" w14:textId="2EAF031F"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w:t>
            </w:r>
          </w:p>
        </w:tc>
        <w:tc>
          <w:tcPr>
            <w:tcW w:w="970" w:type="dxa"/>
            <w:vAlign w:val="center"/>
          </w:tcPr>
          <w:p w14:paraId="6B7B05A6" w14:textId="0B1775A9"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20-30</w:t>
            </w:r>
          </w:p>
        </w:tc>
        <w:tc>
          <w:tcPr>
            <w:tcW w:w="971" w:type="dxa"/>
            <w:tcBorders>
              <w:right w:val="single" w:sz="12" w:space="0" w:color="000000"/>
            </w:tcBorders>
            <w:vAlign w:val="center"/>
          </w:tcPr>
          <w:p w14:paraId="6994B4CD" w14:textId="1E098D1E"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w:t>
            </w:r>
          </w:p>
        </w:tc>
      </w:tr>
      <w:tr w:rsidR="00DB55B4" w:rsidRPr="00DB55B4" w14:paraId="3DACEE81" w14:textId="77777777" w:rsidTr="00591A66">
        <w:trPr>
          <w:trHeight w:val="227"/>
          <w:jc w:val="center"/>
        </w:trPr>
        <w:tc>
          <w:tcPr>
            <w:tcW w:w="1555" w:type="dxa"/>
            <w:tcBorders>
              <w:right w:val="single" w:sz="12" w:space="0" w:color="000000"/>
            </w:tcBorders>
            <w:tcMar>
              <w:left w:w="0" w:type="dxa"/>
              <w:right w:w="0" w:type="dxa"/>
            </w:tcMar>
            <w:vAlign w:val="center"/>
          </w:tcPr>
          <w:p w14:paraId="70BBF90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CBD mean/median (mg/kg/d)</w:t>
            </w:r>
          </w:p>
        </w:tc>
        <w:tc>
          <w:tcPr>
            <w:tcW w:w="970" w:type="dxa"/>
            <w:tcBorders>
              <w:left w:val="single" w:sz="12" w:space="0" w:color="000000"/>
            </w:tcBorders>
            <w:vAlign w:val="center"/>
          </w:tcPr>
          <w:p w14:paraId="764C75F3" w14:textId="6F777EA1"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22.9 ± 9.1</w:t>
            </w:r>
          </w:p>
        </w:tc>
        <w:tc>
          <w:tcPr>
            <w:tcW w:w="970" w:type="dxa"/>
            <w:vAlign w:val="center"/>
          </w:tcPr>
          <w:p w14:paraId="6E55DC57" w14:textId="5641D24F"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w:t>
            </w:r>
          </w:p>
        </w:tc>
        <w:tc>
          <w:tcPr>
            <w:tcW w:w="971" w:type="dxa"/>
            <w:vAlign w:val="center"/>
          </w:tcPr>
          <w:p w14:paraId="6EF2F98D" w14:textId="362E093A"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25</w:t>
            </w:r>
          </w:p>
        </w:tc>
        <w:tc>
          <w:tcPr>
            <w:tcW w:w="970" w:type="dxa"/>
            <w:tcBorders>
              <w:right w:val="single" w:sz="12" w:space="0" w:color="000000"/>
            </w:tcBorders>
            <w:vAlign w:val="center"/>
          </w:tcPr>
          <w:p w14:paraId="7A5C917A" w14:textId="1F24B876"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13.5 ± 4.2</w:t>
            </w:r>
          </w:p>
        </w:tc>
        <w:tc>
          <w:tcPr>
            <w:tcW w:w="970" w:type="dxa"/>
            <w:tcBorders>
              <w:left w:val="single" w:sz="12" w:space="0" w:color="000000"/>
            </w:tcBorders>
            <w:vAlign w:val="center"/>
          </w:tcPr>
          <w:p w14:paraId="4C45EDE1" w14:textId="5EC537CB"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w:t>
            </w:r>
          </w:p>
        </w:tc>
        <w:tc>
          <w:tcPr>
            <w:tcW w:w="971" w:type="dxa"/>
            <w:vAlign w:val="center"/>
          </w:tcPr>
          <w:p w14:paraId="31C3B49E" w14:textId="4EFA5809"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5, 10, 20</w:t>
            </w:r>
          </w:p>
        </w:tc>
        <w:tc>
          <w:tcPr>
            <w:tcW w:w="970" w:type="dxa"/>
            <w:vAlign w:val="center"/>
          </w:tcPr>
          <w:p w14:paraId="3BF4F01C" w14:textId="751043AF"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21.2 ± 5.2</w:t>
            </w:r>
          </w:p>
        </w:tc>
        <w:tc>
          <w:tcPr>
            <w:tcW w:w="971" w:type="dxa"/>
            <w:vAlign w:val="center"/>
          </w:tcPr>
          <w:p w14:paraId="3EAC2C6D" w14:textId="0C01786E"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10, 20</w:t>
            </w:r>
          </w:p>
        </w:tc>
        <w:tc>
          <w:tcPr>
            <w:tcW w:w="970" w:type="dxa"/>
            <w:tcBorders>
              <w:right w:val="single" w:sz="12" w:space="0" w:color="000000"/>
            </w:tcBorders>
            <w:vAlign w:val="center"/>
          </w:tcPr>
          <w:p w14:paraId="6E312BA9" w14:textId="2F75BE26"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14 ± 3.6</w:t>
            </w:r>
          </w:p>
        </w:tc>
        <w:tc>
          <w:tcPr>
            <w:tcW w:w="970" w:type="dxa"/>
            <w:tcBorders>
              <w:left w:val="single" w:sz="12" w:space="0" w:color="000000"/>
            </w:tcBorders>
            <w:vAlign w:val="center"/>
          </w:tcPr>
          <w:p w14:paraId="6F64D8F8" w14:textId="530C7565"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10, 20</w:t>
            </w:r>
          </w:p>
        </w:tc>
        <w:tc>
          <w:tcPr>
            <w:tcW w:w="971" w:type="dxa"/>
            <w:vAlign w:val="center"/>
          </w:tcPr>
          <w:p w14:paraId="0AE49590" w14:textId="2000895F"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20</w:t>
            </w:r>
          </w:p>
        </w:tc>
        <w:tc>
          <w:tcPr>
            <w:tcW w:w="970" w:type="dxa"/>
            <w:vAlign w:val="center"/>
          </w:tcPr>
          <w:p w14:paraId="7E4A6557" w14:textId="4FA2C7A5"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22.8 ± 5</w:t>
            </w:r>
          </w:p>
        </w:tc>
        <w:tc>
          <w:tcPr>
            <w:tcW w:w="971" w:type="dxa"/>
            <w:tcBorders>
              <w:right w:val="single" w:sz="12" w:space="0" w:color="000000"/>
            </w:tcBorders>
            <w:vAlign w:val="center"/>
          </w:tcPr>
          <w:p w14:paraId="071EA502" w14:textId="32D1DF62"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13.1 ± 4.5</w:t>
            </w:r>
          </w:p>
        </w:tc>
      </w:tr>
      <w:tr w:rsidR="00DB55B4" w:rsidRPr="00DB55B4" w14:paraId="140549A3" w14:textId="77777777" w:rsidTr="00591A66">
        <w:trPr>
          <w:trHeight w:val="227"/>
          <w:jc w:val="center"/>
        </w:trPr>
        <w:tc>
          <w:tcPr>
            <w:tcW w:w="1555" w:type="dxa"/>
            <w:tcBorders>
              <w:right w:val="single" w:sz="12" w:space="0" w:color="000000"/>
            </w:tcBorders>
            <w:vAlign w:val="center"/>
          </w:tcPr>
          <w:p w14:paraId="2E46AE3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Study lenght</w:t>
            </w:r>
          </w:p>
        </w:tc>
        <w:tc>
          <w:tcPr>
            <w:tcW w:w="970" w:type="dxa"/>
            <w:tcBorders>
              <w:left w:val="single" w:sz="12" w:space="0" w:color="000000"/>
            </w:tcBorders>
            <w:vAlign w:val="center"/>
          </w:tcPr>
          <w:p w14:paraId="68966EA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12 w</w:t>
            </w:r>
          </w:p>
        </w:tc>
        <w:tc>
          <w:tcPr>
            <w:tcW w:w="970" w:type="dxa"/>
            <w:vAlign w:val="center"/>
          </w:tcPr>
          <w:p w14:paraId="6E1F4A5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48 w [23-95]</w:t>
            </w:r>
          </w:p>
        </w:tc>
        <w:tc>
          <w:tcPr>
            <w:tcW w:w="971" w:type="dxa"/>
            <w:vAlign w:val="center"/>
          </w:tcPr>
          <w:p w14:paraId="4172DCD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80.1 [20.7-107.7]</w:t>
            </w:r>
          </w:p>
        </w:tc>
        <w:tc>
          <w:tcPr>
            <w:tcW w:w="970" w:type="dxa"/>
            <w:tcBorders>
              <w:right w:val="single" w:sz="12" w:space="0" w:color="000000"/>
            </w:tcBorders>
            <w:vAlign w:val="center"/>
          </w:tcPr>
          <w:p w14:paraId="6E90099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27 w</w:t>
            </w:r>
          </w:p>
        </w:tc>
        <w:tc>
          <w:tcPr>
            <w:tcW w:w="970" w:type="dxa"/>
            <w:tcBorders>
              <w:left w:val="single" w:sz="12" w:space="0" w:color="000000"/>
            </w:tcBorders>
            <w:vAlign w:val="center"/>
          </w:tcPr>
          <w:p w14:paraId="26CCB0A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14 w</w:t>
            </w:r>
          </w:p>
        </w:tc>
        <w:tc>
          <w:tcPr>
            <w:tcW w:w="971" w:type="dxa"/>
            <w:vAlign w:val="center"/>
          </w:tcPr>
          <w:p w14:paraId="15A11B7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 w</w:t>
            </w:r>
          </w:p>
        </w:tc>
        <w:tc>
          <w:tcPr>
            <w:tcW w:w="970" w:type="dxa"/>
            <w:vAlign w:val="center"/>
          </w:tcPr>
          <w:p w14:paraId="60A8155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274 d (1-512)</w:t>
            </w:r>
          </w:p>
        </w:tc>
        <w:tc>
          <w:tcPr>
            <w:tcW w:w="971" w:type="dxa"/>
            <w:vAlign w:val="center"/>
          </w:tcPr>
          <w:p w14:paraId="2B47E51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14 w</w:t>
            </w:r>
          </w:p>
        </w:tc>
        <w:tc>
          <w:tcPr>
            <w:tcW w:w="970" w:type="dxa"/>
            <w:tcBorders>
              <w:right w:val="single" w:sz="12" w:space="0" w:color="000000"/>
            </w:tcBorders>
            <w:vAlign w:val="center"/>
          </w:tcPr>
          <w:p w14:paraId="002CF44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27 w</w:t>
            </w:r>
          </w:p>
        </w:tc>
        <w:tc>
          <w:tcPr>
            <w:tcW w:w="970" w:type="dxa"/>
            <w:tcBorders>
              <w:left w:val="single" w:sz="12" w:space="0" w:color="000000"/>
            </w:tcBorders>
            <w:vAlign w:val="center"/>
          </w:tcPr>
          <w:p w14:paraId="57A34B5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14 w</w:t>
            </w:r>
          </w:p>
        </w:tc>
        <w:tc>
          <w:tcPr>
            <w:tcW w:w="971" w:type="dxa"/>
            <w:vAlign w:val="center"/>
          </w:tcPr>
          <w:p w14:paraId="2E8E076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14 w</w:t>
            </w:r>
          </w:p>
        </w:tc>
        <w:tc>
          <w:tcPr>
            <w:tcW w:w="970" w:type="dxa"/>
            <w:vAlign w:val="center"/>
          </w:tcPr>
          <w:p w14:paraId="19BE9E2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38 w (3-430 d)</w:t>
            </w:r>
          </w:p>
        </w:tc>
        <w:tc>
          <w:tcPr>
            <w:tcW w:w="971" w:type="dxa"/>
            <w:tcBorders>
              <w:right w:val="single" w:sz="12" w:space="0" w:color="000000"/>
            </w:tcBorders>
            <w:vAlign w:val="center"/>
          </w:tcPr>
          <w:p w14:paraId="40C6570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27 w</w:t>
            </w:r>
          </w:p>
        </w:tc>
      </w:tr>
      <w:tr w:rsidR="00DB55B4" w:rsidRPr="00DB55B4" w14:paraId="26EA6344" w14:textId="77777777" w:rsidTr="00591A66">
        <w:trPr>
          <w:trHeight w:val="227"/>
          <w:jc w:val="center"/>
        </w:trPr>
        <w:tc>
          <w:tcPr>
            <w:tcW w:w="1555" w:type="dxa"/>
            <w:tcBorders>
              <w:right w:val="single" w:sz="12" w:space="0" w:color="000000"/>
            </w:tcBorders>
            <w:shd w:val="clear" w:color="auto" w:fill="E7E6E6"/>
            <w:vAlign w:val="center"/>
          </w:tcPr>
          <w:p w14:paraId="29E6BE7E" w14:textId="77777777" w:rsidR="00DB55B4" w:rsidRPr="00DB55B4" w:rsidRDefault="00DB55B4" w:rsidP="00591A66">
            <w:pPr>
              <w:spacing w:before="0" w:after="0" w:line="276" w:lineRule="auto"/>
              <w:jc w:val="center"/>
              <w:rPr>
                <w:rFonts w:eastAsia="Arial" w:cs="Times New Roman"/>
                <w:b/>
                <w:bCs/>
                <w:color w:val="000000"/>
                <w:sz w:val="12"/>
                <w:szCs w:val="12"/>
              </w:rPr>
            </w:pPr>
            <w:r w:rsidRPr="00DB55B4">
              <w:rPr>
                <w:rFonts w:eastAsia="Arial" w:cs="Times New Roman"/>
                <w:b/>
                <w:bCs/>
                <w:color w:val="000000"/>
                <w:sz w:val="12"/>
                <w:szCs w:val="12"/>
              </w:rPr>
              <w:t>Withdrawal</w:t>
            </w:r>
          </w:p>
        </w:tc>
        <w:tc>
          <w:tcPr>
            <w:tcW w:w="970" w:type="dxa"/>
            <w:tcBorders>
              <w:left w:val="single" w:sz="12" w:space="0" w:color="000000"/>
            </w:tcBorders>
            <w:shd w:val="clear" w:color="auto" w:fill="E7E6E6"/>
            <w:vAlign w:val="center"/>
          </w:tcPr>
          <w:p w14:paraId="1426BE2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(6.8%)</w:t>
            </w:r>
          </w:p>
        </w:tc>
        <w:tc>
          <w:tcPr>
            <w:tcW w:w="970" w:type="dxa"/>
            <w:shd w:val="clear" w:color="auto" w:fill="E7E6E6"/>
            <w:vAlign w:val="center"/>
          </w:tcPr>
          <w:p w14:paraId="2D5A3BA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146 (24%)</w:t>
            </w:r>
          </w:p>
        </w:tc>
        <w:tc>
          <w:tcPr>
            <w:tcW w:w="971" w:type="dxa"/>
            <w:shd w:val="clear" w:color="auto" w:fill="E7E6E6"/>
            <w:vAlign w:val="center"/>
          </w:tcPr>
          <w:p w14:paraId="79AF732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42 (27.6%)</w:t>
            </w:r>
          </w:p>
        </w:tc>
        <w:tc>
          <w:tcPr>
            <w:tcW w:w="970" w:type="dxa"/>
            <w:tcBorders>
              <w:right w:val="single" w:sz="12" w:space="0" w:color="000000"/>
            </w:tcBorders>
            <w:shd w:val="clear" w:color="auto" w:fill="E7E6E6"/>
            <w:vAlign w:val="center"/>
          </w:tcPr>
          <w:p w14:paraId="5AE2425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26 (20.8%)</w:t>
            </w:r>
          </w:p>
        </w:tc>
        <w:tc>
          <w:tcPr>
            <w:tcW w:w="970" w:type="dxa"/>
            <w:tcBorders>
              <w:left w:val="single" w:sz="12" w:space="0" w:color="000000"/>
            </w:tcBorders>
            <w:shd w:val="clear" w:color="auto" w:fill="E7E6E6"/>
            <w:vAlign w:val="center"/>
          </w:tcPr>
          <w:p w14:paraId="3517D80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 (14.7%)</w:t>
            </w:r>
          </w:p>
        </w:tc>
        <w:tc>
          <w:tcPr>
            <w:tcW w:w="971" w:type="dxa"/>
            <w:shd w:val="clear" w:color="auto" w:fill="E7E6E6"/>
            <w:vAlign w:val="center"/>
          </w:tcPr>
          <w:p w14:paraId="6EC8396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1, 1 (7.4%)</w:t>
            </w:r>
          </w:p>
        </w:tc>
        <w:tc>
          <w:tcPr>
            <w:tcW w:w="970" w:type="dxa"/>
            <w:shd w:val="clear" w:color="auto" w:fill="E7E6E6"/>
            <w:vAlign w:val="center"/>
          </w:tcPr>
          <w:p w14:paraId="124ECD4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75 (28.4%)</w:t>
            </w:r>
          </w:p>
        </w:tc>
        <w:tc>
          <w:tcPr>
            <w:tcW w:w="971" w:type="dxa"/>
            <w:shd w:val="clear" w:color="auto" w:fill="E7E6E6"/>
            <w:vAlign w:val="center"/>
          </w:tcPr>
          <w:p w14:paraId="7425104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 (6.7%)</w:t>
            </w:r>
          </w:p>
        </w:tc>
        <w:tc>
          <w:tcPr>
            <w:tcW w:w="970" w:type="dxa"/>
            <w:tcBorders>
              <w:right w:val="single" w:sz="12" w:space="0" w:color="000000"/>
            </w:tcBorders>
            <w:shd w:val="clear" w:color="auto" w:fill="E7E6E6"/>
            <w:vAlign w:val="center"/>
          </w:tcPr>
          <w:p w14:paraId="4CEF441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(23 %)</w:t>
            </w:r>
          </w:p>
        </w:tc>
        <w:tc>
          <w:tcPr>
            <w:tcW w:w="970" w:type="dxa"/>
            <w:tcBorders>
              <w:left w:val="single" w:sz="12" w:space="0" w:color="000000"/>
            </w:tcBorders>
            <w:shd w:val="clear" w:color="auto" w:fill="E7E6E6"/>
            <w:vAlign w:val="center"/>
          </w:tcPr>
          <w:p w14:paraId="1213482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 9 (7.4%)</w:t>
            </w:r>
          </w:p>
        </w:tc>
        <w:tc>
          <w:tcPr>
            <w:tcW w:w="971" w:type="dxa"/>
            <w:shd w:val="clear" w:color="auto" w:fill="E7E6E6"/>
            <w:vAlign w:val="center"/>
          </w:tcPr>
          <w:p w14:paraId="08C48D7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14 (16.3%)</w:t>
            </w:r>
          </w:p>
        </w:tc>
        <w:tc>
          <w:tcPr>
            <w:tcW w:w="970" w:type="dxa"/>
            <w:shd w:val="clear" w:color="auto" w:fill="E7E6E6"/>
            <w:vAlign w:val="center"/>
          </w:tcPr>
          <w:p w14:paraId="7773BAA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67 (18.3%)</w:t>
            </w:r>
          </w:p>
        </w:tc>
        <w:tc>
          <w:tcPr>
            <w:tcW w:w="971" w:type="dxa"/>
            <w:tcBorders>
              <w:right w:val="single" w:sz="12" w:space="0" w:color="000000"/>
            </w:tcBorders>
            <w:shd w:val="clear" w:color="auto" w:fill="E7E6E6"/>
            <w:vAlign w:val="center"/>
          </w:tcPr>
          <w:p w14:paraId="2DCCDA9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 (16.1%)</w:t>
            </w:r>
          </w:p>
        </w:tc>
      </w:tr>
      <w:tr w:rsidR="00DB55B4" w:rsidRPr="00DB55B4" w14:paraId="049724EF" w14:textId="77777777" w:rsidTr="00591A66">
        <w:trPr>
          <w:trHeight w:val="227"/>
          <w:jc w:val="center"/>
        </w:trPr>
        <w:tc>
          <w:tcPr>
            <w:tcW w:w="1555" w:type="dxa"/>
            <w:tcBorders>
              <w:right w:val="single" w:sz="12" w:space="0" w:color="000000"/>
            </w:tcBorders>
            <w:vAlign w:val="center"/>
          </w:tcPr>
          <w:p w14:paraId="08EEF914"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AE</w:t>
            </w:r>
          </w:p>
        </w:tc>
        <w:tc>
          <w:tcPr>
            <w:tcW w:w="970" w:type="dxa"/>
            <w:tcBorders>
              <w:left w:val="single" w:sz="12" w:space="0" w:color="000000"/>
            </w:tcBorders>
            <w:vAlign w:val="center"/>
          </w:tcPr>
          <w:p w14:paraId="52D631C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(3%)</w:t>
            </w:r>
          </w:p>
        </w:tc>
        <w:tc>
          <w:tcPr>
            <w:tcW w:w="970" w:type="dxa"/>
            <w:vAlign w:val="center"/>
          </w:tcPr>
          <w:p w14:paraId="7E40A45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31 (5.1%)</w:t>
            </w:r>
          </w:p>
        </w:tc>
        <w:tc>
          <w:tcPr>
            <w:tcW w:w="971" w:type="dxa"/>
            <w:vAlign w:val="center"/>
          </w:tcPr>
          <w:p w14:paraId="10EE746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(3.3%)</w:t>
            </w:r>
          </w:p>
        </w:tc>
        <w:tc>
          <w:tcPr>
            <w:tcW w:w="970" w:type="dxa"/>
            <w:tcBorders>
              <w:right w:val="single" w:sz="12" w:space="0" w:color="000000"/>
            </w:tcBorders>
            <w:vAlign w:val="center"/>
          </w:tcPr>
          <w:p w14:paraId="26F46D8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 (1.6%)</w:t>
            </w:r>
          </w:p>
        </w:tc>
        <w:tc>
          <w:tcPr>
            <w:tcW w:w="970" w:type="dxa"/>
            <w:tcBorders>
              <w:left w:val="single" w:sz="12" w:space="0" w:color="000000"/>
            </w:tcBorders>
            <w:vAlign w:val="center"/>
          </w:tcPr>
          <w:p w14:paraId="0A1BCE2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8 (13.1%)</w:t>
            </w:r>
          </w:p>
        </w:tc>
        <w:tc>
          <w:tcPr>
            <w:tcW w:w="971" w:type="dxa"/>
            <w:vAlign w:val="center"/>
          </w:tcPr>
          <w:p w14:paraId="67BFB74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 (7.4%)</w:t>
            </w:r>
          </w:p>
        </w:tc>
        <w:tc>
          <w:tcPr>
            <w:tcW w:w="970" w:type="dxa"/>
            <w:vAlign w:val="center"/>
          </w:tcPr>
          <w:p w14:paraId="40E62EB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19 (7.2%)</w:t>
            </w:r>
          </w:p>
        </w:tc>
        <w:tc>
          <w:tcPr>
            <w:tcW w:w="971" w:type="dxa"/>
            <w:vAlign w:val="center"/>
          </w:tcPr>
          <w:p w14:paraId="599A6D0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(3.7%)</w:t>
            </w:r>
          </w:p>
        </w:tc>
        <w:tc>
          <w:tcPr>
            <w:tcW w:w="970" w:type="dxa"/>
            <w:tcBorders>
              <w:right w:val="single" w:sz="12" w:space="0" w:color="000000"/>
            </w:tcBorders>
            <w:vAlign w:val="center"/>
          </w:tcPr>
          <w:p w14:paraId="14569EB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( 2%)</w:t>
            </w:r>
          </w:p>
        </w:tc>
        <w:tc>
          <w:tcPr>
            <w:tcW w:w="970" w:type="dxa"/>
            <w:tcBorders>
              <w:left w:val="single" w:sz="12" w:space="0" w:color="000000"/>
            </w:tcBorders>
            <w:vAlign w:val="center"/>
          </w:tcPr>
          <w:p w14:paraId="5A14544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6 (4.7%)</w:t>
            </w:r>
          </w:p>
        </w:tc>
        <w:tc>
          <w:tcPr>
            <w:tcW w:w="971" w:type="dxa"/>
            <w:vAlign w:val="center"/>
          </w:tcPr>
          <w:p w14:paraId="58F3358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12 (14%)</w:t>
            </w:r>
          </w:p>
        </w:tc>
        <w:tc>
          <w:tcPr>
            <w:tcW w:w="970" w:type="dxa"/>
            <w:vAlign w:val="center"/>
          </w:tcPr>
          <w:p w14:paraId="0558C22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35 (9.6%)</w:t>
            </w:r>
          </w:p>
        </w:tc>
        <w:tc>
          <w:tcPr>
            <w:tcW w:w="971" w:type="dxa"/>
            <w:tcBorders>
              <w:right w:val="single" w:sz="12" w:space="0" w:color="000000"/>
            </w:tcBorders>
            <w:vAlign w:val="center"/>
          </w:tcPr>
          <w:p w14:paraId="391C0FC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r>
      <w:tr w:rsidR="00DB55B4" w:rsidRPr="00DB55B4" w14:paraId="5E4C16D1" w14:textId="77777777" w:rsidTr="00591A66">
        <w:trPr>
          <w:trHeight w:val="227"/>
          <w:jc w:val="center"/>
        </w:trPr>
        <w:tc>
          <w:tcPr>
            <w:tcW w:w="1555" w:type="dxa"/>
            <w:tcBorders>
              <w:right w:val="single" w:sz="12" w:space="0" w:color="000000"/>
            </w:tcBorders>
            <w:vAlign w:val="center"/>
          </w:tcPr>
          <w:p w14:paraId="3570A929"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Hepatoxicity</w:t>
            </w:r>
          </w:p>
        </w:tc>
        <w:tc>
          <w:tcPr>
            <w:tcW w:w="970" w:type="dxa"/>
            <w:tcBorders>
              <w:left w:val="single" w:sz="12" w:space="0" w:color="000000"/>
            </w:tcBorders>
            <w:vAlign w:val="center"/>
          </w:tcPr>
          <w:p w14:paraId="3E16568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(&lt;1%)</w:t>
            </w:r>
          </w:p>
        </w:tc>
        <w:tc>
          <w:tcPr>
            <w:tcW w:w="970" w:type="dxa"/>
            <w:vAlign w:val="center"/>
          </w:tcPr>
          <w:p w14:paraId="7A030BB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61E5DAB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0" w:type="dxa"/>
            <w:tcBorders>
              <w:right w:val="single" w:sz="12" w:space="0" w:color="000000"/>
            </w:tcBorders>
            <w:vAlign w:val="center"/>
          </w:tcPr>
          <w:p w14:paraId="4A04EAA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c>
          <w:tcPr>
            <w:tcW w:w="970" w:type="dxa"/>
            <w:tcBorders>
              <w:left w:val="single" w:sz="12" w:space="0" w:color="000000"/>
            </w:tcBorders>
            <w:vAlign w:val="center"/>
          </w:tcPr>
          <w:p w14:paraId="39AB2E1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7714C46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0" w:type="dxa"/>
            <w:vAlign w:val="center"/>
          </w:tcPr>
          <w:p w14:paraId="72BFBA9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406754E1" w14:textId="77777777" w:rsidR="00DB55B4" w:rsidRPr="00DB55B4" w:rsidRDefault="00DB55B4" w:rsidP="00591A66">
            <w:pPr>
              <w:spacing w:before="0" w:after="0" w:line="276" w:lineRule="auto"/>
              <w:jc w:val="center"/>
              <w:rPr>
                <w:rFonts w:eastAsia="Arial" w:cs="Times New Roman"/>
                <w:color w:val="000000"/>
                <w:sz w:val="12"/>
                <w:szCs w:val="12"/>
              </w:rPr>
            </w:pPr>
          </w:p>
        </w:tc>
        <w:tc>
          <w:tcPr>
            <w:tcW w:w="970" w:type="dxa"/>
            <w:tcBorders>
              <w:right w:val="single" w:sz="12" w:space="0" w:color="000000"/>
            </w:tcBorders>
            <w:vAlign w:val="center"/>
          </w:tcPr>
          <w:p w14:paraId="573023F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c>
          <w:tcPr>
            <w:tcW w:w="970" w:type="dxa"/>
            <w:tcBorders>
              <w:left w:val="single" w:sz="12" w:space="0" w:color="000000"/>
            </w:tcBorders>
            <w:vAlign w:val="center"/>
          </w:tcPr>
          <w:p w14:paraId="6CE0879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7CBF2D1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 (2.3%)</w:t>
            </w:r>
          </w:p>
        </w:tc>
        <w:tc>
          <w:tcPr>
            <w:tcW w:w="970" w:type="dxa"/>
            <w:vAlign w:val="center"/>
          </w:tcPr>
          <w:p w14:paraId="4D316E7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tcBorders>
              <w:right w:val="single" w:sz="12" w:space="0" w:color="000000"/>
            </w:tcBorders>
            <w:vAlign w:val="center"/>
          </w:tcPr>
          <w:p w14:paraId="7C68DF5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r>
      <w:tr w:rsidR="00DB55B4" w:rsidRPr="00DB55B4" w14:paraId="44281754" w14:textId="77777777" w:rsidTr="00591A66">
        <w:trPr>
          <w:trHeight w:val="227"/>
          <w:jc w:val="center"/>
        </w:trPr>
        <w:tc>
          <w:tcPr>
            <w:tcW w:w="1555" w:type="dxa"/>
            <w:tcBorders>
              <w:right w:val="single" w:sz="12" w:space="0" w:color="000000"/>
            </w:tcBorders>
            <w:vAlign w:val="center"/>
          </w:tcPr>
          <w:p w14:paraId="28143B73"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AST, AST</w:t>
            </w:r>
          </w:p>
        </w:tc>
        <w:tc>
          <w:tcPr>
            <w:tcW w:w="970" w:type="dxa"/>
            <w:tcBorders>
              <w:left w:val="single" w:sz="12" w:space="0" w:color="000000"/>
            </w:tcBorders>
            <w:vAlign w:val="center"/>
          </w:tcPr>
          <w:p w14:paraId="2B39775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0" w:type="dxa"/>
            <w:vAlign w:val="center"/>
          </w:tcPr>
          <w:p w14:paraId="56A4A9F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06191C4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0" w:type="dxa"/>
            <w:tcBorders>
              <w:right w:val="single" w:sz="12" w:space="0" w:color="000000"/>
            </w:tcBorders>
            <w:vAlign w:val="center"/>
          </w:tcPr>
          <w:p w14:paraId="0C5ECEC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c>
          <w:tcPr>
            <w:tcW w:w="970" w:type="dxa"/>
            <w:tcBorders>
              <w:left w:val="single" w:sz="12" w:space="0" w:color="000000"/>
            </w:tcBorders>
            <w:vAlign w:val="center"/>
          </w:tcPr>
          <w:p w14:paraId="2C303D6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 (4.9%)</w:t>
            </w:r>
          </w:p>
        </w:tc>
        <w:tc>
          <w:tcPr>
            <w:tcW w:w="971" w:type="dxa"/>
            <w:vAlign w:val="center"/>
          </w:tcPr>
          <w:p w14:paraId="51AF80D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(3.7%)</w:t>
            </w:r>
          </w:p>
        </w:tc>
        <w:tc>
          <w:tcPr>
            <w:tcW w:w="970" w:type="dxa"/>
            <w:vAlign w:val="center"/>
          </w:tcPr>
          <w:p w14:paraId="54EE805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 (3.8%)</w:t>
            </w:r>
          </w:p>
        </w:tc>
        <w:tc>
          <w:tcPr>
            <w:tcW w:w="971" w:type="dxa"/>
            <w:vAlign w:val="center"/>
          </w:tcPr>
          <w:p w14:paraId="5CBE40FA" w14:textId="77777777" w:rsidR="00DB55B4" w:rsidRPr="00DB55B4" w:rsidRDefault="00DB55B4" w:rsidP="00591A66">
            <w:pPr>
              <w:spacing w:before="0" w:after="0" w:line="276" w:lineRule="auto"/>
              <w:jc w:val="center"/>
              <w:rPr>
                <w:rFonts w:eastAsia="Arial" w:cs="Times New Roman"/>
                <w:color w:val="000000"/>
                <w:sz w:val="12"/>
                <w:szCs w:val="12"/>
              </w:rPr>
            </w:pPr>
          </w:p>
        </w:tc>
        <w:tc>
          <w:tcPr>
            <w:tcW w:w="970" w:type="dxa"/>
            <w:tcBorders>
              <w:right w:val="single" w:sz="12" w:space="0" w:color="000000"/>
            </w:tcBorders>
            <w:vAlign w:val="center"/>
          </w:tcPr>
          <w:p w14:paraId="09CF999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c>
          <w:tcPr>
            <w:tcW w:w="970" w:type="dxa"/>
            <w:tcBorders>
              <w:left w:val="single" w:sz="12" w:space="0" w:color="000000"/>
            </w:tcBorders>
            <w:vAlign w:val="center"/>
          </w:tcPr>
          <w:p w14:paraId="7C4385A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4 (3.3%)</w:t>
            </w:r>
          </w:p>
        </w:tc>
        <w:tc>
          <w:tcPr>
            <w:tcW w:w="971" w:type="dxa"/>
            <w:vAlign w:val="center"/>
          </w:tcPr>
          <w:p w14:paraId="456C1F8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 (7%)</w:t>
            </w:r>
          </w:p>
        </w:tc>
        <w:tc>
          <w:tcPr>
            <w:tcW w:w="970" w:type="dxa"/>
            <w:vAlign w:val="center"/>
          </w:tcPr>
          <w:p w14:paraId="60035F0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(1.4%)</w:t>
            </w:r>
          </w:p>
        </w:tc>
        <w:tc>
          <w:tcPr>
            <w:tcW w:w="971" w:type="dxa"/>
            <w:tcBorders>
              <w:right w:val="single" w:sz="12" w:space="0" w:color="000000"/>
            </w:tcBorders>
            <w:vAlign w:val="center"/>
          </w:tcPr>
          <w:p w14:paraId="7C61849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r>
      <w:tr w:rsidR="00DB55B4" w:rsidRPr="00DB55B4" w14:paraId="255018FD" w14:textId="77777777" w:rsidTr="00591A66">
        <w:trPr>
          <w:trHeight w:val="227"/>
          <w:jc w:val="center"/>
        </w:trPr>
        <w:tc>
          <w:tcPr>
            <w:tcW w:w="1555" w:type="dxa"/>
            <w:tcBorders>
              <w:right w:val="single" w:sz="12" w:space="0" w:color="000000"/>
            </w:tcBorders>
            <w:shd w:val="clear" w:color="auto" w:fill="E7E6E6"/>
            <w:vAlign w:val="center"/>
          </w:tcPr>
          <w:p w14:paraId="5113CB34" w14:textId="77777777" w:rsidR="00DB55B4" w:rsidRPr="00DB55B4" w:rsidRDefault="00DB55B4" w:rsidP="00591A66">
            <w:pPr>
              <w:spacing w:before="0" w:after="0" w:line="276" w:lineRule="auto"/>
              <w:jc w:val="center"/>
              <w:rPr>
                <w:rFonts w:eastAsia="Arial" w:cs="Times New Roman"/>
                <w:b/>
                <w:bCs/>
                <w:color w:val="000000"/>
                <w:sz w:val="12"/>
                <w:szCs w:val="12"/>
              </w:rPr>
            </w:pPr>
            <w:r w:rsidRPr="00DB55B4">
              <w:rPr>
                <w:rFonts w:eastAsia="Arial" w:cs="Times New Roman"/>
                <w:b/>
                <w:bCs/>
                <w:color w:val="000000"/>
                <w:sz w:val="12"/>
                <w:szCs w:val="12"/>
              </w:rPr>
              <w:t>AE, n (%)</w:t>
            </w:r>
          </w:p>
        </w:tc>
        <w:tc>
          <w:tcPr>
            <w:tcW w:w="970" w:type="dxa"/>
            <w:tcBorders>
              <w:left w:val="single" w:sz="12" w:space="0" w:color="000000"/>
            </w:tcBorders>
            <w:shd w:val="clear" w:color="auto" w:fill="E7E6E6"/>
            <w:vAlign w:val="center"/>
          </w:tcPr>
          <w:p w14:paraId="7F6773F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128 (79%)</w:t>
            </w:r>
          </w:p>
        </w:tc>
        <w:tc>
          <w:tcPr>
            <w:tcW w:w="970" w:type="dxa"/>
            <w:shd w:val="clear" w:color="auto" w:fill="E7E6E6"/>
            <w:vAlign w:val="center"/>
          </w:tcPr>
          <w:p w14:paraId="3ED9928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536 (88.3%)</w:t>
            </w:r>
          </w:p>
        </w:tc>
        <w:tc>
          <w:tcPr>
            <w:tcW w:w="971" w:type="dxa"/>
            <w:shd w:val="clear" w:color="auto" w:fill="E7E6E6"/>
            <w:vAlign w:val="center"/>
          </w:tcPr>
          <w:p w14:paraId="3BD7AC0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138 (91.8%)</w:t>
            </w:r>
          </w:p>
        </w:tc>
        <w:tc>
          <w:tcPr>
            <w:tcW w:w="970" w:type="dxa"/>
            <w:tcBorders>
              <w:right w:val="single" w:sz="12" w:space="0" w:color="000000"/>
            </w:tcBorders>
            <w:shd w:val="clear" w:color="auto" w:fill="E7E6E6"/>
            <w:vAlign w:val="center"/>
          </w:tcPr>
          <w:p w14:paraId="5BF0221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61 (48.8%)</w:t>
            </w:r>
          </w:p>
        </w:tc>
        <w:tc>
          <w:tcPr>
            <w:tcW w:w="970" w:type="dxa"/>
            <w:tcBorders>
              <w:left w:val="single" w:sz="12" w:space="0" w:color="000000"/>
            </w:tcBorders>
            <w:shd w:val="clear" w:color="auto" w:fill="E7E6E6"/>
            <w:vAlign w:val="center"/>
          </w:tcPr>
          <w:p w14:paraId="2659F05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57 (93.4%)</w:t>
            </w:r>
          </w:p>
        </w:tc>
        <w:tc>
          <w:tcPr>
            <w:tcW w:w="971" w:type="dxa"/>
            <w:shd w:val="clear" w:color="auto" w:fill="E7E6E6"/>
            <w:vAlign w:val="center"/>
          </w:tcPr>
          <w:p w14:paraId="6365A40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8, 5, 7 (74%)</w:t>
            </w:r>
          </w:p>
        </w:tc>
        <w:tc>
          <w:tcPr>
            <w:tcW w:w="970" w:type="dxa"/>
            <w:shd w:val="clear" w:color="auto" w:fill="E7E6E6"/>
            <w:vAlign w:val="center"/>
          </w:tcPr>
          <w:p w14:paraId="4D526E6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246 (93.2%)</w:t>
            </w:r>
          </w:p>
        </w:tc>
        <w:tc>
          <w:tcPr>
            <w:tcW w:w="971" w:type="dxa"/>
            <w:shd w:val="clear" w:color="auto" w:fill="E7E6E6"/>
            <w:vAlign w:val="center"/>
          </w:tcPr>
          <w:p w14:paraId="6E61E7F7" w14:textId="77777777" w:rsidR="00DB55B4" w:rsidRPr="00DB55B4" w:rsidRDefault="00DB55B4" w:rsidP="00591A66">
            <w:pPr>
              <w:spacing w:before="0" w:after="0" w:line="276" w:lineRule="auto"/>
              <w:jc w:val="center"/>
              <w:rPr>
                <w:rFonts w:eastAsia="Arial" w:cs="Times New Roman"/>
                <w:color w:val="000000"/>
                <w:sz w:val="12"/>
                <w:szCs w:val="12"/>
              </w:rPr>
            </w:pPr>
          </w:p>
        </w:tc>
        <w:tc>
          <w:tcPr>
            <w:tcW w:w="970" w:type="dxa"/>
            <w:tcBorders>
              <w:right w:val="single" w:sz="12" w:space="0" w:color="000000"/>
            </w:tcBorders>
            <w:shd w:val="clear" w:color="auto" w:fill="E7E6E6"/>
            <w:vAlign w:val="center"/>
          </w:tcPr>
          <w:p w14:paraId="3D0CCF5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30 (62.5 %)</w:t>
            </w:r>
          </w:p>
        </w:tc>
        <w:tc>
          <w:tcPr>
            <w:tcW w:w="970" w:type="dxa"/>
            <w:tcBorders>
              <w:left w:val="single" w:sz="12" w:space="0" w:color="000000"/>
            </w:tcBorders>
            <w:shd w:val="clear" w:color="auto" w:fill="E7E6E6"/>
            <w:vAlign w:val="center"/>
          </w:tcPr>
          <w:p w14:paraId="2F7A0F2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56, 77 (89.3%)</w:t>
            </w:r>
          </w:p>
        </w:tc>
        <w:tc>
          <w:tcPr>
            <w:tcW w:w="971" w:type="dxa"/>
            <w:shd w:val="clear" w:color="auto" w:fill="E7E6E6"/>
            <w:vAlign w:val="center"/>
          </w:tcPr>
          <w:p w14:paraId="78A3EB8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74 (86%)</w:t>
            </w:r>
          </w:p>
        </w:tc>
        <w:tc>
          <w:tcPr>
            <w:tcW w:w="970" w:type="dxa"/>
            <w:shd w:val="clear" w:color="auto" w:fill="E7E6E6"/>
            <w:vAlign w:val="center"/>
          </w:tcPr>
          <w:p w14:paraId="438FD29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337 (92.1%)</w:t>
            </w:r>
          </w:p>
        </w:tc>
        <w:tc>
          <w:tcPr>
            <w:tcW w:w="971" w:type="dxa"/>
            <w:tcBorders>
              <w:right w:val="single" w:sz="12" w:space="0" w:color="000000"/>
            </w:tcBorders>
            <w:shd w:val="clear" w:color="auto" w:fill="E7E6E6"/>
            <w:vAlign w:val="center"/>
          </w:tcPr>
          <w:p w14:paraId="7F8ED36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26 (41.9%)</w:t>
            </w:r>
          </w:p>
        </w:tc>
      </w:tr>
      <w:tr w:rsidR="00DB55B4" w:rsidRPr="00DB55B4" w14:paraId="5FFB6004" w14:textId="77777777" w:rsidTr="00591A66">
        <w:trPr>
          <w:trHeight w:val="227"/>
          <w:jc w:val="center"/>
        </w:trPr>
        <w:tc>
          <w:tcPr>
            <w:tcW w:w="1555" w:type="dxa"/>
            <w:tcBorders>
              <w:right w:val="single" w:sz="12" w:space="0" w:color="000000"/>
            </w:tcBorders>
            <w:vAlign w:val="center"/>
          </w:tcPr>
          <w:p w14:paraId="0CDB795B"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Somnolence</w:t>
            </w:r>
          </w:p>
        </w:tc>
        <w:tc>
          <w:tcPr>
            <w:tcW w:w="970" w:type="dxa"/>
            <w:tcBorders>
              <w:left w:val="single" w:sz="12" w:space="0" w:color="000000"/>
            </w:tcBorders>
            <w:vAlign w:val="center"/>
          </w:tcPr>
          <w:p w14:paraId="5ACB4A8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41 (25%)</w:t>
            </w:r>
          </w:p>
        </w:tc>
        <w:tc>
          <w:tcPr>
            <w:tcW w:w="970" w:type="dxa"/>
            <w:vAlign w:val="center"/>
          </w:tcPr>
          <w:p w14:paraId="43F83A1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136 (22.4%)</w:t>
            </w:r>
          </w:p>
        </w:tc>
        <w:tc>
          <w:tcPr>
            <w:tcW w:w="971" w:type="dxa"/>
            <w:vAlign w:val="center"/>
          </w:tcPr>
          <w:p w14:paraId="24DA9FD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45 (30%)</w:t>
            </w:r>
          </w:p>
        </w:tc>
        <w:tc>
          <w:tcPr>
            <w:tcW w:w="970" w:type="dxa"/>
            <w:tcBorders>
              <w:right w:val="single" w:sz="12" w:space="0" w:color="000000"/>
            </w:tcBorders>
            <w:vAlign w:val="center"/>
          </w:tcPr>
          <w:p w14:paraId="7233AAA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26 (20.8%)</w:t>
            </w:r>
          </w:p>
        </w:tc>
        <w:tc>
          <w:tcPr>
            <w:tcW w:w="970" w:type="dxa"/>
            <w:tcBorders>
              <w:left w:val="single" w:sz="12" w:space="0" w:color="000000"/>
            </w:tcBorders>
            <w:vAlign w:val="center"/>
          </w:tcPr>
          <w:p w14:paraId="432628C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22 (36%)</w:t>
            </w:r>
          </w:p>
        </w:tc>
        <w:tc>
          <w:tcPr>
            <w:tcW w:w="971" w:type="dxa"/>
            <w:vAlign w:val="center"/>
          </w:tcPr>
          <w:p w14:paraId="29F6193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 3, 0 (18.5%)</w:t>
            </w:r>
          </w:p>
        </w:tc>
        <w:tc>
          <w:tcPr>
            <w:tcW w:w="970" w:type="dxa"/>
            <w:vAlign w:val="center"/>
          </w:tcPr>
          <w:p w14:paraId="6131B65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65 (24.6%)</w:t>
            </w:r>
          </w:p>
        </w:tc>
        <w:tc>
          <w:tcPr>
            <w:tcW w:w="971" w:type="dxa"/>
            <w:vAlign w:val="center"/>
          </w:tcPr>
          <w:p w14:paraId="4B2DB26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16 (25%)</w:t>
            </w:r>
          </w:p>
          <w:p w14:paraId="3322D29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16 (23%)</w:t>
            </w:r>
          </w:p>
        </w:tc>
        <w:tc>
          <w:tcPr>
            <w:tcW w:w="970" w:type="dxa"/>
            <w:tcBorders>
              <w:right w:val="single" w:sz="12" w:space="0" w:color="000000"/>
            </w:tcBorders>
            <w:vAlign w:val="center"/>
          </w:tcPr>
          <w:p w14:paraId="59F6DB2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(23%)</w:t>
            </w:r>
          </w:p>
        </w:tc>
        <w:tc>
          <w:tcPr>
            <w:tcW w:w="970" w:type="dxa"/>
            <w:tcBorders>
              <w:left w:val="single" w:sz="12" w:space="0" w:color="000000"/>
            </w:tcBorders>
            <w:vAlign w:val="center"/>
          </w:tcPr>
          <w:p w14:paraId="6E4151C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14, 25 (26.2%)</w:t>
            </w:r>
          </w:p>
        </w:tc>
        <w:tc>
          <w:tcPr>
            <w:tcW w:w="971" w:type="dxa"/>
            <w:vAlign w:val="center"/>
          </w:tcPr>
          <w:p w14:paraId="5AEA785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13 (15%)</w:t>
            </w:r>
          </w:p>
        </w:tc>
        <w:tc>
          <w:tcPr>
            <w:tcW w:w="970" w:type="dxa"/>
            <w:vAlign w:val="center"/>
          </w:tcPr>
          <w:p w14:paraId="701754A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86 (23.5%)</w:t>
            </w:r>
          </w:p>
        </w:tc>
        <w:tc>
          <w:tcPr>
            <w:tcW w:w="971" w:type="dxa"/>
            <w:tcBorders>
              <w:right w:val="single" w:sz="12" w:space="0" w:color="000000"/>
            </w:tcBorders>
            <w:vAlign w:val="center"/>
          </w:tcPr>
          <w:p w14:paraId="4A16991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13 (21%)</w:t>
            </w:r>
          </w:p>
        </w:tc>
      </w:tr>
      <w:tr w:rsidR="00DB55B4" w:rsidRPr="00DB55B4" w14:paraId="52F68919" w14:textId="77777777" w:rsidTr="00591A66">
        <w:trPr>
          <w:trHeight w:val="227"/>
          <w:jc w:val="center"/>
        </w:trPr>
        <w:tc>
          <w:tcPr>
            <w:tcW w:w="1555" w:type="dxa"/>
            <w:tcBorders>
              <w:right w:val="single" w:sz="12" w:space="0" w:color="000000"/>
            </w:tcBorders>
            <w:vAlign w:val="center"/>
          </w:tcPr>
          <w:p w14:paraId="499F6BCB"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Decr. appetit</w:t>
            </w:r>
          </w:p>
        </w:tc>
        <w:tc>
          <w:tcPr>
            <w:tcW w:w="970" w:type="dxa"/>
            <w:tcBorders>
              <w:left w:val="single" w:sz="12" w:space="0" w:color="000000"/>
            </w:tcBorders>
            <w:vAlign w:val="center"/>
          </w:tcPr>
          <w:p w14:paraId="03F72BA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31 (19%)</w:t>
            </w:r>
          </w:p>
        </w:tc>
        <w:tc>
          <w:tcPr>
            <w:tcW w:w="970" w:type="dxa"/>
            <w:vAlign w:val="center"/>
          </w:tcPr>
          <w:p w14:paraId="3C51940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75 (12.4%)</w:t>
            </w:r>
          </w:p>
        </w:tc>
        <w:tc>
          <w:tcPr>
            <w:tcW w:w="971" w:type="dxa"/>
            <w:vAlign w:val="center"/>
          </w:tcPr>
          <w:p w14:paraId="20A7E65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24 (16%)</w:t>
            </w:r>
          </w:p>
        </w:tc>
        <w:tc>
          <w:tcPr>
            <w:tcW w:w="970" w:type="dxa"/>
            <w:tcBorders>
              <w:right w:val="single" w:sz="12" w:space="0" w:color="000000"/>
            </w:tcBorders>
            <w:vAlign w:val="center"/>
          </w:tcPr>
          <w:p w14:paraId="643D959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12 (9.6%)</w:t>
            </w:r>
          </w:p>
        </w:tc>
        <w:tc>
          <w:tcPr>
            <w:tcW w:w="970" w:type="dxa"/>
            <w:tcBorders>
              <w:left w:val="single" w:sz="12" w:space="0" w:color="000000"/>
            </w:tcBorders>
            <w:vAlign w:val="center"/>
          </w:tcPr>
          <w:p w14:paraId="29A09BD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17 (28%)</w:t>
            </w:r>
          </w:p>
        </w:tc>
        <w:tc>
          <w:tcPr>
            <w:tcW w:w="971" w:type="dxa"/>
            <w:vAlign w:val="center"/>
          </w:tcPr>
          <w:p w14:paraId="11878D1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1, 4 (18.5%)</w:t>
            </w:r>
          </w:p>
        </w:tc>
        <w:tc>
          <w:tcPr>
            <w:tcW w:w="970" w:type="dxa"/>
            <w:vAlign w:val="center"/>
          </w:tcPr>
          <w:p w14:paraId="183C096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67 (25.4%)</w:t>
            </w:r>
          </w:p>
        </w:tc>
        <w:tc>
          <w:tcPr>
            <w:tcW w:w="971" w:type="dxa"/>
            <w:vAlign w:val="center"/>
          </w:tcPr>
          <w:p w14:paraId="5241F67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(17%)</w:t>
            </w:r>
          </w:p>
          <w:p w14:paraId="4799B7C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 (29%)</w:t>
            </w:r>
          </w:p>
        </w:tc>
        <w:tc>
          <w:tcPr>
            <w:tcW w:w="970" w:type="dxa"/>
            <w:tcBorders>
              <w:right w:val="single" w:sz="12" w:space="0" w:color="000000"/>
            </w:tcBorders>
            <w:vAlign w:val="center"/>
          </w:tcPr>
          <w:p w14:paraId="6F2B569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8 (16.7%)</w:t>
            </w:r>
          </w:p>
        </w:tc>
        <w:tc>
          <w:tcPr>
            <w:tcW w:w="970" w:type="dxa"/>
            <w:tcBorders>
              <w:left w:val="single" w:sz="12" w:space="0" w:color="000000"/>
            </w:tcBorders>
            <w:vAlign w:val="center"/>
          </w:tcPr>
          <w:p w14:paraId="6CA65CE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21 (21.5%)</w:t>
            </w:r>
          </w:p>
        </w:tc>
        <w:tc>
          <w:tcPr>
            <w:tcW w:w="971" w:type="dxa"/>
            <w:vAlign w:val="center"/>
          </w:tcPr>
          <w:p w14:paraId="45483AE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(13%)</w:t>
            </w:r>
          </w:p>
        </w:tc>
        <w:tc>
          <w:tcPr>
            <w:tcW w:w="970" w:type="dxa"/>
            <w:vAlign w:val="center"/>
          </w:tcPr>
          <w:p w14:paraId="7F098AE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65 (17.8%)</w:t>
            </w:r>
          </w:p>
        </w:tc>
        <w:tc>
          <w:tcPr>
            <w:tcW w:w="971" w:type="dxa"/>
            <w:tcBorders>
              <w:right w:val="single" w:sz="12" w:space="0" w:color="000000"/>
            </w:tcBorders>
            <w:vAlign w:val="center"/>
          </w:tcPr>
          <w:p w14:paraId="2C22ED4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 (4.8%)</w:t>
            </w:r>
          </w:p>
        </w:tc>
      </w:tr>
      <w:tr w:rsidR="00DB55B4" w:rsidRPr="00DB55B4" w14:paraId="089DD4DD" w14:textId="77777777" w:rsidTr="00591A66">
        <w:trPr>
          <w:trHeight w:val="227"/>
          <w:jc w:val="center"/>
        </w:trPr>
        <w:tc>
          <w:tcPr>
            <w:tcW w:w="1555" w:type="dxa"/>
            <w:tcBorders>
              <w:right w:val="single" w:sz="12" w:space="0" w:color="000000"/>
            </w:tcBorders>
            <w:vAlign w:val="center"/>
          </w:tcPr>
          <w:p w14:paraId="56F67406"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Diarrhea</w:t>
            </w:r>
          </w:p>
        </w:tc>
        <w:tc>
          <w:tcPr>
            <w:tcW w:w="970" w:type="dxa"/>
            <w:tcBorders>
              <w:left w:val="single" w:sz="12" w:space="0" w:color="000000"/>
            </w:tcBorders>
            <w:vAlign w:val="center"/>
          </w:tcPr>
          <w:p w14:paraId="47CDF24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31 (19%)</w:t>
            </w:r>
          </w:p>
        </w:tc>
        <w:tc>
          <w:tcPr>
            <w:tcW w:w="970" w:type="dxa"/>
            <w:vAlign w:val="center"/>
          </w:tcPr>
          <w:p w14:paraId="42D38CE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177 (29.2%)</w:t>
            </w:r>
          </w:p>
        </w:tc>
        <w:tc>
          <w:tcPr>
            <w:tcW w:w="971" w:type="dxa"/>
            <w:vAlign w:val="center"/>
          </w:tcPr>
          <w:p w14:paraId="48D1DD0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36 (24%)</w:t>
            </w:r>
          </w:p>
        </w:tc>
        <w:tc>
          <w:tcPr>
            <w:tcW w:w="970" w:type="dxa"/>
            <w:tcBorders>
              <w:right w:val="single" w:sz="12" w:space="0" w:color="000000"/>
            </w:tcBorders>
            <w:vAlign w:val="center"/>
          </w:tcPr>
          <w:p w14:paraId="36191E3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 (4.8%)</w:t>
            </w:r>
          </w:p>
        </w:tc>
        <w:tc>
          <w:tcPr>
            <w:tcW w:w="970" w:type="dxa"/>
            <w:tcBorders>
              <w:left w:val="single" w:sz="12" w:space="0" w:color="000000"/>
            </w:tcBorders>
            <w:vAlign w:val="center"/>
          </w:tcPr>
          <w:p w14:paraId="7CA951E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19 (31%)</w:t>
            </w:r>
          </w:p>
        </w:tc>
        <w:tc>
          <w:tcPr>
            <w:tcW w:w="971" w:type="dxa"/>
            <w:vAlign w:val="center"/>
          </w:tcPr>
          <w:p w14:paraId="06B761D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0" w:type="dxa"/>
            <w:vAlign w:val="center"/>
          </w:tcPr>
          <w:p w14:paraId="4431FA1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91 (34.5%)</w:t>
            </w:r>
          </w:p>
        </w:tc>
        <w:tc>
          <w:tcPr>
            <w:tcW w:w="971" w:type="dxa"/>
            <w:vAlign w:val="center"/>
          </w:tcPr>
          <w:p w14:paraId="4C53C43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(17%)</w:t>
            </w:r>
          </w:p>
          <w:p w14:paraId="449AF12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18 (26%)</w:t>
            </w:r>
          </w:p>
        </w:tc>
        <w:tc>
          <w:tcPr>
            <w:tcW w:w="970" w:type="dxa"/>
            <w:tcBorders>
              <w:right w:val="single" w:sz="12" w:space="0" w:color="000000"/>
            </w:tcBorders>
            <w:vAlign w:val="center"/>
          </w:tcPr>
          <w:p w14:paraId="0722657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(10.4%)</w:t>
            </w:r>
          </w:p>
        </w:tc>
        <w:tc>
          <w:tcPr>
            <w:tcW w:w="970" w:type="dxa"/>
            <w:tcBorders>
              <w:left w:val="single" w:sz="12" w:space="0" w:color="000000"/>
            </w:tcBorders>
            <w:vAlign w:val="center"/>
          </w:tcPr>
          <w:p w14:paraId="4D9A9F0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7, 12 (12.7%)</w:t>
            </w:r>
          </w:p>
        </w:tc>
        <w:tc>
          <w:tcPr>
            <w:tcW w:w="971" w:type="dxa"/>
            <w:vAlign w:val="center"/>
          </w:tcPr>
          <w:p w14:paraId="3FD4B15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16 (19%)</w:t>
            </w:r>
          </w:p>
        </w:tc>
        <w:tc>
          <w:tcPr>
            <w:tcW w:w="970" w:type="dxa"/>
            <w:vAlign w:val="center"/>
          </w:tcPr>
          <w:p w14:paraId="5DA4BEA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98 (26.8%)</w:t>
            </w:r>
          </w:p>
        </w:tc>
        <w:tc>
          <w:tcPr>
            <w:tcW w:w="971" w:type="dxa"/>
            <w:tcBorders>
              <w:right w:val="single" w:sz="12" w:space="0" w:color="000000"/>
            </w:tcBorders>
            <w:vAlign w:val="center"/>
          </w:tcPr>
          <w:p w14:paraId="143321A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(1.6%)</w:t>
            </w:r>
          </w:p>
        </w:tc>
      </w:tr>
      <w:tr w:rsidR="00DB55B4" w:rsidRPr="00DB55B4" w14:paraId="46B8D15D" w14:textId="77777777" w:rsidTr="00591A66">
        <w:trPr>
          <w:trHeight w:val="227"/>
          <w:jc w:val="center"/>
        </w:trPr>
        <w:tc>
          <w:tcPr>
            <w:tcW w:w="1555" w:type="dxa"/>
            <w:tcBorders>
              <w:right w:val="single" w:sz="12" w:space="0" w:color="000000"/>
            </w:tcBorders>
            <w:vAlign w:val="center"/>
          </w:tcPr>
          <w:p w14:paraId="29FBDEAE"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Fatigue</w:t>
            </w:r>
          </w:p>
        </w:tc>
        <w:tc>
          <w:tcPr>
            <w:tcW w:w="970" w:type="dxa"/>
            <w:tcBorders>
              <w:left w:val="single" w:sz="12" w:space="0" w:color="000000"/>
            </w:tcBorders>
            <w:vAlign w:val="center"/>
          </w:tcPr>
          <w:p w14:paraId="3E9A7C1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21 (13%)</w:t>
            </w:r>
          </w:p>
        </w:tc>
        <w:tc>
          <w:tcPr>
            <w:tcW w:w="970" w:type="dxa"/>
            <w:vAlign w:val="center"/>
          </w:tcPr>
          <w:p w14:paraId="479892F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65 (10.7%)</w:t>
            </w:r>
          </w:p>
        </w:tc>
        <w:tc>
          <w:tcPr>
            <w:tcW w:w="971" w:type="dxa"/>
            <w:vAlign w:val="center"/>
          </w:tcPr>
          <w:p w14:paraId="434B088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24 (16%)</w:t>
            </w:r>
          </w:p>
        </w:tc>
        <w:tc>
          <w:tcPr>
            <w:tcW w:w="970" w:type="dxa"/>
            <w:tcBorders>
              <w:right w:val="single" w:sz="12" w:space="0" w:color="000000"/>
            </w:tcBorders>
            <w:vAlign w:val="center"/>
          </w:tcPr>
          <w:p w14:paraId="309364C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 (16%)</w:t>
            </w:r>
          </w:p>
        </w:tc>
        <w:tc>
          <w:tcPr>
            <w:tcW w:w="970" w:type="dxa"/>
            <w:tcBorders>
              <w:left w:val="single" w:sz="12" w:space="0" w:color="000000"/>
            </w:tcBorders>
            <w:vAlign w:val="center"/>
          </w:tcPr>
          <w:p w14:paraId="218F286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12 (20%)</w:t>
            </w:r>
          </w:p>
        </w:tc>
        <w:tc>
          <w:tcPr>
            <w:tcW w:w="971" w:type="dxa"/>
            <w:vAlign w:val="center"/>
          </w:tcPr>
          <w:p w14:paraId="0C0DAAA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 1 (3.7%)</w:t>
            </w:r>
          </w:p>
        </w:tc>
        <w:tc>
          <w:tcPr>
            <w:tcW w:w="970" w:type="dxa"/>
            <w:vAlign w:val="center"/>
          </w:tcPr>
          <w:p w14:paraId="0359454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27 (10.2%)</w:t>
            </w:r>
          </w:p>
        </w:tc>
        <w:tc>
          <w:tcPr>
            <w:tcW w:w="971" w:type="dxa"/>
            <w:vAlign w:val="center"/>
          </w:tcPr>
          <w:p w14:paraId="12C28E0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(8%)</w:t>
            </w:r>
          </w:p>
          <w:p w14:paraId="4CCE897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15 (22%)</w:t>
            </w:r>
          </w:p>
        </w:tc>
        <w:tc>
          <w:tcPr>
            <w:tcW w:w="970" w:type="dxa"/>
            <w:tcBorders>
              <w:right w:val="single" w:sz="12" w:space="0" w:color="000000"/>
            </w:tcBorders>
            <w:vAlign w:val="center"/>
          </w:tcPr>
          <w:p w14:paraId="2A7C708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 (18.8%)</w:t>
            </w:r>
          </w:p>
        </w:tc>
        <w:tc>
          <w:tcPr>
            <w:tcW w:w="970" w:type="dxa"/>
            <w:tcBorders>
              <w:left w:val="single" w:sz="12" w:space="0" w:color="000000"/>
            </w:tcBorders>
            <w:vAlign w:val="center"/>
          </w:tcPr>
          <w:p w14:paraId="02F68E4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47BD882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 (10.5%)</w:t>
            </w:r>
          </w:p>
        </w:tc>
        <w:tc>
          <w:tcPr>
            <w:tcW w:w="970" w:type="dxa"/>
            <w:vAlign w:val="center"/>
          </w:tcPr>
          <w:p w14:paraId="4D1CD66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tcBorders>
              <w:right w:val="single" w:sz="12" w:space="0" w:color="000000"/>
            </w:tcBorders>
            <w:vAlign w:val="center"/>
          </w:tcPr>
          <w:p w14:paraId="665ADC0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8 (12.9%)</w:t>
            </w:r>
          </w:p>
        </w:tc>
      </w:tr>
      <w:tr w:rsidR="00DB55B4" w:rsidRPr="00DB55B4" w14:paraId="6B0BD86B" w14:textId="77777777" w:rsidTr="00591A66">
        <w:trPr>
          <w:trHeight w:val="227"/>
          <w:jc w:val="center"/>
        </w:trPr>
        <w:tc>
          <w:tcPr>
            <w:tcW w:w="1555" w:type="dxa"/>
            <w:tcBorders>
              <w:right w:val="single" w:sz="12" w:space="0" w:color="000000"/>
            </w:tcBorders>
            <w:vAlign w:val="center"/>
          </w:tcPr>
          <w:p w14:paraId="3B44B32E"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Behaviour disorder</w:t>
            </w:r>
          </w:p>
        </w:tc>
        <w:tc>
          <w:tcPr>
            <w:tcW w:w="970" w:type="dxa"/>
            <w:tcBorders>
              <w:left w:val="single" w:sz="12" w:space="0" w:color="000000"/>
            </w:tcBorders>
            <w:vAlign w:val="center"/>
          </w:tcPr>
          <w:p w14:paraId="559AAFB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 (3.7%)</w:t>
            </w:r>
          </w:p>
        </w:tc>
        <w:tc>
          <w:tcPr>
            <w:tcW w:w="970" w:type="dxa"/>
            <w:vAlign w:val="center"/>
          </w:tcPr>
          <w:p w14:paraId="2A55098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1B5B636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0" w:type="dxa"/>
            <w:tcBorders>
              <w:right w:val="single" w:sz="12" w:space="0" w:color="000000"/>
            </w:tcBorders>
            <w:vAlign w:val="center"/>
          </w:tcPr>
          <w:p w14:paraId="1C01145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16 (12.8%)</w:t>
            </w:r>
          </w:p>
        </w:tc>
        <w:tc>
          <w:tcPr>
            <w:tcW w:w="970" w:type="dxa"/>
            <w:tcBorders>
              <w:left w:val="single" w:sz="12" w:space="0" w:color="000000"/>
            </w:tcBorders>
            <w:vAlign w:val="center"/>
          </w:tcPr>
          <w:p w14:paraId="7076816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0D5056C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 0, 0 (11.1%)</w:t>
            </w:r>
          </w:p>
        </w:tc>
        <w:tc>
          <w:tcPr>
            <w:tcW w:w="970" w:type="dxa"/>
            <w:vAlign w:val="center"/>
          </w:tcPr>
          <w:p w14:paraId="5E1D7624"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2B4A343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 (3.8%)</w:t>
            </w:r>
          </w:p>
          <w:p w14:paraId="58C22CD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(11.9%)</w:t>
            </w:r>
          </w:p>
        </w:tc>
        <w:tc>
          <w:tcPr>
            <w:tcW w:w="970" w:type="dxa"/>
            <w:tcBorders>
              <w:right w:val="single" w:sz="12" w:space="0" w:color="000000"/>
            </w:tcBorders>
            <w:vAlign w:val="center"/>
          </w:tcPr>
          <w:p w14:paraId="2C3E646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 (12.5%)</w:t>
            </w:r>
          </w:p>
        </w:tc>
        <w:tc>
          <w:tcPr>
            <w:tcW w:w="970" w:type="dxa"/>
            <w:tcBorders>
              <w:left w:val="single" w:sz="12" w:space="0" w:color="000000"/>
            </w:tcBorders>
            <w:vAlign w:val="center"/>
          </w:tcPr>
          <w:p w14:paraId="709DD33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71BE1B4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 (3.5%)</w:t>
            </w:r>
          </w:p>
        </w:tc>
        <w:tc>
          <w:tcPr>
            <w:tcW w:w="970" w:type="dxa"/>
            <w:vAlign w:val="center"/>
          </w:tcPr>
          <w:p w14:paraId="252A969E"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tcBorders>
              <w:right w:val="single" w:sz="12" w:space="0" w:color="000000"/>
            </w:tcBorders>
            <w:vAlign w:val="center"/>
          </w:tcPr>
          <w:p w14:paraId="6DE0FB0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 (14.5%)</w:t>
            </w:r>
          </w:p>
        </w:tc>
      </w:tr>
      <w:tr w:rsidR="00DB55B4" w:rsidRPr="00DB55B4" w14:paraId="0DA5AB79" w14:textId="77777777" w:rsidTr="00591A66">
        <w:trPr>
          <w:trHeight w:val="227"/>
          <w:jc w:val="center"/>
        </w:trPr>
        <w:tc>
          <w:tcPr>
            <w:tcW w:w="1555" w:type="dxa"/>
            <w:tcBorders>
              <w:right w:val="single" w:sz="12" w:space="0" w:color="000000"/>
            </w:tcBorders>
            <w:vAlign w:val="center"/>
          </w:tcPr>
          <w:p w14:paraId="407A71CA"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Vomiting</w:t>
            </w:r>
          </w:p>
        </w:tc>
        <w:tc>
          <w:tcPr>
            <w:tcW w:w="970" w:type="dxa"/>
            <w:tcBorders>
              <w:left w:val="single" w:sz="12" w:space="0" w:color="000000"/>
            </w:tcBorders>
            <w:vAlign w:val="center"/>
          </w:tcPr>
          <w:p w14:paraId="346C220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 (3.7%)</w:t>
            </w:r>
          </w:p>
        </w:tc>
        <w:tc>
          <w:tcPr>
            <w:tcW w:w="970" w:type="dxa"/>
            <w:vAlign w:val="center"/>
          </w:tcPr>
          <w:p w14:paraId="336269F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69 (11.4%)</w:t>
            </w:r>
          </w:p>
        </w:tc>
        <w:tc>
          <w:tcPr>
            <w:tcW w:w="971" w:type="dxa"/>
            <w:vAlign w:val="center"/>
          </w:tcPr>
          <w:p w14:paraId="6188197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 (13%)</w:t>
            </w:r>
          </w:p>
        </w:tc>
        <w:tc>
          <w:tcPr>
            <w:tcW w:w="970" w:type="dxa"/>
            <w:tcBorders>
              <w:right w:val="single" w:sz="12" w:space="0" w:color="000000"/>
            </w:tcBorders>
            <w:vAlign w:val="center"/>
          </w:tcPr>
          <w:p w14:paraId="3D470523"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c>
          <w:tcPr>
            <w:tcW w:w="970" w:type="dxa"/>
            <w:tcBorders>
              <w:left w:val="single" w:sz="12" w:space="0" w:color="000000"/>
            </w:tcBorders>
            <w:vAlign w:val="center"/>
          </w:tcPr>
          <w:p w14:paraId="689CEE0C"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 (15%)</w:t>
            </w:r>
          </w:p>
        </w:tc>
        <w:tc>
          <w:tcPr>
            <w:tcW w:w="971" w:type="dxa"/>
            <w:vAlign w:val="center"/>
          </w:tcPr>
          <w:p w14:paraId="6765367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1, 1 (11.1%)</w:t>
            </w:r>
          </w:p>
        </w:tc>
        <w:tc>
          <w:tcPr>
            <w:tcW w:w="970" w:type="dxa"/>
            <w:vAlign w:val="center"/>
          </w:tcPr>
          <w:p w14:paraId="30E894C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37 (14%)</w:t>
            </w:r>
          </w:p>
        </w:tc>
        <w:tc>
          <w:tcPr>
            <w:tcW w:w="971" w:type="dxa"/>
            <w:vAlign w:val="center"/>
          </w:tcPr>
          <w:p w14:paraId="65A1878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 (6%)</w:t>
            </w:r>
          </w:p>
          <w:p w14:paraId="00D997C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(16%)</w:t>
            </w:r>
          </w:p>
        </w:tc>
        <w:tc>
          <w:tcPr>
            <w:tcW w:w="970" w:type="dxa"/>
            <w:tcBorders>
              <w:right w:val="single" w:sz="12" w:space="0" w:color="000000"/>
            </w:tcBorders>
            <w:vAlign w:val="center"/>
          </w:tcPr>
          <w:p w14:paraId="36A023DA"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c>
          <w:tcPr>
            <w:tcW w:w="970" w:type="dxa"/>
            <w:tcBorders>
              <w:left w:val="single" w:sz="12" w:space="0" w:color="000000"/>
            </w:tcBorders>
            <w:vAlign w:val="center"/>
          </w:tcPr>
          <w:p w14:paraId="388C406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 10 (9.4%)</w:t>
            </w:r>
          </w:p>
        </w:tc>
        <w:tc>
          <w:tcPr>
            <w:tcW w:w="971" w:type="dxa"/>
            <w:vAlign w:val="center"/>
          </w:tcPr>
          <w:p w14:paraId="778EBAE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 (10.5%)</w:t>
            </w:r>
          </w:p>
        </w:tc>
        <w:tc>
          <w:tcPr>
            <w:tcW w:w="970" w:type="dxa"/>
            <w:vAlign w:val="center"/>
          </w:tcPr>
          <w:p w14:paraId="39A51ED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65 (17.8%)</w:t>
            </w:r>
          </w:p>
        </w:tc>
        <w:tc>
          <w:tcPr>
            <w:tcW w:w="971" w:type="dxa"/>
            <w:tcBorders>
              <w:right w:val="single" w:sz="12" w:space="0" w:color="000000"/>
            </w:tcBorders>
            <w:vAlign w:val="center"/>
          </w:tcPr>
          <w:p w14:paraId="0E9BE4D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r>
      <w:tr w:rsidR="00DB55B4" w:rsidRPr="00DB55B4" w14:paraId="0BAE5C03" w14:textId="77777777" w:rsidTr="00591A66">
        <w:trPr>
          <w:trHeight w:val="227"/>
          <w:jc w:val="center"/>
        </w:trPr>
        <w:tc>
          <w:tcPr>
            <w:tcW w:w="1555" w:type="dxa"/>
            <w:tcBorders>
              <w:right w:val="single" w:sz="12" w:space="0" w:color="000000"/>
            </w:tcBorders>
            <w:vAlign w:val="center"/>
          </w:tcPr>
          <w:p w14:paraId="27B0055E"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Convulsion</w:t>
            </w:r>
          </w:p>
        </w:tc>
        <w:tc>
          <w:tcPr>
            <w:tcW w:w="970" w:type="dxa"/>
            <w:tcBorders>
              <w:left w:val="single" w:sz="12" w:space="0" w:color="000000"/>
            </w:tcBorders>
            <w:vAlign w:val="center"/>
          </w:tcPr>
          <w:p w14:paraId="26CABAC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18 (11%)</w:t>
            </w:r>
          </w:p>
        </w:tc>
        <w:tc>
          <w:tcPr>
            <w:tcW w:w="970" w:type="dxa"/>
            <w:vAlign w:val="center"/>
          </w:tcPr>
          <w:p w14:paraId="4A6BE65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102 (17%)</w:t>
            </w:r>
          </w:p>
        </w:tc>
        <w:tc>
          <w:tcPr>
            <w:tcW w:w="971" w:type="dxa"/>
            <w:vAlign w:val="center"/>
          </w:tcPr>
          <w:p w14:paraId="286F879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36 (24%)</w:t>
            </w:r>
          </w:p>
        </w:tc>
        <w:tc>
          <w:tcPr>
            <w:tcW w:w="970" w:type="dxa"/>
            <w:tcBorders>
              <w:right w:val="single" w:sz="12" w:space="0" w:color="000000"/>
            </w:tcBorders>
            <w:vAlign w:val="center"/>
          </w:tcPr>
          <w:p w14:paraId="59B1A7B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(0.8%)</w:t>
            </w:r>
          </w:p>
        </w:tc>
        <w:tc>
          <w:tcPr>
            <w:tcW w:w="970" w:type="dxa"/>
            <w:tcBorders>
              <w:left w:val="single" w:sz="12" w:space="0" w:color="000000"/>
            </w:tcBorders>
            <w:vAlign w:val="center"/>
          </w:tcPr>
          <w:p w14:paraId="0F7BD4A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7 (11%)</w:t>
            </w:r>
          </w:p>
        </w:tc>
        <w:tc>
          <w:tcPr>
            <w:tcW w:w="971" w:type="dxa"/>
            <w:vAlign w:val="center"/>
          </w:tcPr>
          <w:p w14:paraId="1C98B9F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1 (3.7%), 0</w:t>
            </w:r>
          </w:p>
        </w:tc>
        <w:tc>
          <w:tcPr>
            <w:tcW w:w="970" w:type="dxa"/>
            <w:vAlign w:val="center"/>
          </w:tcPr>
          <w:p w14:paraId="2A24242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40 (15.2%)</w:t>
            </w:r>
          </w:p>
        </w:tc>
        <w:tc>
          <w:tcPr>
            <w:tcW w:w="971" w:type="dxa"/>
            <w:vAlign w:val="center"/>
          </w:tcPr>
          <w:p w14:paraId="478B048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(8%)</w:t>
            </w:r>
          </w:p>
          <w:p w14:paraId="3B3A1A5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7 (10%)</w:t>
            </w:r>
          </w:p>
        </w:tc>
        <w:tc>
          <w:tcPr>
            <w:tcW w:w="970" w:type="dxa"/>
            <w:tcBorders>
              <w:right w:val="single" w:sz="12" w:space="0" w:color="000000"/>
            </w:tcBorders>
            <w:vAlign w:val="center"/>
          </w:tcPr>
          <w:p w14:paraId="3F107CC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(2%)</w:t>
            </w:r>
          </w:p>
        </w:tc>
        <w:tc>
          <w:tcPr>
            <w:tcW w:w="970" w:type="dxa"/>
            <w:tcBorders>
              <w:left w:val="single" w:sz="12" w:space="0" w:color="000000"/>
            </w:tcBorders>
            <w:vAlign w:val="center"/>
          </w:tcPr>
          <w:p w14:paraId="768EBE18"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w:t>
            </w:r>
          </w:p>
        </w:tc>
        <w:tc>
          <w:tcPr>
            <w:tcW w:w="971" w:type="dxa"/>
            <w:vAlign w:val="center"/>
          </w:tcPr>
          <w:p w14:paraId="5D1F919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5 (5.8%)</w:t>
            </w:r>
          </w:p>
        </w:tc>
        <w:tc>
          <w:tcPr>
            <w:tcW w:w="970" w:type="dxa"/>
            <w:vAlign w:val="center"/>
          </w:tcPr>
          <w:p w14:paraId="1F20EC8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78 (21.3%)</w:t>
            </w:r>
          </w:p>
        </w:tc>
        <w:tc>
          <w:tcPr>
            <w:tcW w:w="971" w:type="dxa"/>
            <w:tcBorders>
              <w:right w:val="single" w:sz="12" w:space="0" w:color="000000"/>
            </w:tcBorders>
            <w:vAlign w:val="center"/>
          </w:tcPr>
          <w:p w14:paraId="4D1DCF8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0 (0%)</w:t>
            </w:r>
          </w:p>
        </w:tc>
      </w:tr>
      <w:tr w:rsidR="00DB55B4" w:rsidRPr="00DB55B4" w14:paraId="7C36A294" w14:textId="77777777" w:rsidTr="00591A66">
        <w:trPr>
          <w:trHeight w:val="227"/>
          <w:jc w:val="center"/>
        </w:trPr>
        <w:tc>
          <w:tcPr>
            <w:tcW w:w="1555" w:type="dxa"/>
            <w:tcBorders>
              <w:right w:val="single" w:sz="12" w:space="0" w:color="000000"/>
            </w:tcBorders>
            <w:vAlign w:val="center"/>
          </w:tcPr>
          <w:p w14:paraId="3B0C91E4" w14:textId="77777777" w:rsidR="00DB55B4" w:rsidRPr="00DB55B4" w:rsidRDefault="00DB55B4" w:rsidP="00591A66">
            <w:pPr>
              <w:spacing w:before="0" w:after="0" w:line="276" w:lineRule="auto"/>
              <w:jc w:val="center"/>
              <w:rPr>
                <w:rFonts w:eastAsia="Arial" w:cs="Times New Roman"/>
                <w:sz w:val="12"/>
                <w:szCs w:val="12"/>
              </w:rPr>
            </w:pPr>
            <w:r w:rsidRPr="00DB55B4">
              <w:rPr>
                <w:rFonts w:eastAsia="Arial" w:cs="Times New Roman"/>
                <w:sz w:val="12"/>
                <w:szCs w:val="12"/>
              </w:rPr>
              <w:t>Liver function tests</w:t>
            </w:r>
          </w:p>
        </w:tc>
        <w:tc>
          <w:tcPr>
            <w:tcW w:w="970" w:type="dxa"/>
            <w:tcBorders>
              <w:left w:val="single" w:sz="12" w:space="0" w:color="000000"/>
              <w:bottom w:val="single" w:sz="12" w:space="0" w:color="000000"/>
            </w:tcBorders>
            <w:vAlign w:val="center"/>
          </w:tcPr>
          <w:p w14:paraId="6C45B782"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(7%)</w:t>
            </w:r>
          </w:p>
        </w:tc>
        <w:tc>
          <w:tcPr>
            <w:tcW w:w="970" w:type="dxa"/>
            <w:tcBorders>
              <w:bottom w:val="single" w:sz="12" w:space="0" w:color="000000"/>
            </w:tcBorders>
            <w:vAlign w:val="center"/>
          </w:tcPr>
          <w:p w14:paraId="499DF4B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61 (10%)</w:t>
            </w:r>
          </w:p>
        </w:tc>
        <w:tc>
          <w:tcPr>
            <w:tcW w:w="971" w:type="dxa"/>
            <w:tcBorders>
              <w:bottom w:val="single" w:sz="12" w:space="0" w:color="000000"/>
            </w:tcBorders>
            <w:vAlign w:val="center"/>
          </w:tcPr>
          <w:p w14:paraId="4BC18E9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22 (15%)</w:t>
            </w:r>
          </w:p>
        </w:tc>
        <w:tc>
          <w:tcPr>
            <w:tcW w:w="970" w:type="dxa"/>
            <w:tcBorders>
              <w:bottom w:val="single" w:sz="12" w:space="0" w:color="000000"/>
              <w:right w:val="single" w:sz="12" w:space="0" w:color="000000"/>
            </w:tcBorders>
            <w:vAlign w:val="center"/>
          </w:tcPr>
          <w:p w14:paraId="5B88BBC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11 (9.6%)</w:t>
            </w:r>
          </w:p>
        </w:tc>
        <w:tc>
          <w:tcPr>
            <w:tcW w:w="970" w:type="dxa"/>
            <w:tcBorders>
              <w:left w:val="single" w:sz="12" w:space="0" w:color="000000"/>
              <w:bottom w:val="single" w:sz="12" w:space="0" w:color="000000"/>
            </w:tcBorders>
            <w:vAlign w:val="center"/>
          </w:tcPr>
          <w:p w14:paraId="2797C716"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12 (19.7%)</w:t>
            </w:r>
          </w:p>
        </w:tc>
        <w:tc>
          <w:tcPr>
            <w:tcW w:w="971" w:type="dxa"/>
            <w:tcBorders>
              <w:bottom w:val="single" w:sz="12" w:space="0" w:color="000000"/>
            </w:tcBorders>
            <w:vAlign w:val="center"/>
          </w:tcPr>
          <w:p w14:paraId="04BD6705"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1, 1, 4 (22.2%)</w:t>
            </w:r>
          </w:p>
        </w:tc>
        <w:tc>
          <w:tcPr>
            <w:tcW w:w="970" w:type="dxa"/>
            <w:tcBorders>
              <w:bottom w:val="single" w:sz="12" w:space="0" w:color="000000"/>
            </w:tcBorders>
            <w:vAlign w:val="center"/>
          </w:tcPr>
          <w:p w14:paraId="7125DDFD"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22/128 (17.2%)</w:t>
            </w:r>
          </w:p>
        </w:tc>
        <w:tc>
          <w:tcPr>
            <w:tcW w:w="971" w:type="dxa"/>
            <w:tcBorders>
              <w:bottom w:val="single" w:sz="12" w:space="0" w:color="000000"/>
            </w:tcBorders>
            <w:vAlign w:val="center"/>
          </w:tcPr>
          <w:p w14:paraId="54C2356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 (5%)</w:t>
            </w:r>
          </w:p>
          <w:p w14:paraId="3988CD59"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9 (13 %)</w:t>
            </w:r>
          </w:p>
        </w:tc>
        <w:tc>
          <w:tcPr>
            <w:tcW w:w="970" w:type="dxa"/>
            <w:tcBorders>
              <w:bottom w:val="single" w:sz="12" w:space="0" w:color="000000"/>
              <w:right w:val="single" w:sz="12" w:space="0" w:color="000000"/>
            </w:tcBorders>
            <w:vAlign w:val="center"/>
          </w:tcPr>
          <w:p w14:paraId="503AA9FF"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7 (14.6%)</w:t>
            </w:r>
          </w:p>
        </w:tc>
        <w:tc>
          <w:tcPr>
            <w:tcW w:w="970" w:type="dxa"/>
            <w:tcBorders>
              <w:left w:val="single" w:sz="12" w:space="0" w:color="000000"/>
              <w:bottom w:val="single" w:sz="12" w:space="0" w:color="000000"/>
            </w:tcBorders>
            <w:vAlign w:val="center"/>
          </w:tcPr>
          <w:p w14:paraId="75986D3B"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 11 (9.4%)</w:t>
            </w:r>
          </w:p>
        </w:tc>
        <w:tc>
          <w:tcPr>
            <w:tcW w:w="971" w:type="dxa"/>
            <w:tcBorders>
              <w:bottom w:val="single" w:sz="12" w:space="0" w:color="000000"/>
            </w:tcBorders>
            <w:vAlign w:val="center"/>
          </w:tcPr>
          <w:p w14:paraId="73A36937"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20 (23.2%)</w:t>
            </w:r>
          </w:p>
        </w:tc>
        <w:tc>
          <w:tcPr>
            <w:tcW w:w="970" w:type="dxa"/>
            <w:tcBorders>
              <w:bottom w:val="single" w:sz="12" w:space="0" w:color="000000"/>
            </w:tcBorders>
            <w:vAlign w:val="center"/>
          </w:tcPr>
          <w:p w14:paraId="5F085BB0"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37 (10%)</w:t>
            </w:r>
          </w:p>
        </w:tc>
        <w:tc>
          <w:tcPr>
            <w:tcW w:w="971" w:type="dxa"/>
            <w:tcBorders>
              <w:bottom w:val="single" w:sz="12" w:space="0" w:color="000000"/>
              <w:right w:val="single" w:sz="12" w:space="0" w:color="000000"/>
            </w:tcBorders>
            <w:vAlign w:val="center"/>
          </w:tcPr>
          <w:p w14:paraId="5EB260C1" w14:textId="77777777" w:rsidR="00DB55B4" w:rsidRPr="00DB55B4" w:rsidRDefault="00DB55B4" w:rsidP="00591A66">
            <w:pPr>
              <w:spacing w:before="0" w:after="0" w:line="276" w:lineRule="auto"/>
              <w:jc w:val="center"/>
              <w:rPr>
                <w:rFonts w:eastAsia="Arial" w:cs="Times New Roman"/>
                <w:color w:val="000000"/>
                <w:sz w:val="12"/>
                <w:szCs w:val="12"/>
              </w:rPr>
            </w:pPr>
            <w:r w:rsidRPr="00DB55B4">
              <w:rPr>
                <w:rFonts w:eastAsia="Arial" w:cs="Times New Roman"/>
                <w:color w:val="000000"/>
                <w:sz w:val="12"/>
                <w:szCs w:val="12"/>
              </w:rPr>
              <w:t>4 (6.5%)</w:t>
            </w:r>
          </w:p>
        </w:tc>
      </w:tr>
    </w:tbl>
    <w:p w14:paraId="5707F922" w14:textId="77777777" w:rsidR="00DB55B4" w:rsidRPr="00DB55B4" w:rsidRDefault="00DB55B4" w:rsidP="00523AE9">
      <w:pPr>
        <w:spacing w:before="0" w:after="160" w:line="259" w:lineRule="auto"/>
        <w:jc w:val="both"/>
        <w:rPr>
          <w:rFonts w:eastAsia="Calibri" w:cs="Times New Roman"/>
          <w:szCs w:val="24"/>
          <w:lang w:val="it-IT"/>
        </w:rPr>
      </w:pPr>
      <w:bookmarkStart w:id="2" w:name="_Hlk34155342"/>
      <w:r w:rsidRPr="00DB55B4">
        <w:rPr>
          <w:rFonts w:eastAsia="Calibri" w:cs="Times New Roman"/>
          <w:szCs w:val="24"/>
          <w:lang w:val="it-IT"/>
        </w:rPr>
        <w:t>Data are n (%), mean ± standard deviation or median (range), [</w:t>
      </w:r>
      <w:r w:rsidRPr="00DB55B4">
        <w:rPr>
          <w:rFonts w:eastAsia="Calibri" w:cs="Times New Roman"/>
          <w:szCs w:val="24"/>
          <w:vertAlign w:val="superscript"/>
          <w:lang w:val="it-IT"/>
        </w:rPr>
        <w:t>25th-75th</w:t>
      </w:r>
      <w:r w:rsidRPr="00DB55B4">
        <w:rPr>
          <w:rFonts w:eastAsia="Calibri" w:cs="Times New Roman"/>
          <w:szCs w:val="24"/>
          <w:lang w:val="it-IT"/>
        </w:rPr>
        <w:t xml:space="preserve"> percentile].</w:t>
      </w:r>
    </w:p>
    <w:bookmarkEnd w:id="2"/>
    <w:p w14:paraId="67ED6072" w14:textId="77777777" w:rsidR="00DB55B4" w:rsidRPr="00DB55B4" w:rsidRDefault="00DB55B4" w:rsidP="00523AE9">
      <w:pPr>
        <w:spacing w:before="0" w:after="0"/>
        <w:jc w:val="both"/>
        <w:rPr>
          <w:rFonts w:eastAsia="Calibri" w:cs="Times New Roman"/>
          <w:szCs w:val="24"/>
          <w:lang w:val="it-IT"/>
        </w:rPr>
      </w:pPr>
      <w:r w:rsidRPr="00DB55B4">
        <w:rPr>
          <w:rFonts w:eastAsia="Calibri" w:cs="Times New Roman"/>
          <w:szCs w:val="24"/>
          <w:lang w:val="it-IT"/>
        </w:rPr>
        <w:t xml:space="preserve">Legend: CBD Cannabidiol, OL Open label, EAP Expanded Access Program, RCT Randomized controlled trial, OLE Open label extension, w week, d day, y years, CBD max maximum dose, AE adverse events, Decr. appetit decreased appetit. </w:t>
      </w:r>
    </w:p>
    <w:p w14:paraId="1899E01D" w14:textId="77777777" w:rsidR="00DB55B4" w:rsidRPr="00DB55B4" w:rsidRDefault="00DB55B4" w:rsidP="00523AE9">
      <w:pPr>
        <w:spacing w:before="0" w:after="160" w:line="259" w:lineRule="auto"/>
        <w:jc w:val="both"/>
        <w:rPr>
          <w:rFonts w:eastAsia="Calibri" w:cs="Times New Roman"/>
          <w:sz w:val="16"/>
          <w:szCs w:val="16"/>
          <w:lang w:val="it-IT"/>
        </w:rPr>
      </w:pPr>
    </w:p>
    <w:p w14:paraId="6237852F" w14:textId="77777777" w:rsidR="00DB55B4" w:rsidRPr="00DB55B4" w:rsidRDefault="00DB55B4" w:rsidP="00523AE9">
      <w:pPr>
        <w:widowControl w:val="0"/>
        <w:autoSpaceDE w:val="0"/>
        <w:autoSpaceDN w:val="0"/>
        <w:adjustRightInd w:val="0"/>
        <w:spacing w:before="0" w:after="0"/>
        <w:jc w:val="both"/>
        <w:rPr>
          <w:rFonts w:eastAsia="Calibri" w:cs="Times New Roman"/>
          <w:sz w:val="16"/>
          <w:szCs w:val="16"/>
          <w:lang w:val="it-IT"/>
        </w:rPr>
      </w:pPr>
    </w:p>
    <w:p w14:paraId="06FD5550" w14:textId="77777777" w:rsidR="00DB55B4" w:rsidRPr="00DB55B4" w:rsidRDefault="00DB55B4" w:rsidP="00523AE9">
      <w:pPr>
        <w:spacing w:before="0" w:after="160" w:line="259" w:lineRule="auto"/>
        <w:jc w:val="both"/>
        <w:rPr>
          <w:rFonts w:eastAsia="Calibri" w:cs="Times New Roman"/>
          <w:sz w:val="16"/>
          <w:szCs w:val="16"/>
          <w:lang w:val="it-IT"/>
        </w:rPr>
      </w:pPr>
      <w:r w:rsidRPr="00DB55B4">
        <w:rPr>
          <w:rFonts w:eastAsia="Calibri" w:cs="Times New Roman"/>
          <w:sz w:val="16"/>
          <w:szCs w:val="16"/>
          <w:lang w:val="it-IT"/>
        </w:rPr>
        <w:br w:type="page"/>
      </w:r>
    </w:p>
    <w:p w14:paraId="0960485F" w14:textId="77777777" w:rsidR="00DB55B4" w:rsidRDefault="00DB55B4" w:rsidP="00523AE9">
      <w:pPr>
        <w:spacing w:before="0" w:after="0"/>
        <w:jc w:val="both"/>
        <w:rPr>
          <w:rFonts w:eastAsia="Arial" w:cs="Times New Roman"/>
          <w:b/>
          <w:bCs/>
          <w:sz w:val="22"/>
          <w:lang w:val="it-IT"/>
        </w:rPr>
      </w:pPr>
    </w:p>
    <w:p w14:paraId="3FBE8D7E" w14:textId="1C83DA74" w:rsidR="00DB55B4" w:rsidRPr="00DB55B4" w:rsidRDefault="00DB55B4" w:rsidP="00523AE9">
      <w:pPr>
        <w:spacing w:before="0" w:after="0"/>
        <w:jc w:val="both"/>
        <w:rPr>
          <w:rFonts w:ascii="Calibri" w:eastAsia="Calibri" w:hAnsi="Calibri" w:cs="Times New Roman"/>
          <w:szCs w:val="24"/>
          <w:lang w:val="it-IT"/>
        </w:rPr>
      </w:pPr>
      <w:r w:rsidRPr="00DB55B4">
        <w:rPr>
          <w:rFonts w:eastAsia="Arial" w:cs="Times New Roman"/>
          <w:b/>
          <w:bCs/>
          <w:szCs w:val="24"/>
          <w:lang w:val="it-IT"/>
        </w:rPr>
        <w:t xml:space="preserve">Supplementary Table 3. Comparison of Cannabidiol efficacy in previously published </w:t>
      </w:r>
      <w:r w:rsidRPr="00DB55B4">
        <w:rPr>
          <w:rFonts w:eastAsia="Calibri" w:cs="Times New Roman"/>
          <w:b/>
          <w:bCs/>
          <w:szCs w:val="24"/>
          <w:lang w:val="it-IT"/>
        </w:rPr>
        <w:t xml:space="preserve">open-label and </w:t>
      </w:r>
      <w:r w:rsidRPr="00DB55B4">
        <w:rPr>
          <w:rFonts w:eastAsia="Arial" w:cs="Times New Roman"/>
          <w:b/>
          <w:bCs/>
          <w:szCs w:val="24"/>
          <w:lang w:val="it-IT"/>
        </w:rPr>
        <w:t>randomized controlled trials.</w:t>
      </w:r>
      <w:r w:rsidRPr="00DB55B4">
        <w:rPr>
          <w:rFonts w:ascii="Calibri" w:eastAsia="Calibri" w:hAnsi="Calibri" w:cs="Times New Roman"/>
          <w:szCs w:val="24"/>
          <w:lang w:val="it-IT"/>
        </w:rPr>
        <w:t xml:space="preserve"> </w:t>
      </w:r>
    </w:p>
    <w:p w14:paraId="0C46F3CB" w14:textId="77777777" w:rsidR="00DB55B4" w:rsidRPr="00DB55B4" w:rsidRDefault="00DB55B4" w:rsidP="00523AE9">
      <w:pPr>
        <w:spacing w:before="0" w:after="0"/>
        <w:jc w:val="both"/>
        <w:rPr>
          <w:rFonts w:eastAsia="Arial" w:cs="Times New Roman"/>
          <w:b/>
          <w:bCs/>
          <w:szCs w:val="24"/>
          <w:lang w:val="it-IT"/>
        </w:rPr>
      </w:pPr>
      <w:r w:rsidRPr="00DB55B4">
        <w:rPr>
          <w:rFonts w:ascii="Calibri" w:eastAsia="Calibri" w:hAnsi="Calibri" w:cs="Times New Roman"/>
          <w:szCs w:val="24"/>
          <w:lang w:val="it-IT"/>
        </w:rPr>
        <w:t>One study was excluded because it lacks efficacy data</w:t>
      </w:r>
      <w:r w:rsidRPr="00DB55B4">
        <w:rPr>
          <w:rFonts w:ascii="Calibri" w:eastAsia="Calibri" w:hAnsi="Calibri" w:cs="Times New Roman"/>
          <w:szCs w:val="24"/>
          <w:vertAlign w:val="superscript"/>
          <w:lang w:val="it-IT"/>
        </w:rPr>
        <w:t>4</w:t>
      </w:r>
      <w:r w:rsidRPr="00DB55B4">
        <w:rPr>
          <w:rFonts w:ascii="Calibri" w:eastAsia="Calibri" w:hAnsi="Calibri" w:cs="Times New Roman"/>
          <w:szCs w:val="24"/>
          <w:lang w:val="it-IT"/>
        </w:rPr>
        <w:t>.</w:t>
      </w:r>
    </w:p>
    <w:p w14:paraId="19035E22" w14:textId="77777777" w:rsidR="00DB55B4" w:rsidRPr="00DB55B4" w:rsidRDefault="00DB55B4" w:rsidP="00523AE9">
      <w:pPr>
        <w:spacing w:before="0" w:after="160" w:line="259" w:lineRule="auto"/>
        <w:jc w:val="both"/>
        <w:rPr>
          <w:rFonts w:ascii="Calibri" w:eastAsia="Calibri" w:hAnsi="Calibri" w:cs="Times New Roman"/>
          <w:sz w:val="22"/>
          <w:lang w:val="it-IT"/>
        </w:rPr>
      </w:pPr>
    </w:p>
    <w:tbl>
      <w:tblPr>
        <w:tblStyle w:val="Grilledutableau1"/>
        <w:tblW w:w="13291" w:type="dxa"/>
        <w:jc w:val="center"/>
        <w:tblLook w:val="04A0" w:firstRow="1" w:lastRow="0" w:firstColumn="1" w:lastColumn="0" w:noHBand="0" w:noVBand="1"/>
      </w:tblPr>
      <w:tblGrid>
        <w:gridCol w:w="1387"/>
        <w:gridCol w:w="992"/>
        <w:gridCol w:w="992"/>
        <w:gridCol w:w="992"/>
        <w:gridCol w:w="992"/>
        <w:gridCol w:w="992"/>
        <w:gridCol w:w="992"/>
        <w:gridCol w:w="992"/>
        <w:gridCol w:w="992"/>
        <w:gridCol w:w="992"/>
        <w:gridCol w:w="992"/>
        <w:gridCol w:w="992"/>
        <w:gridCol w:w="992"/>
      </w:tblGrid>
      <w:tr w:rsidR="00DB55B4" w:rsidRPr="00DB55B4" w14:paraId="7B124321" w14:textId="77777777" w:rsidTr="00591A66">
        <w:trPr>
          <w:trHeight w:val="300"/>
          <w:jc w:val="center"/>
        </w:trPr>
        <w:tc>
          <w:tcPr>
            <w:tcW w:w="1387" w:type="dxa"/>
            <w:tcBorders>
              <w:right w:val="single" w:sz="12" w:space="0" w:color="000000"/>
            </w:tcBorders>
            <w:shd w:val="clear" w:color="auto" w:fill="E7E6E6"/>
            <w:noWrap/>
            <w:vAlign w:val="center"/>
            <w:hideMark/>
          </w:tcPr>
          <w:p w14:paraId="313EF859" w14:textId="77777777" w:rsidR="00DB55B4" w:rsidRPr="00DB55B4" w:rsidRDefault="00DB55B4" w:rsidP="00591A66">
            <w:pPr>
              <w:spacing w:before="0" w:after="0"/>
              <w:jc w:val="center"/>
              <w:rPr>
                <w:rFonts w:eastAsia="Calibri" w:cs="Times New Roman"/>
                <w:sz w:val="12"/>
                <w:szCs w:val="12"/>
              </w:rPr>
            </w:pPr>
          </w:p>
        </w:tc>
        <w:tc>
          <w:tcPr>
            <w:tcW w:w="3968" w:type="dxa"/>
            <w:gridSpan w:val="4"/>
            <w:tcBorders>
              <w:top w:val="single" w:sz="12" w:space="0" w:color="000000"/>
              <w:left w:val="single" w:sz="12" w:space="0" w:color="000000"/>
              <w:bottom w:val="single" w:sz="12" w:space="0" w:color="000000"/>
              <w:right w:val="single" w:sz="12" w:space="0" w:color="000000"/>
            </w:tcBorders>
            <w:shd w:val="clear" w:color="auto" w:fill="E7E6E6"/>
            <w:vAlign w:val="center"/>
          </w:tcPr>
          <w:p w14:paraId="57CA386F"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Drug-resistant epilepsy</w:t>
            </w:r>
          </w:p>
        </w:tc>
        <w:tc>
          <w:tcPr>
            <w:tcW w:w="3968" w:type="dxa"/>
            <w:gridSpan w:val="4"/>
            <w:tcBorders>
              <w:top w:val="single" w:sz="12" w:space="0" w:color="000000"/>
              <w:left w:val="single" w:sz="12" w:space="0" w:color="000000"/>
              <w:bottom w:val="single" w:sz="12" w:space="0" w:color="000000"/>
              <w:right w:val="single" w:sz="12" w:space="0" w:color="000000"/>
            </w:tcBorders>
            <w:shd w:val="clear" w:color="auto" w:fill="E7E6E6"/>
            <w:vAlign w:val="center"/>
          </w:tcPr>
          <w:p w14:paraId="03E3ECD2" w14:textId="77777777" w:rsidR="00DB55B4" w:rsidRPr="00DB55B4" w:rsidRDefault="00DB55B4"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Dravet syndrome</w:t>
            </w:r>
          </w:p>
          <w:p w14:paraId="5A00D661" w14:textId="77777777" w:rsidR="00DB55B4" w:rsidRPr="00DB55B4" w:rsidRDefault="00DB55B4" w:rsidP="00591A66">
            <w:pPr>
              <w:spacing w:before="0" w:after="0"/>
              <w:jc w:val="center"/>
              <w:rPr>
                <w:rFonts w:eastAsia="Arial" w:cs="Times New Roman"/>
                <w:b/>
                <w:bCs/>
                <w:i/>
                <w:iCs/>
                <w:color w:val="000000"/>
                <w:sz w:val="12"/>
                <w:szCs w:val="12"/>
              </w:rPr>
            </w:pPr>
          </w:p>
        </w:tc>
        <w:tc>
          <w:tcPr>
            <w:tcW w:w="3968" w:type="dxa"/>
            <w:gridSpan w:val="4"/>
            <w:tcBorders>
              <w:top w:val="single" w:sz="12" w:space="0" w:color="000000"/>
              <w:left w:val="single" w:sz="12" w:space="0" w:color="000000"/>
              <w:bottom w:val="single" w:sz="12" w:space="0" w:color="000000"/>
              <w:right w:val="single" w:sz="12" w:space="0" w:color="000000"/>
            </w:tcBorders>
            <w:shd w:val="clear" w:color="auto" w:fill="E7E6E6"/>
            <w:vAlign w:val="center"/>
          </w:tcPr>
          <w:p w14:paraId="6D2D39E0" w14:textId="77777777" w:rsidR="00DB55B4" w:rsidRPr="00DB55B4" w:rsidRDefault="00DB55B4" w:rsidP="00591A66">
            <w:pPr>
              <w:tabs>
                <w:tab w:val="left" w:pos="7149"/>
              </w:tabs>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Lennox-Gastaut syndrome</w:t>
            </w:r>
          </w:p>
        </w:tc>
      </w:tr>
      <w:tr w:rsidR="00591A66" w:rsidRPr="00DB55B4" w14:paraId="4F005DFD" w14:textId="77777777" w:rsidTr="00591A66">
        <w:trPr>
          <w:trHeight w:val="300"/>
          <w:jc w:val="center"/>
        </w:trPr>
        <w:tc>
          <w:tcPr>
            <w:tcW w:w="1387" w:type="dxa"/>
            <w:tcBorders>
              <w:right w:val="single" w:sz="12" w:space="0" w:color="000000"/>
            </w:tcBorders>
            <w:shd w:val="clear" w:color="auto" w:fill="E7E6E6"/>
            <w:noWrap/>
            <w:vAlign w:val="center"/>
          </w:tcPr>
          <w:p w14:paraId="06A63377" w14:textId="77777777" w:rsidR="00591A66" w:rsidRPr="00DB55B4" w:rsidRDefault="00591A66" w:rsidP="00591A66">
            <w:pPr>
              <w:spacing w:before="0" w:after="0"/>
              <w:jc w:val="center"/>
              <w:rPr>
                <w:rFonts w:eastAsia="Calibri" w:cs="Times New Roman"/>
                <w:sz w:val="12"/>
                <w:szCs w:val="12"/>
              </w:rPr>
            </w:pPr>
          </w:p>
        </w:tc>
        <w:tc>
          <w:tcPr>
            <w:tcW w:w="992" w:type="dxa"/>
            <w:tcBorders>
              <w:top w:val="single" w:sz="12" w:space="0" w:color="000000"/>
              <w:left w:val="single" w:sz="12" w:space="0" w:color="000000"/>
            </w:tcBorders>
            <w:shd w:val="clear" w:color="auto" w:fill="E7E6E6"/>
            <w:noWrap/>
            <w:tcMar>
              <w:left w:w="0" w:type="dxa"/>
              <w:right w:w="0" w:type="dxa"/>
            </w:tcMar>
            <w:vAlign w:val="center"/>
          </w:tcPr>
          <w:p w14:paraId="318FF267"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7A531C40" w14:textId="77777777" w:rsid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2016</w:t>
            </w:r>
          </w:p>
          <w:p w14:paraId="3111140E" w14:textId="2CDEA687"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{"citationItems":[{"id":"ITEM-1","itemData":{"DOI":"10.1016/S1474-4422(15)00379-8","ISSN":"14744465","PMID":"26724101","abstract":"Background Almost a third of patients with epilepsy have a treatment-resistant form, which is associated with severe morbidity and increased mortality. Cannabis-based treatments for epilepsy have generated much interest, but scientific data are scarce. We aimed to establish whether addition of cannabidiol to existing anti-epileptic regimens would be safe, tolerated, and efficacious in children and young adults with treatment-resistant epilepsy. Methods In this open-label trial, patients (aged 1–30 years) with severe, intractable, childhood-onset, treatment-resistant epilepsy, who were receiving stable doses of antiepileptic drugs before study entry, were enrolled in an expanded-access programme at 11 epilepsy centres across the USA. Patients were given oral cannabidiol at 2–5 mg/kg per day, up-titrated until intolerance or to a maximum dose of 25 mg/kg or 50 mg/kg per day (dependent on study site). The primary objective was to establish the safety and tolerability of cannabidiol and the primary efficacy endpoint was median percentage change in the mean monthly frequency of motor seizures at 12 weeks. The efficacy analysis was by modified intention to treat. Comparisons of the percentage change in frequency of motor seizures were done with a Mann-Whitney U test. Results Between Jan 15, 2014, and Jan 15, 2015, 214 patients were enrolled; 162 (76%) patients who had at least 12 weeks of follow-up after the first dose of cannabidiol were included in the safety and tolerability analysis, and 137 (64%) patients were included in the efficacy analysis. In the safety group, 33 (20%) patients had Dravet syndrome and 31 (19%) patients had Lennox-Gastaut syndrome. The remaining patients had intractable epilepsies of different causes and type. Adverse events were reported in 128 (79%) of the 162 patients within the safety group. Adverse events reported in more than 10% of patients were somnolence (n=41 [25%]), decreased appetite (n=31 [19%]), diarrhoea (n=31 [19%]), fatigue (n=21 [13%]), and convulsion (n=18 [11%]). Five (3%) patients discontinued treatment because of an adverse event. Serious adverse events were reported in 48 (30%) patients, including one death—a sudden unexpected death in epilepsy regarded as unrelated to study drug. 20 (12%) patients had severe adverse events possibly related to cannabidiol use, the most common of which was status epilepticus (n=9 [6%]). The median monthly frequency of motor seizures was 30·0 (IQR 11·0–96·0) at baseline and 15·8 …","author":[{"dropping-particle":"","family":"Devinsky","given":"Orrin","non-dropping-particle":"","parse-names":false,"suffix":""},{"dropping-particle":"","family":"Marsh","given":"Eric","non-dropping-particle":"","parse-names":false,"suffix":""},{"dropping-particle":"","family":"Friedman","given":"Daniel","non-dropping-particle":"","parse-names":false,"suffix":""},{"dropping-particle":"","family":"Thiele","given":"Elizabeth","non-dropping-particle":"","parse-names":false,"suffix":""},{"dropping-particle":"","family":"Laux","given":"Linda","non-dropping-particle":"","parse-names":false,"suffix":""},{"dropping-particle":"","family":"Sullivan","given":"Joseph","non-dropping-particle":"","parse-names":false,"suffix":""},{"dropping-particle":"","family":"Miller","given":"Ian","non-dropping-particle":"","parse-names":false,"suffix":""},{"dropping-particle":"","family":"Flamini","given":"Robert","non-dropping-particle":"","parse-names":false,"suffix":""},{"dropping-particle":"","family":"Wilfong","given":"Angus","non-dropping-particle":"","parse-names":false,"suffix":""},{"dropping-particle":"","family":"Filloux","given":"Francis","non-dropping-particle":"","parse-names":false,"suffix":""},{"dropping-particle":"","family":"Wong","given":"Matthew","non-dropping-particle":"","parse-names":false,"suffix":""},{"dropping-particle":"","family":"Tilton","given":"Nicole","non-dropping-particle":"","parse-names":false,"suffix":""},{"dropping-particle":"","family":"Bruno","given":"Patricia","non-dropping-particle":"","parse-names":false,"suffix":""},{"dropping-particle":"","family":"Bluvstein","given":"Judith","non-dropping-particle":"","parse-names":false,"suffix":""},{"dropping-particle":"","family":"Hedlund","given":"Julie","non-dropping-particle":"","parse-names":false,"suffix":""},{"dropping-particle":"","family":"Kamens","given":"Rebecca","non-dropping-particle":"","parse-names":false,"suffix":""},{"dropping-particle":"","family":"Maclean","given":"Jane","non-dropping-particle":"","parse-names":false,"suffix":""},{"dropping-particle":"","family":"Nangia","given":"Srishti","non-dropping-particle":"","parse-names":false,"suffix":""},{"dropping-particle":"","family":"Singhal","given":"Nilika Shah","non-dropping-particle":"","parse-names":false,"suffix":""},{"dropping-particle":"","family":"Wilson","given":"Carey A.","non-dropping-particle":"","parse-names":false,"suffix":""},{"dropping-particle":"","family":"Patel","given":"Anup","non-dropping-particle":"","parse-names":false,"suffix":""},{"dropping-particle":"","family":"Cilio","given":"Maria Roberta","non-dropping-particle":"","parse-names":false,"suffix":""}],"container-title":"The Lancet Neurology","id":"ITEM-1","issue":"3","issued":{"date-parts":[["2016"]]},"page":"270-278","publisher":"Elsevier Ltd","title":"Cannabidiol in patients with treatment-resistant epilepsy: an open-label interventional trial","type":"article-journal","volume":"15"},"uris":["http://www.mendeley.com/documents/?uuid=5d3b820f-11b5-4699-a55a-cf435d11ad54"]}],"mendeley":{"formattedCitation":"(1)","plainTextFormattedCitation":"(1)","previouslyFormattedCitation":"(1)"},"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(1)</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tcMar>
              <w:left w:w="0" w:type="dxa"/>
              <w:right w:w="0" w:type="dxa"/>
            </w:tcMar>
            <w:vAlign w:val="center"/>
          </w:tcPr>
          <w:p w14:paraId="1CBD7D83"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Szaflarski</w:t>
            </w:r>
          </w:p>
          <w:p w14:paraId="2C84D931" w14:textId="77777777" w:rsid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773B1CEC" w14:textId="270B3E16"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{"citationItems":[{"id":"ITEM-1","itemData":{"DOI":"10.1111/epi.14477","ISSN":"15281167","PMID":"29998598","abstract":"Objective: Since 2014, cannabidiol (CBD) has been administered to patients with treatment-resistant epilepsies (TREs) in an ongoing expanded-access program (EAP). We report interim results on the safety and efficacy of CBD in EAP patients treated through December 2016. Methods: Twenty-five US-based EAP sites enrolling patients with TRE taking stable doses of antiepileptic drugs (AEDs) at baseline were included. During the 4-week baseline period, parents/caregivers kept diaries of all countable seizure types. Patients received oral CBD starting at 2-10 mg/kg/d, titrated to a maximum dose of 25-50 mg/kg/d. Patient visits were every 2-4 weeks through 16 weeks and every 2-12 weeks thereafter. Efficacy endpoints included the percentage change from baseline in median monthly convulsive and total seizure frequency, and percentage of patients with ≥50%, ≥75%, and 100% reductions in seizures vs baseline. Data were analyzed descriptively for the efficacy analysis set and using the last-observation-carried-forward method to account for missing data. Adverse events (AEs) were documented at each visit. Results: Of 607 patients in the safety dataset, 146 (24%) withdrew; the most common reasons were lack of efficacy (89 [15%]) and AEs (32 [5%]). Mean age was 13 years (range, 0.4-62). Median number of concomitant AEDs was 3 (range, 0-10). Median CBD dose was 25 mg/kg/d; median treatment duration was 48 weeks. Add-on CBD reduced median monthly convulsive seizures by 51% and total seizures by 48% at 12 weeks; reductions were similar through 96 weeks. Proportion of patients with ≥50%, ≥75%, and 100% reductions in convulsive seizures were 52%, 31%, and 11%, respectively, at 12 weeks, with similar rates through 96 weeks. CBD was generally well tolerated; most common AEs were diarrhea (29%) and somnolence (22%). Significance: Results from this ongoing EAP support previous observational and clinical trial data showing that add-on CBD may be an efficacious long-term treatment option for TRE.","author":[{"dropping-particle":"","family":"Szaflarski","given":"Jerzy P.","non-dropping-particle":"","parse-names":false,"suffix":""},{"dropping-particle":"","family":"Bebin","given":"Elizabeth Martina","non-dropping-particle":"","parse-names":false,"suffix":""},{"dropping-particle":"","family":"Comi","given":"Anne M.","non-dropping-particle":"","parse-names":false,"suffix":""},{"dropping-particle":"","family":"Patel","given":"Anup D.","non-dropping-particle":"","parse-names":false,"suffix":""},{"dropping-particle":"","family":"Joshi","given":"Charuta","non-dropping-particle":"","parse-names":false,"suffix":""},{"dropping-particle":"","family":"Checketts","given":"Daniel","non-dropping-particle":"","parse-names":false,"suffix":""},{"dropping-particle":"","family":"Beal","given":"Jules C.","non-dropping-particle":"","parse-names":false,"suffix":""},{"dropping-particle":"","family":"Laux","given":"Linda C.","non-dropping-particle":"","parse-names":false,"suffix":""},{"dropping-particle":"","family":"Boer","given":"Lisa M.","non-dropping-particle":"De","parse-names":false,"suffix":""},{"dropping-particle":"","family":"Wong","given":"Matthew H.","non-dropping-particle":"","parse-names":false,"suffix":""},{"dropping-particle":"","family":"Lopez","given":"Merrick","non-dropping-particle":"","parse-names":false,"suffix":""},{"dropping-particle":"","family":"Devinsky","given":"Orrin","non-dropping-particle":"","parse-names":false,"suffix":""},{"dropping-particle":"","family":"Lyons","given":"Paul D.","non-dropping-particle":"","parse-names":false,"suffix":""},{"dropping-particle":"","family":"Zentil","given":"Pilar Pichon","non-dropping-particle":"","parse-names":false,"suffix":""},{"dropping-particle":"","family":"Wechsler","given":"Robert","non-dropping-particle":"","parse-names":false,"suffix":""},{"dropping-particle":"","family":"Chez","given":"Michael","non-dropping-particle":"","parse-names":false,"suffix":""},{"dropping-particle":"","family":"Flamini","given":"Robert","non-dropping-particle":"","parse-names":false,"suffix":""},{"dropping-particle":"","family":"Marsh","given":"Eric D.","non-dropping-particle":"","parse-names":false,"suffix":""},{"dropping-particle":"","family":"Miller","given":"Ian","non-dropping-particle":"","parse-names":false,"suffix":""},{"dropping-particle":"","family":"Park","given":"Yong","non-dropping-particle":"","parse-names":false,"suffix":""},{"dropping-particle":"","family":"Segal","given":"Eric","non-dropping-particle":"","parse-names":false,"suffix":""},{"dropping-particle":"","family":"Seltzer","given":"Laurie","non-dropping-particle":"","parse-names":false,"suffix":""},{"dropping-particle":"","family":"Thiele","given":"Elizabeth A.","non-dropping-particle":"","parse-names":false,"suffix":""},{"dropping-particle":"","family":"Weinstock","given":"Arie","non-dropping-particle":"","parse-names":false,"suffix":""}],"container-title":"Epilepsia","id":"ITEM-1","issue":"8","issued":{"date-parts":[["2018","8","1"]]},"page":"1540-1548","publisher":"Blackwell Publishing Inc.","title":"Long-term safety and treatment effects of cannabidiol in children and adults with treatment-resistant epilepsies: Expanded access program results","type":"article-journal","volume":"59"},"uris":["http://www.mendeley.com/documents/?uuid=cd87fa05-76b5-432e-a11d-aabb8ad12aad"]}],"mendeley":{"formattedCitation":"(2)","plainTextFormattedCitation":"(2)","previouslyFormattedCitation":"(2)"},"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(2)</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vAlign w:val="center"/>
          </w:tcPr>
          <w:p w14:paraId="072EA36A"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Laux</w:t>
            </w:r>
          </w:p>
          <w:p w14:paraId="233FBD07" w14:textId="77777777" w:rsid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2019</w:t>
            </w:r>
          </w:p>
          <w:p w14:paraId="31D180A6" w14:textId="33CC2C00"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{"citationItems":[{"id":"ITEM-1","itemData":{"DOI":"10.1016/j.eplepsyres.2019.03.015","ISSN":"18726844","abstract":"Background: Since 2014, patients with severe treatment-resistant epilepsies (TREs) have been receiving add-on cannabidiol (CBD) in an ongoing, expanded access program (EAP), which closely reflects clinical practice. We conducted an interim analysis of long-term efficacy and tolerability in patients with Lennox-Gastaut syndrome (LGS) or Dravet syndrome (DS) who received CBD treatment through December 2016. Methods: Children and adults with LGS/DS taking stable doses of antiepileptic drugs (AEDs) at baseline were included from 25 EAP sites across the United States. During the 4-week baseline period, parents/caregivers kept diaries of all countable seizure types. Patients received a pharmaceutical formulation of highly purified CBD (Epidiolex®; 100 mg/mL) in oral solution at 2–10 mg/kg/day, titrated until tolerability limit or a maximum dose of 25–50 mg/kg/day. Patient visits were every 2–4 weeks. The percentage change from baseline in median monthly convulsive (ie, major motor) and total seizures was evaluated at 12-week intervals through 96 weeks. The percentages of patients who had ≥50%, ≥75%, and 100% reduction in monthly seizures relative to the baseline period were also evaluated. Adverse events (AEs) were monitored and summarized for the safety analysis set (SAS) through 144 weeks. Results: Of the 607 patients in the SAS, 58 had DS and 94 had LGS (N = 152); 455 patients had other TREs. Twenty-eight percent of LGS/DS patients withdrew, primarily owing to lack of efficacy (20%). LGS/DS patients were taking a median of 3 (0–10) concomitant AEDs. Median treatment duration was 78.3 (range, 4.1–146.4) weeks. Between weeks 12 and 96, median CBD dose ranged from 21 to 25 mg/kg/day. At 12 weeks, add-on CBD reduced median monthly major motor seizures by 50% and total seizures by 44%, with consistent reductions in both seizure types through 96 weeks. At 12 weeks, the proportions of patients with ≥50%, ≥75%, and 100% reductions in major motor seizures were 53%, 23%, and 6%; the proportions with corresponding reductions in total seizures were 46%, 26%, and 5%. Responder rates for both seizure types were consistent through 96 weeks. CBD had an acceptable safety profile; the most common AEs were somnolence (30%) and diarrhea (24%). Conclusions: Results from this interim analysis support add-on CBD as an effective long-term treatment option in LGS or DS.","author":[{"dropping-particle":"","family":"Laux","given":"Linda C.","non-dropping-particle":"","parse-names":false,"suffix":""},{"dropping-particle":"","family":"Bebin","given":"E. Martina","non-dropping-particle":"","parse-names":false,"suffix":""},{"dropping-particle":"","family":"Checketts","given":"Daniel","non-dropping-particle":"","parse-names":false,"suffix":""},{"dropping-particle":"","family":"Chez","given":"Michael","non-dropping-particle":"","parse-names":false,"suffix":""},{"dropping-particle":"","family":"Flamini","given":"Robert","non-dropping-particle":"","parse-names":false,"suffix":""},{"dropping-particle":"","family":"Marsh","given":"Eric D.","non-dropping-particle":"","parse-names":false,"suffix":""},{"dropping-particle":"","family":"Miller","given":"Ian","non-dropping-particle":"","parse-names":false,"suffix":""},{"dropping-particle":"","family":"Nichol","given":"Kathryn","non-dropping-particle":"","parse-names":false,"suffix":""},{"dropping-particle":"","family":"Park","given":"Yong","non-dropping-particle":"","parse-names":false,"suffix":""},{"dropping-particle":"","family":"Segal","given":"Eric","non-dropping-particle":"","parse-names":false,"suffix":""},{"dropping-particle":"","family":"Seltzer","given":"Laurie","non-dropping-particle":"","parse-names":false,"suffix":""},{"dropping-particle":"","family":"Szaflarski","given":"Jerzy P.","non-dropping-particle":"","parse-names":false,"suffix":""},{"dropping-particle":"","family":"Thiele","given":"Elizabeth A.","non-dropping-particle":"","parse-names":false,"suffix":""},{"dropping-particle":"","family":"Weinstock","given":"Arie","non-dropping-particle":"","parse-names":false,"suffix":""}],"container-title":"Epilepsy Research","id":"ITEM-1","issue":"January","issued":{"date-parts":[["2019"]]},"page":"13-20","publisher":"Elsevier","title":"Long-term safety and efficacy of cannabidiol in children and adults with treatmentresistant Lennox-Gastaut syndrome or Dravet syndrome: Expanded access program results","type":"article-journal","volume":"154"},"uris":["http://www.mendeley.com/documents/?uuid=8fab2823-0eab-40de-b87b-dad918e475e4"]}],"mendeley":{"formattedCitation":"(3)","plainTextFormattedCitation":"(3)","previouslyFormattedCitation":"(3)"},"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(3)</w:t>
            </w:r>
            <w:r w:rsidRPr="00DB55B4">
              <w:rPr>
                <w:rFonts w:eastAsia="Arial" w:cs="Times New Roman"/>
                <w:b/>
                <w:bCs/>
                <w:i/>
                <w:iCs/>
                <w:color w:val="000000"/>
                <w:sz w:val="12"/>
                <w:szCs w:val="12"/>
              </w:rPr>
              <w:fldChar w:fldCharType="end"/>
            </w:r>
          </w:p>
        </w:tc>
        <w:tc>
          <w:tcPr>
            <w:tcW w:w="992" w:type="dxa"/>
            <w:tcBorders>
              <w:top w:val="single" w:sz="12" w:space="0" w:color="000000"/>
              <w:right w:val="single" w:sz="12" w:space="0" w:color="000000"/>
            </w:tcBorders>
            <w:shd w:val="clear" w:color="auto" w:fill="E7E6E6"/>
            <w:tcMar>
              <w:left w:w="0" w:type="dxa"/>
              <w:right w:w="0" w:type="dxa"/>
            </w:tcMar>
            <w:vAlign w:val="center"/>
          </w:tcPr>
          <w:p w14:paraId="4D411DF8" w14:textId="63C66155"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t>Our study</w:t>
            </w:r>
          </w:p>
        </w:tc>
        <w:tc>
          <w:tcPr>
            <w:tcW w:w="992" w:type="dxa"/>
            <w:tcBorders>
              <w:top w:val="single" w:sz="12" w:space="0" w:color="000000"/>
              <w:left w:val="single" w:sz="12" w:space="0" w:color="000000"/>
            </w:tcBorders>
            <w:shd w:val="clear" w:color="auto" w:fill="E7E6E6"/>
            <w:noWrap/>
            <w:tcMar>
              <w:left w:w="0" w:type="dxa"/>
              <w:right w:w="0" w:type="dxa"/>
            </w:tcMar>
            <w:vAlign w:val="center"/>
          </w:tcPr>
          <w:p w14:paraId="6C281F3A"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5A42EBF4" w14:textId="77777777" w:rsid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2017</w:t>
            </w:r>
          </w:p>
          <w:p w14:paraId="56279FBD" w14:textId="0701994A"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{"citationItems":[{"id":"ITEM-1","itemData":{"DOI":"10.1056/NEJMoa1611618","ISSN":"15334406","PMID":"28538134","abstract":"BACKGROUND The Dravet syndrome is a complex childhood epilepsy disorder that is associated with drug-resistant seizures and a high mortality rate. We studied cannabidiol for the treatment of drug-resistant seizures in the Dravet syndrome. METHODS In this double-blind, placebo-controlled trial, we randomly assigned 120 children and young adults with the Dravet syndrome and drug-resistant seizures to receive either cannabidiol oral solution at a dose of 20 mg per kilogram of body weight per day or placebo, in addition to standard antiepileptic treatment. The primary end point was the change in convulsive-seizure frequency over a 14-week treatment period, as compared with a 4-week baseline period. RESULTS The median frequency of convulsive seizures per month decreased from 12.4 to 5.9 with cannabidiol, as compared with a decrease from 14.9 to 14.1 with placebo (adjusted median difference between the cannabidiol group and the placebo group in change in seizure frequency, -22.8 percentage points; 95% confidence interval [CI], -41.1 to -5.4; P = 0.01). The percentage of patients who had at least a 50% reduction in convulsiveseizure frequency was 43% with cannabidiol and 27% with placebo (odds ratio, 2.00; 95% CI, 0.93 to 4.30; P = 0.08). The patient's overall condition improved by at least one category on the seven-category Caregiver Global Impression of Change scale in 62% of the cannabidiol group as compared with 34% of the placebo group (P = 0.02). The frequency of total seizures of all types was significantly reduced with cannabidiol (P = 0.03), but there was no significant reduction in nonconvulsive seizures. The percentage of patients who became seizure-free was 5% with cannabidiol and 0% with placebo (P = 0.08). Adverse events that occurred more frequently in the cannabidiol group than in the placebo group included diarrhea, vomiting, fatigue, pyrexia, somnolence, and abnormal results on liver-function tests. There were more withdrawals from the trial in the cannabidiol group. CONCLUSIONS Among patients with the Dravet syndrome, cannabidiol resulted in a greater reduction in convulsive-seizure frequency than placebo and was associated with higher rates of adverse events. (Funded by GW Pharmaceuticals; ClinicalTrials.gov number, NCT02091375.).","author":[{"dropping-particle":"","family":"Devinsky","given":"Orrin","non-dropping-particle":"","parse-names":false,"suffix":""},{"dropping-particle":"","family":"Cross","given":"J. Helen","non-dropping-particle":"","parse-names":false,"suffix":""},{"dropping-particle":"","family":"Laux","given":"Linda","non-dropping-particle":"","parse-names":false,"suffix":""},{"dropping-particle":"","family":"Marsh","given":"Eric","non-dropping-particle":"","parse-names":false,"suffix":""},{"dropping-particle":"","family":"Miller","given":"Ian","non-dropping-particle":"","parse-names":false,"suffix":""},{"dropping-particle":"","family":"Nabbout","given":"Rima","non-dropping-particle":"","parse-names":false,"suffix":""},{"dropping-particle":"","family":"Scheffer","given":"Ingrid E.","non-dropping-particle":"","parse-names":false,"suffix":""},{"dropping-particle":"","family":"Thiele","given":"Elizabeth A.","non-dropping-particle":"","parse-names":false,"suffix":""},{"dropping-particle":"","family":"Wright","given":"Stephen","non-dropping-particle":"","parse-names":false,"suffix":""}],"container-title":"New England Journal of Medicine","id":"ITEM-1","issue":"21","issued":{"date-parts":[["2017"]]},"page":"2011-2020","title":"Trial of cannabidiol for drug-resistant seizures in the dravet syndrome","type":"article-journal","volume":"376"},"uris":["http://www.mendeley.com/documents/?uuid=cdefa4c4-ce24-4c90-bf00-2e56e318267e"]}],"mendeley":{"formattedCitation":"(4)","plainTextFormattedCitation":"(4)","previouslyFormattedCitation":"(4)"},"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(4)</w:t>
            </w:r>
            <w:r w:rsidRPr="00DB55B4">
              <w:rPr>
                <w:rFonts w:eastAsia="Arial" w:cs="Times New Roman"/>
                <w:b/>
                <w:bCs/>
                <w:i/>
                <w:iCs/>
                <w:color w:val="000000"/>
                <w:sz w:val="12"/>
                <w:szCs w:val="12"/>
              </w:rPr>
              <w:fldChar w:fldCharType="end"/>
            </w:r>
          </w:p>
        </w:tc>
        <w:tc>
          <w:tcPr>
            <w:tcW w:w="992" w:type="dxa"/>
            <w:tcBorders>
              <w:top w:val="single" w:sz="12" w:space="0" w:color="000000"/>
            </w:tcBorders>
            <w:shd w:val="clear" w:color="auto" w:fill="E7E6E6"/>
            <w:tcMar>
              <w:left w:w="0" w:type="dxa"/>
              <w:right w:w="0" w:type="dxa"/>
            </w:tcMar>
            <w:vAlign w:val="center"/>
          </w:tcPr>
          <w:p w14:paraId="7D714FEE"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7F14611B" w14:textId="77777777" w:rsid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2019</w:t>
            </w:r>
          </w:p>
          <w:p w14:paraId="4927FE09" w14:textId="4BDE4E8E"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{"citationItems":[{"id":"ITEM-1","itemData":{"DOI":"10.1111/epi.14628","ISSN":"15281167","abstract":"Objective: Add-on cannabidiol (CBD) significantly reduced seizures associated with Dravet syndrome (DS) in a randomized, double-blind, placebo-controlled trial: GWPCARE1 Part B (NCT02091375). Patients who completed GWPCARE1 Part A (NCT02091206) or Part B, or a second placebo-controlled trial, GWPCARE2 (NCT02224703), were invited to enroll in a long-term open-label extension trial, GWPCARE5 (NCT02224573). We present an interim analysis of the safety, efficacy, and patient-reported outcomes from GWPCARE5. Methods: Patients received a pharmaceutical formulation of highly purified CBD in oral solution (100 mg/mL), titrated from 2.5 to 20 mg/kg/d over a 2-week period, with their existing medications. Based on response and tolerance, CBD could be reduced or increased up to 30 mg/kg/d. Results: By November 2016, a total of 278 patients had completed the original randomized trials, and 264 (95%) enrolled in this open-label extension. Median treatment duration was 274 days (range 1-512) with a mean modal dose of 21 mg/kg/d, and patients received a median of 3 concomitant antiepileptic medications. Adverse events (AEs) occurred in 93.2% of patients and were mostly mild (36.7%) or moderate (39.0%). Commonly reported AEs were diarrhea (34.5%), pyrexia (27.3%), decreased appetite (25.4%), and somnolence (24.6%). Seventeen patients (6.4%) discontinued due to AEs. Twenty-two of the 128 patients from GWPCARE1 (17.2%), all taking valproic acid, had liver transaminase elevations ≥3 times the upper limit of normal. In patients from GWPCARE1 Part B, the median reduction from baseline in monthly seizure frequency assessed in 12-week periods up to week 48 ranged from 38% to 44% for convulsive seizures and 39% to 51% for total seizures. After 48 weeks of treatment, 85% of patients/caregivers reported improvement in the patient's overall condition on the Subject/Caregiver Global Impression of Change scale. Significance: This trial shows that long-term CBD treatment had an acceptable safety profile and led to sustained, clinically meaningful reductions in seizure frequency in patients with treatment-resistant DS.","author":[{"dropping-particle":"","family":"Devinsky","given":"Orrin","non-dropping-particle":"","parse-names":false,"suffix":""},{"dropping-particle":"","family":"Nabbout","given":"Rima","non-dropping-particle":"","parse-names":false,"suffix":""},{"dropping-particle":"","family":"Miller","given":"Ian","non-dropping-particle":"","parse-names":false,"suffix":""},{"dropping-particle":"","family":"Laux","given":"Linda","non-dropping-particle":"","parse-names":false,"suffix":""},{"dropping-particle":"","family":"Zolnowska","given":"Marta","non-dropping-particle":"","parse-names":false,"suffix":""},{"dropping-particle":"","family":"Wright","given":"Stephen","non-dropping-particle":"","parse-names":false,"suffix":""},{"dropping-particle":"","family":"Roberts","given":"Claire","non-dropping-particle":"","parse-names":false,"suffix":""}],"container-title":"Epilepsia","id":"ITEM-1","issue":"2","issued":{"date-parts":[["2019","2","1"]]},"page":"294-302","publisher":"Blackwell Publishing Inc.","title":"Long-term cannabidiol treatment in patients with Dravet syndrome: An open-label extension trial","type":"article-journal","volume":"60"},"uris":["http://www.mendeley.com/documents/?uuid=0e110290-1c34-4199-b9c5-226565acaa23"]}],"mendeley":{"formattedCitation":"(6)","plainTextFormattedCitation":"(6)","previouslyFormattedCitation":"(6)"},"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(6)</w:t>
            </w:r>
            <w:r w:rsidRPr="00DB55B4">
              <w:rPr>
                <w:rFonts w:eastAsia="Arial" w:cs="Times New Roman"/>
                <w:b/>
                <w:bCs/>
                <w:i/>
                <w:iCs/>
                <w:color w:val="000000"/>
                <w:sz w:val="12"/>
                <w:szCs w:val="12"/>
              </w:rPr>
              <w:fldChar w:fldCharType="end"/>
            </w:r>
          </w:p>
        </w:tc>
        <w:tc>
          <w:tcPr>
            <w:tcW w:w="992" w:type="dxa"/>
            <w:tcBorders>
              <w:top w:val="single" w:sz="12" w:space="0" w:color="000000"/>
              <w:right w:val="single" w:sz="2" w:space="0" w:color="000000"/>
            </w:tcBorders>
            <w:shd w:val="clear" w:color="auto" w:fill="E7E6E6"/>
            <w:tcMar>
              <w:left w:w="0" w:type="dxa"/>
              <w:right w:w="0" w:type="dxa"/>
            </w:tcMar>
            <w:vAlign w:val="center"/>
          </w:tcPr>
          <w:p w14:paraId="2A788045"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Miller</w:t>
            </w:r>
          </w:p>
          <w:p w14:paraId="6BDD9302" w14:textId="77777777" w:rsid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2020</w:t>
            </w:r>
          </w:p>
          <w:p w14:paraId="1E497A16" w14:textId="2E5D998E"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{"citationItems":[{"id":"ITEM-1","itemData":{"DOI":"10.1001/jamaneurol.2020.0073","ISSN":"21686157","abstract":"Importance: Clinical evidence supports effectiveness of cannabidiol for treatment-resistant seizures in Dravet syndrome, but this trial is the first to evaluate the 10-mg/kg/d dose. Objective: To evaluate the efficacy and safety of a pharmaceutical formulation of cannabidiol, 10 and 20 mg/kg/d, vs placebo for adjunctive treatment of convulsive seizures in patients with Dravet syndrome. Design, Setting, and Participants: This double-blind, placebo-controlled, randomized clinical trial (GWPCARE2) recruited patients from April 13, 2015, to November 10, 2017, with follow-up completed on April 9, 2018. Of 285 patients screened from 38 centers in the United States, Spain, Poland, the Netherlands, Australia, and Israel, 86 were excluded, and 199 were randomized. Patients were aged 2 to 18 years with a confirmed diagnosis of Dravet syndrome and at least 4 convulsive seizures during the 4-week baseline period while receiving at least 1 antiepileptic drug. Data were analyzed from November 16 (date of unblinding) to December 13 (date of final outputs), 2018, based on intention to treat and per protocol. Interventions: Patients received cannabidiol oral solution at a dose of 10 or 20 mg/kg per day (CBD10 and CBD20 groups, respectively) or matched placebo in 2 equally divided doses for 14 weeks. All patients, caregivers, investigators, and individuals assessing data were blinded to group assignment. Main Outcomes and Measures: The primary outcome was change from baseline in convulsive seizure frequency during the treatment period. Secondary outcomes included change in all seizure frequency, proportion with at least a 50% reduction in convulsive seizure activity, and change in Caregiver Global Impression of Change score. Results: Of 198 eligible patients (mean [SD] age, 9.3 [4.4] years; 104 female [52.5%]), 66 were randomized to the CBD10 group, 67 to the CBD20 group, and 65 to the placebo group, and 190 completed treatment. The percentage reduction from baseline in convulsive seizure frequency was 48.7% for CBD10 group and 45.7% for the CBD20 group vs 26.9% for the placebo group; the percentage reduction from placebo was 29.8% (95% CI, 8.4%-46.2%; P =.01) for CBD10 group and 25.7% (95% CI, 2.9%-43.2%; P =.03) for the CBD20 group. The most common adverse events were decreased appetite, diarrhea, somnolence, pyrexia, and fatigue. Five patients in the CBD20 group discontinued owing to adverse events. Elevated liver transaminase levels occurred more frequently in the CB…","author":[{"dropping-particle":"","family":"Miller","given":"Ian","non-dropping-particle":"","parse-names":false,"suffix":""},{"dropping-particle":"","family":"Scheffer","given":"Ingrid E.","non-dropping-particle":"","parse-names":false,"suffix":""},{"dropping-particle":"","family":"Gunning","given":"Boudewijn","non-dropping-particle":"","parse-names":false,"suffix":""},{"dropping-particle":"","family":"Sanchez-Carpintero","given":"Rocio","non-dropping-particle":"","parse-names":false,"suffix":""},{"dropping-particle":"","family":"Gil-Nagel","given":"Antonio","non-dropping-particle":"","parse-names":false,"suffix":""},{"dropping-particle":"","family":"Perry","given":"M. Scott","non-dropping-particle":"","parse-names":false,"suffix":""},{"dropping-particle":"","family":"Saneto","given":"Russell P.","non-dropping-particle":"","parse-names":false,"suffix":""},{"dropping-particle":"","family":"Checketts","given":"Daniel","non-dropping-particle":"","parse-names":false,"suffix":""},{"dropping-particle":"","family":"Dunayevich","given":"Eduardo","non-dropping-particle":"","parse-names":false,"suffix":""},{"dropping-particle":"","family":"Knappertz","given":"Volker","non-dropping-particle":"","parse-names":false,"suffix":""}],"container-title":"JAMA Neurology","id":"ITEM-1","issued":{"date-parts":[["2020","3","2"]]},"publisher":"American Medical Association","title":"Dose-Ranging Effect of Adjunctive Oral Cannabidiol vs Placebo on Convulsive Seizure Frequency in Dravet Syndrome: A Randomized Clinical Trial","type":"article-journal"},"uris":["http://www.mendeley.com/documents/?uuid=bca5f2a8-aaf5-3919-a5b3-5ab8db3230eb"]}],"mendeley":{"formattedCitation":"(7)","plainTextFormattedCitation":"(7)","previouslyFormattedCitation":"(7)"},"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(7)</w:t>
            </w:r>
            <w:r w:rsidRPr="00DB55B4">
              <w:rPr>
                <w:rFonts w:eastAsia="Arial" w:cs="Times New Roman"/>
                <w:b/>
                <w:bCs/>
                <w:i/>
                <w:iCs/>
                <w:color w:val="000000"/>
                <w:sz w:val="12"/>
                <w:szCs w:val="12"/>
              </w:rPr>
              <w:fldChar w:fldCharType="end"/>
            </w:r>
          </w:p>
        </w:tc>
        <w:tc>
          <w:tcPr>
            <w:tcW w:w="992" w:type="dxa"/>
            <w:tcBorders>
              <w:top w:val="single" w:sz="12" w:space="0" w:color="000000"/>
              <w:left w:val="single" w:sz="2" w:space="0" w:color="000000"/>
              <w:right w:val="single" w:sz="12" w:space="0" w:color="000000"/>
            </w:tcBorders>
            <w:shd w:val="clear" w:color="auto" w:fill="E7E6E6"/>
            <w:tcMar>
              <w:left w:w="0" w:type="dxa"/>
              <w:right w:w="0" w:type="dxa"/>
            </w:tcMar>
            <w:vAlign w:val="center"/>
          </w:tcPr>
          <w:p w14:paraId="03DD572B" w14:textId="57D8B0BB" w:rsidR="00591A66" w:rsidRP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Our study</w:t>
            </w:r>
          </w:p>
        </w:tc>
        <w:tc>
          <w:tcPr>
            <w:tcW w:w="992" w:type="dxa"/>
            <w:tcBorders>
              <w:top w:val="single" w:sz="12" w:space="0" w:color="000000"/>
              <w:left w:val="single" w:sz="12" w:space="0" w:color="000000"/>
              <w:bottom w:val="single" w:sz="4" w:space="0" w:color="auto"/>
            </w:tcBorders>
            <w:shd w:val="clear" w:color="auto" w:fill="E7E6E6"/>
            <w:tcMar>
              <w:left w:w="0" w:type="dxa"/>
              <w:right w:w="0" w:type="dxa"/>
            </w:tcMar>
            <w:vAlign w:val="center"/>
          </w:tcPr>
          <w:p w14:paraId="680DC590"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Devinsky</w:t>
            </w:r>
          </w:p>
          <w:p w14:paraId="7361116E" w14:textId="77777777" w:rsid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5D65B06F" w14:textId="6DE6AD48"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{"citationItems":[{"id":"ITEM-1","itemData":{"DOI":"10.1056/NEJMoa1714631","ISSN":"15334406","abstract":"BACKGROUND Cannabidiol has been used for treatment-resistant seizures in patients with severe early-onset epilepsy. We investigated the efficacy and safety of cannabidiol added to a regimen of conventional antiepileptic medication to treat drop seizures in patients with the Lennox–Gastaut syndrome, a severe developmental epileptic encephalopathy. METHODS In this double-blind, placebo-controlled trial conducted at 30 clinical centers, we randomly assigned patients with the Lennox–Gastaut syndrome (age range, 2 to 55 years) who had had two or more drop seizures per week during a 28-day baseline period to receive cannabidiol oral solution at a dose of either 20 mg per kilogram of body weight (20-mg cannabidiol group) or 10 mg per kilogram (10-mg cannabidiol group) or matching placebo, administered in two equally divided doses daily for 14 weeks. The primary outcome was the percentage change from baseline in the frequency of drop seizures (average per 28 days) during the treatment period. RESULTS A total of 225 patients were enrolled; 76 patients were assigned to the 20-mg cannabidiol group, 73 to the 10-mg cannabidiol group, and 76 to the placebo group. During the 28-day baseline period, the median number of drop seizures was 85 in all trial groups combined. The median percent reduction from baseline in drop-seizure frequency during the treatment period was 41.9% in the 20-mg cannabidiol group, 37.2% in the 10-mg cannabidiol group, and 17.2% in the placebo group (P=0.005 for the 20-mg cannabidiol group vs. placebo group, and P=0.002 for the 10-mg cannabidiol group vs. placebo group). The most common adverse events among the patients in the cannabidiol groups were somnolence, decreased appetite, and diarrhea; these events occurred more frequently in the higher-dose group. Six patients in the 20-mg cannabidiol group and 1 patient in the 10-mg cannabidiol group discontinued the trial medication because of adverse events and were withdrawn from the trial. Fourteen patients who received cannabidiol (9%) had elevated liver aminotransferase concentrations. CONCLUSIONS Among children and adults with the Lennox–Gastaut syndrome, the addition of cannabidiol at a dose of 10 mg or 20 mg per kilogram per day to a conventional antiepileptic regimen resulted in greater reductions in the frequency of drop seizures than placebo. Adverse events with cannabidiol included elevated liver aminotransferase concentrations. (Funded by GW Pharmaceuticals; GWPCARE3 ClinicalTrials.go…","author":[{"dropping-particle":"","family":"Devinsky","given":"Orrin","non-dropping-particle":"","parse-names":false,"suffix":""},{"dropping-particle":"","family":"Patel","given":"Anup D.","non-dropping-particle":"","parse-names":false,"suffix":""},{"dropping-particle":"","family":"Cross","given":"J. Helen","non-dropping-particle":"","parse-names":false,"suffix":""},{"dropping-particle":"","family":"Villanueva","given":"Vicente","non-dropping-particle":"","parse-names":false,"suffix":""},{"dropping-particle":"","family":"Wirrell","given":"Elaine C.","non-dropping-particle":"","parse-names":false,"suffix":""},{"dropping-particle":"","family":"Privitera","given":"Michael","non-dropping-particle":"","parse-names":false,"suffix":""},{"dropping-particle":"","family":"Greenwood","given":"Sam M.","non-dropping-particle":"","parse-names":false,"suffix":""},{"dropping-particle":"","family":"Roberts","given":"Claire","non-dropping-particle":"","parse-names":false,"suffix":""},{"dropping-particle":"","family":"Checketts","given":"Daniel","non-dropping-particle":"","parse-names":false,"suffix":""},{"dropping-particle":"","family":"VanLandingham","given":"Kevan E.","non-dropping-particle":"","parse-names":false,"suffix":""},{"dropping-particle":"","family":"Zuberi","given":"Sameer M.","non-dropping-particle":"","parse-names":false,"suffix":""}],"container-title":"New England Journal of Medicine","id":"ITEM-1","issue":"20","issued":{"date-parts":[["2018"]]},"page":"1888-1897","title":"Effect of cannabidiol on drop seizures in the lennox–gastaut syndrome","type":"article-journal","volume":"378"},"uris":["http://www.mendeley.com/documents/?uuid=7834fb1c-6c93-45f7-b3b9-5c23fdf57365"]}],"mendeley":{"formattedCitation":"(8)","plainTextFormattedCitation":"(8)","previouslyFormattedCitation":"(8)"},"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(8)</w:t>
            </w:r>
            <w:r w:rsidRPr="00DB55B4">
              <w:rPr>
                <w:rFonts w:eastAsia="Arial" w:cs="Times New Roman"/>
                <w:b/>
                <w:bCs/>
                <w:i/>
                <w:iCs/>
                <w:color w:val="000000"/>
                <w:sz w:val="12"/>
                <w:szCs w:val="12"/>
              </w:rPr>
              <w:fldChar w:fldCharType="end"/>
            </w:r>
          </w:p>
        </w:tc>
        <w:tc>
          <w:tcPr>
            <w:tcW w:w="992" w:type="dxa"/>
            <w:tcBorders>
              <w:top w:val="single" w:sz="12" w:space="0" w:color="000000"/>
              <w:bottom w:val="single" w:sz="4" w:space="0" w:color="auto"/>
            </w:tcBorders>
            <w:shd w:val="clear" w:color="auto" w:fill="E7E6E6"/>
            <w:tcMar>
              <w:left w:w="0" w:type="dxa"/>
              <w:right w:w="0" w:type="dxa"/>
            </w:tcMar>
            <w:vAlign w:val="center"/>
          </w:tcPr>
          <w:p w14:paraId="244FE0A8"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Thiele</w:t>
            </w:r>
          </w:p>
          <w:p w14:paraId="276A483A" w14:textId="77777777" w:rsidR="00591A66"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2018</w:t>
            </w:r>
          </w:p>
          <w:p w14:paraId="212E8BC9" w14:textId="33619F94"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fldChar w:fldCharType="begin" w:fldLock="1"/>
            </w:r>
            <w:r>
              <w:rPr>
                <w:rFonts w:eastAsia="Arial" w:cs="Times New Roman"/>
                <w:b/>
                <w:bCs/>
                <w:i/>
                <w:iCs/>
                <w:color w:val="000000"/>
                <w:sz w:val="12"/>
                <w:szCs w:val="12"/>
              </w:rPr>
              <w:instrText>ADDIN CSL_CITATION {"citationItems":[{"id":"ITEM-1","itemData":{"DOI":"10.1016/S0140-6736(18)30136-3","ISSN":"1474547X","PMID":"29395273","abstract":"Background: Patients with Lennox-Gastaut syndrome, a rare, severe form of epileptic encephalopathy, are frequently treatment resistant to available medications. No controlled studies have investigated the use of cannabidiol for patients with seizures associated with Lennox-Gastaut syndrome. We therefore assessed the efficacy and safety of cannabidiol as an add-on anticonvulsant therapy in this population of patients. Methods: In this randomised, double-blind, placebo-controlled trial done at 24 clinical sites in the USA, the Netherlands, and Poland, we investigated the efficacy of cannabidiol as add-on therapy for drop seizures in patients with treatment-resistant Lennox-Gastaut syndrome. Eligible patients (aged 2–55 years) had Lennox-Gastaut syndrome, including a history of slow (&lt;3 Hz) spike-and-wave patterns on electroencephalogram, evidence of more than one type of generalised seizure for at least 6 months, at least two drop seizures per week during the 4-week baseline period, and had not responded to treatment with at least two antiepileptic drugs. Patients were randomly assigned (1:1) using an interactive voice response system, stratified by age group, to receive 20 mg/kg oral cannabidiol daily or matched placebo for 14 weeks. All patients, caregivers, investigators, and individuals assessing data were masked to group assignment. The primary endpoint was percentage change from baseline in monthly frequency of drop seizures during the treatment period, analysed in all patients who received at least one dose of study drug and had post-baseline efficacy data. All randomly assigned patients were included in the safety analyses. This study is registered with ClinicalTrials.gov, number NCT02224690. Findings: Between April 28, 2015, and Oct 15, 2015, we randomly assigned 171 patients to receive cannabidiol (n=86) or placebo (n=85). 14 patients in the cannabidiol group and one in the placebo group discontinued study treatment; all randomly assigned patients received at least one dose of study treatment and had post-baseline efficacy data. The median percentage reduction in monthly drop seizure frequency from baseline was 43·9% (IQR −69·6 to −1·9) in the cannibidiol group and 21·8% (IQR −45·7 to 1·7) in the placebo group. The estimated median difference between the treatment groups was −17·21 (95% CI −30·32 to −4·09; p=0·0135) during the 14-week treatment period. Adverse events occurred in 74 (86%) of 86 patients in the cannabidiol group and 59 (69%) of 85…","author":[{"dropping-particle":"","family":"Thiele","given":"Elizabeth A.","non-dropping-particle":"","parse-names":false,"suffix":""},{"dropping-particle":"","family":"Marsh","given":"Eric D.","non-dropping-particle":"","parse-names":false,"suffix":""},{"dropping-particle":"","family":"French","given":"Jacqueline A.","non-dropping-particle":"","parse-names":false,"suffix":""},{"dropping-particle":"","family":"Mazurkiewicz","given":"Maria B.","non-dropping-particle":"","parse-names":false,"suffix":""},{"dropping-particle":"","family":"Benbadis","given":"Selim R.","non-dropping-particle":"","parse-names":false,"suffix":""},{"dropping-particle":"","family":"Joshi","given":"Charuta","non-dropping-particle":"","parse-names":false,"suffix":""},{"dropping-particle":"","family":"Lyons","given":"Paul D.","non-dropping-particle":"","parse-names":false,"suffix":""},{"dropping-particle":"","family":"Taylor","given":"Adam","non-dropping-particle":"","parse-names":false,"suffix":""},{"dropping-particle":"","family":"Roberts","given":"Claire","non-dropping-particle":"","parse-names":false,"suffix":""},{"dropping-particle":"","family":"Sommerville","given":"Kenneth","non-dropping-particle":"","parse-names":false,"suffix":""},{"dropping-particle":"","family":"Gunning","given":"Boudewjin","non-dropping-particle":"","parse-names":false,"suffix":""},{"dropping-particle":"","family":"Gawlowicz","given":"Jacek","non-dropping-particle":"","parse-names":false,"suffix":""},{"dropping-particle":"","family":"Lisewski","given":"Pawel","non-dropping-particle":"","parse-names":false,"suffix":""},{"dropping-particle":"","family":"Mitosek Szewczyk","given":"Krystyna","non-dropping-particle":"","parse-names":false,"suffix":""},{"dropping-particle":"","family":"Steinborn","given":"Barbara","non-dropping-particle":"","parse-names":false,"suffix":""},{"dropping-particle":"","family":"Zolnowska","given":"Marta","non-dropping-particle":"","parse-names":false,"suffix":""},{"dropping-particle":"","family":"Hughes","given":"Elaine","non-dropping-particle":"","parse-names":false,"suffix":""},{"dropping-particle":"","family":"McLellan","given":"Ailsa","non-dropping-particle":"","parse-names":false,"suffix":""},{"dropping-particle":"","family":"Benbadis","given":"Selim R.","non-dropping-particle":"","parse-names":false,"suffix":""},{"dropping-particle":"","family":"Ciliberto","given":"Michael","non-dropping-particle":"","parse-names":false,"suffix":""},{"dropping-particle":"","family":"Clark","given":"Gary","non-dropping-particle":"","parse-names":false,"suffix":""},{"dropping-particle":"","family":"Dlugos","given":"Dennis","non-dropping-particle":"","parse-names":false,"suffix":""},{"dropping-particle":"","family":"Filloux","given":"Francis","non-dropping-particle":"","parse-names":false,"suffix":""},{"dropping-particle":"","family":"Flamini","given":"Robert","non-dropping-particle":"","parse-names":false,"suffix":""},{"dropping-particle":"","family":"French","given":"Jacqueline A.","non-dropping-particle":"","parse-names":false,"suffix":""},{"dropping-particle":"","family":"Frost","given":"Michael","non-dropping-particle":"","parse-names":false,"suffix":""},{"dropping-particle":"","family":"Haut","given":"Sheryl","non-dropping-particle":"","parse-names":false,"suffix":""},{"dropping-particle":"","family":"Joshi","given":"Charuta","non-dropping-particle":"","parse-names":false,"suffix":""},{"dropping-particle":"","family":"Kapoor","given":"Siddarth","non-dropping-particle":"","parse-names":false,"suffix":""},{"dropping-particle":"","family":"Kessler","given":"Sudha","non-dropping-particle":"","parse-names":false,"suffix":""},{"dropping-particle":"","family":"Laux","given":"Linda","non-dropping-particle":"","parse-names":false,"suffix":""},{"dropping-particle":"","family":"Lyons","given":"Paul D.","non-dropping-particle":"","parse-names":false,"suffix":""},{"dropping-particle":"","family":"Marsh","given":"Eric D.","non-dropping-particle":"","parse-names":false,"suffix":""},{"dropping-particle":"","family":"Moore","given":"David","non-dropping-particle":"","parse-names":false,"suffix":""},{"dropping-particle":"","family":"Morse","given":"Richard","non-dropping-particle":"","parse-names":false,"suffix":""},{"dropping-particle":"","family":"Nagaraddi","given":"Venkatesh","non-dropping-particle":"","parse-names":false,"suffix":""},{"dropping-particle":"","family":"Rosenfeld","given":"William","non-dropping-particle":"","parse-names":false,"suffix":""},{"dropping-particle":"","family":"Seltzer","given":"Laurie","non-dropping-particle":"","parse-names":false,"suffix":""},{"dropping-particle":"","family":"Shellhaas","given":"Renée","non-dropping-particle":"","parse-names":false,"suffix":""},{"dropping-particle":"","family":"Thiele","given":"Elizabeth A.","non-dropping-particle":"","parse-names":false,"suffix":""},{"dropping-particle":"","family":"Thio","given":"Liu Lin","non-dropping-particle":"","parse-names":false,"suffix":""},{"dropping-particle":"","family":"Wang","given":"David","non-dropping-particle":"","parse-names":false,"suffix":""},{"dropping-particle":"","family":"Wilfong","given":"Angus","non-dropping-particle":"","parse-names":false,"suffix":""}],"container-title":"The Lancet","id":"ITEM-1","issue":"10125","issued":{"date-parts":[["2018","1","1"]]},"page":"1085-1096","publisher":"Lancet Publishing Group","title":"Cannabidiol in patients with seizures associated with Lennox-Gastaut syndrome (GWPCARE4): a randomised, double-blind, placebo-controlled phase 3 trial","type":"article-journal","volume":"391"},"uris":["http://www.mendeley.com/documents/?uuid=85d8734c-4855-4c97-9a6a-236c24a89cf5"]}],"mendeley":{"formattedCitation":"(9)","plainTextFormattedCitation":"(9)","previouslyFormattedCitation":"(9)"},"properties":{"noteIndex":0},"schema":"https://github.com/citation-style-language/schema/raw/master/csl-citation.json"}</w:instrText>
            </w:r>
            <w:r w:rsidRPr="00DB55B4">
              <w:rPr>
                <w:rFonts w:eastAsia="Arial" w:cs="Times New Roman"/>
                <w:b/>
                <w:bCs/>
                <w:i/>
                <w:iCs/>
                <w:color w:val="000000"/>
                <w:sz w:val="12"/>
                <w:szCs w:val="12"/>
              </w:rPr>
              <w:fldChar w:fldCharType="separate"/>
            </w:r>
            <w:r w:rsidRPr="006F499D">
              <w:rPr>
                <w:rFonts w:eastAsia="Arial" w:cs="Times New Roman"/>
                <w:bCs/>
                <w:iCs/>
                <w:noProof/>
                <w:color w:val="000000"/>
                <w:sz w:val="12"/>
                <w:szCs w:val="12"/>
              </w:rPr>
              <w:t>(9)</w:t>
            </w:r>
            <w:r w:rsidRPr="00DB55B4">
              <w:rPr>
                <w:rFonts w:eastAsia="Arial" w:cs="Times New Roman"/>
                <w:b/>
                <w:bCs/>
                <w:i/>
                <w:iCs/>
                <w:color w:val="000000"/>
                <w:sz w:val="12"/>
                <w:szCs w:val="12"/>
              </w:rPr>
              <w:fldChar w:fldCharType="end"/>
            </w:r>
          </w:p>
        </w:tc>
        <w:tc>
          <w:tcPr>
            <w:tcW w:w="992" w:type="dxa"/>
            <w:tcBorders>
              <w:top w:val="single" w:sz="12" w:space="0" w:color="000000"/>
              <w:bottom w:val="single" w:sz="4" w:space="0" w:color="auto"/>
              <w:right w:val="single" w:sz="4" w:space="0" w:color="auto"/>
            </w:tcBorders>
            <w:shd w:val="clear" w:color="auto" w:fill="E7E6E6"/>
            <w:noWrap/>
            <w:tcMar>
              <w:left w:w="0" w:type="dxa"/>
              <w:right w:w="0" w:type="dxa"/>
            </w:tcMar>
            <w:vAlign w:val="center"/>
          </w:tcPr>
          <w:p w14:paraId="34805306" w14:textId="77777777" w:rsidR="00591A66" w:rsidRPr="00DB55B4" w:rsidRDefault="00591A66" w:rsidP="00591A66">
            <w:pPr>
              <w:spacing w:before="0" w:after="0"/>
              <w:jc w:val="center"/>
              <w:rPr>
                <w:rFonts w:eastAsia="Arial" w:cs="Times New Roman"/>
                <w:b/>
                <w:bCs/>
                <w:i/>
                <w:iCs/>
                <w:color w:val="000000"/>
                <w:sz w:val="12"/>
                <w:szCs w:val="12"/>
              </w:rPr>
            </w:pPr>
            <w:r w:rsidRPr="00DB55B4">
              <w:rPr>
                <w:rFonts w:eastAsia="Arial" w:cs="Times New Roman"/>
                <w:b/>
                <w:bCs/>
                <w:i/>
                <w:iCs/>
                <w:color w:val="000000"/>
                <w:sz w:val="12"/>
                <w:szCs w:val="12"/>
              </w:rPr>
              <w:t>Thiele</w:t>
            </w:r>
          </w:p>
          <w:p w14:paraId="39FDEDD6" w14:textId="77777777" w:rsidR="00591A66" w:rsidRDefault="00591A66" w:rsidP="00591A66">
            <w:pPr>
              <w:spacing w:before="0" w:after="0"/>
              <w:jc w:val="center"/>
              <w:rPr>
                <w:rFonts w:eastAsia="Arial" w:cs="Times New Roman"/>
                <w:b/>
                <w:bCs/>
                <w:i/>
                <w:iCs/>
                <w:color w:val="000000"/>
                <w:sz w:val="12"/>
                <w:szCs w:val="12"/>
                <w:vertAlign w:val="superscript"/>
              </w:rPr>
            </w:pPr>
            <w:r w:rsidRPr="00DB55B4">
              <w:rPr>
                <w:rFonts w:eastAsia="Arial" w:cs="Times New Roman"/>
                <w:b/>
                <w:bCs/>
                <w:i/>
                <w:iCs/>
                <w:color w:val="000000"/>
                <w:sz w:val="12"/>
                <w:szCs w:val="12"/>
              </w:rPr>
              <w:t>2019</w:t>
            </w:r>
          </w:p>
          <w:p w14:paraId="11B5625B" w14:textId="5D9A10B8"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vertAlign w:val="superscript"/>
              </w:rPr>
              <w:fldChar w:fldCharType="begin" w:fldLock="1"/>
            </w:r>
            <w:r>
              <w:rPr>
                <w:rFonts w:eastAsia="Arial" w:cs="Times New Roman"/>
                <w:b/>
                <w:bCs/>
                <w:i/>
                <w:iCs/>
                <w:color w:val="000000"/>
                <w:sz w:val="12"/>
                <w:szCs w:val="12"/>
                <w:vertAlign w:val="superscript"/>
              </w:rPr>
              <w:instrText>ADDIN CSL_CITATION {"citationItems":[{"id":"ITEM-1","itemData":{"DOI":"10.1111/epi.14670","ISSN":"15281167","abstract":"Objective: Patients with Lennox-Gastaut syndrome (LGS) who completed 1 of 2 randomized, double-blind, placebo-controlled trials of add-on cannabidiol (CBD) (GWPCARE3, NCT02224560 or GWPCARE4, NCT02224690) were invited to enroll in an open-label extension (OLE) study evaluating the long-term safety and efficacy of CBD (GWPCARE5, NCT02224573). Herein we present an interim analysis of the safety, efficacy, and patient-reported outcomes from this trial. Methods: Patients received a pharmaceutical formulation of highly purified CBD oral solution (Epidiolex; 100 mg/mL), titrated from 2.5 to 20 mg/kg/d over a 2-week titration period, in addition to their existing medications. Doses could be reduced if not tolerated or increased up to 30 mg/kg/d if thought to be of benefit. Results: This interim analysis was based on a November 2016 data cut. Of 368 patients who completed treatment in GWPCARE3 and GWPCARE4, 366 (99.5%) enrolled in the OLE study (GWPCARE5). Median treatment duration was 38 weeks at a mean modal dose of 23 mg/kg/d. Most patients (92.1%) experienced adverse events (AEs), primarily of mild (32.5%) or moderate (43.4%) severity. The most common AEs were diarrhea (26.8%), somnolence (23.5%), and convulsion (21.3%). Thirty-five patients (9.6%) discontinued treatment due to AEs. Liver transaminase elevations were reported in 37 patients (10.1%), of whom 29 were receiving concomitant valproic acid; 34 cases resolved spontaneously or with dose modification of CBD or concomitant medication. Median reduction from baseline in drop seizure frequency (quantified monthly over 12-week periods) ranged from 48% to 60% through week 48. Median reduction in monthly total seizure frequency ranged from 48% to 57% across all 12-week periods through week 48. Eighty-eight percent of patients/caregivers reported an improvement in the patient's overall condition per the Subject/Caregiver Global Impression of Change scale. Significance: In this study, long-term add-on CBD treatment had an acceptable safety profile in patients with LGS and led to sustained reductions in seizures.","author":[{"dropping-particle":"","family":"Thiele","given":"Elizabeth","non-dropping-particle":"","parse-names":false,"suffix":""},{"dropping-particle":"","family":"Marsh","given":"Eric","non-dropping-particle":"","parse-names":false,"suffix":""},{"dropping-particle":"","family":"Mazurkiewicz-Beldzinska","given":"Maria","non-dropping-particle":"","parse-names":false,"suffix":""},{"dropping-particle":"","family":"Halford","given":"Jonathan J.","non-dropping-particle":"","parse-names":false,"suffix":""},{"dropping-particle":"","family":"Gunning","given":"Boudewijn","non-dropping-particle":"","parse-names":false,"suffix":""},{"dropping-particle":"","family":"Devinsky","given":"Orrin","non-dropping-particle":"","parse-names":false,"suffix":""},{"dropping-particle":"","family":"Checketts","given":"Daniel","non-dropping-particle":"","parse-names":false,"suffix":""},{"dropping-particle":"","family":"Roberts","given":"Claire","non-dropping-particle":"","parse-names":false,"suffix":""}],"container-title":"Epilepsia","id":"ITEM-1","issue":"3","issued":{"date-parts":[["2019"]]},"page":"419-428","title":"Cannabidiol in patients with Lennox-Gastaut syndrome: Interim analysis of an open-label extension study","type":"article-journal","volume":"60"},"uris":["http://www.mendeley.com/documents/?uuid=08254421-45a9-4708-85aa-ab7ba53ba1d1"]}],"mendeley":{"formattedCitation":"(10)","plainTextFormattedCitation":"(10)","previouslyFormattedCitation":"(10)"},"properties":{"noteIndex":0},"schema":"https://github.com/citation-style-language/schema/raw/master/csl-citation.json"}</w:instrText>
            </w:r>
            <w:r w:rsidRPr="00DB55B4">
              <w:rPr>
                <w:rFonts w:eastAsia="Arial" w:cs="Times New Roman"/>
                <w:b/>
                <w:bCs/>
                <w:i/>
                <w:iCs/>
                <w:color w:val="000000"/>
                <w:sz w:val="12"/>
                <w:szCs w:val="12"/>
                <w:vertAlign w:val="superscript"/>
              </w:rPr>
              <w:fldChar w:fldCharType="separate"/>
            </w:r>
            <w:r w:rsidRPr="006F499D">
              <w:rPr>
                <w:rFonts w:eastAsia="Arial" w:cs="Times New Roman"/>
                <w:bCs/>
                <w:iCs/>
                <w:noProof/>
                <w:color w:val="000000"/>
                <w:sz w:val="12"/>
                <w:szCs w:val="12"/>
              </w:rPr>
              <w:t>(10)</w:t>
            </w:r>
            <w:r w:rsidRPr="00DB55B4">
              <w:rPr>
                <w:rFonts w:eastAsia="Arial" w:cs="Times New Roman"/>
                <w:b/>
                <w:bCs/>
                <w:i/>
                <w:iCs/>
                <w:color w:val="000000"/>
                <w:sz w:val="12"/>
                <w:szCs w:val="12"/>
                <w:vertAlign w:val="superscript"/>
              </w:rPr>
              <w:fldChar w:fldCharType="end"/>
            </w:r>
          </w:p>
        </w:tc>
        <w:tc>
          <w:tcPr>
            <w:tcW w:w="992" w:type="dxa"/>
            <w:tcBorders>
              <w:top w:val="single" w:sz="12" w:space="0" w:color="000000"/>
              <w:bottom w:val="single" w:sz="4" w:space="0" w:color="auto"/>
              <w:right w:val="single" w:sz="12" w:space="0" w:color="000000"/>
            </w:tcBorders>
            <w:shd w:val="clear" w:color="auto" w:fill="E7E6E6"/>
            <w:tcMar>
              <w:left w:w="0" w:type="dxa"/>
              <w:right w:w="0" w:type="dxa"/>
            </w:tcMar>
            <w:vAlign w:val="center"/>
          </w:tcPr>
          <w:p w14:paraId="768B09B5" w14:textId="7A8044D9" w:rsidR="00591A66" w:rsidRPr="00DB55B4" w:rsidRDefault="00591A66" w:rsidP="00591A66">
            <w:pPr>
              <w:spacing w:before="0" w:after="0"/>
              <w:jc w:val="center"/>
              <w:rPr>
                <w:rFonts w:eastAsia="Calibri" w:cs="Times New Roman"/>
                <w:b/>
                <w:bCs/>
                <w:i/>
                <w:iCs/>
                <w:sz w:val="12"/>
                <w:szCs w:val="12"/>
              </w:rPr>
            </w:pPr>
            <w:r w:rsidRPr="00DB55B4">
              <w:rPr>
                <w:rFonts w:eastAsia="Arial" w:cs="Times New Roman"/>
                <w:b/>
                <w:bCs/>
                <w:i/>
                <w:iCs/>
                <w:color w:val="000000"/>
                <w:sz w:val="12"/>
                <w:szCs w:val="12"/>
              </w:rPr>
              <w:t>Our study</w:t>
            </w:r>
          </w:p>
        </w:tc>
      </w:tr>
      <w:tr w:rsidR="00DB55B4" w:rsidRPr="00DB55B4" w14:paraId="7546A65A" w14:textId="77777777" w:rsidTr="00591A66">
        <w:trPr>
          <w:trHeight w:val="300"/>
          <w:jc w:val="center"/>
        </w:trPr>
        <w:tc>
          <w:tcPr>
            <w:tcW w:w="1387" w:type="dxa"/>
            <w:tcBorders>
              <w:right w:val="single" w:sz="12" w:space="0" w:color="000000"/>
            </w:tcBorders>
            <w:noWrap/>
            <w:vAlign w:val="center"/>
            <w:hideMark/>
          </w:tcPr>
          <w:p w14:paraId="5C2288D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Number of patients</w:t>
            </w:r>
          </w:p>
        </w:tc>
        <w:tc>
          <w:tcPr>
            <w:tcW w:w="992" w:type="dxa"/>
            <w:tcBorders>
              <w:left w:val="single" w:sz="12" w:space="0" w:color="000000"/>
            </w:tcBorders>
            <w:noWrap/>
            <w:tcMar>
              <w:left w:w="0" w:type="dxa"/>
              <w:right w:w="0" w:type="dxa"/>
            </w:tcMar>
            <w:vAlign w:val="center"/>
            <w:hideMark/>
          </w:tcPr>
          <w:p w14:paraId="33E8FA2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137</w:t>
            </w:r>
          </w:p>
        </w:tc>
        <w:tc>
          <w:tcPr>
            <w:tcW w:w="992" w:type="dxa"/>
            <w:tcMar>
              <w:left w:w="0" w:type="dxa"/>
              <w:right w:w="0" w:type="dxa"/>
            </w:tcMar>
            <w:vAlign w:val="center"/>
          </w:tcPr>
          <w:p w14:paraId="0BD14D5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580</w:t>
            </w:r>
          </w:p>
        </w:tc>
        <w:tc>
          <w:tcPr>
            <w:tcW w:w="992" w:type="dxa"/>
            <w:vAlign w:val="center"/>
          </w:tcPr>
          <w:p w14:paraId="778FB0C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147</w:t>
            </w:r>
          </w:p>
        </w:tc>
        <w:tc>
          <w:tcPr>
            <w:tcW w:w="992" w:type="dxa"/>
            <w:tcBorders>
              <w:right w:val="single" w:sz="12" w:space="0" w:color="000000"/>
            </w:tcBorders>
            <w:tcMar>
              <w:left w:w="0" w:type="dxa"/>
              <w:right w:w="0" w:type="dxa"/>
            </w:tcMar>
            <w:vAlign w:val="center"/>
          </w:tcPr>
          <w:p w14:paraId="5E7EB84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125</w:t>
            </w:r>
          </w:p>
        </w:tc>
        <w:tc>
          <w:tcPr>
            <w:tcW w:w="992" w:type="dxa"/>
            <w:tcBorders>
              <w:left w:val="single" w:sz="12" w:space="0" w:color="000000"/>
            </w:tcBorders>
            <w:noWrap/>
            <w:tcMar>
              <w:left w:w="0" w:type="dxa"/>
              <w:right w:w="0" w:type="dxa"/>
            </w:tcMar>
            <w:vAlign w:val="center"/>
            <w:hideMark/>
          </w:tcPr>
          <w:p w14:paraId="3E6FABB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61</w:t>
            </w:r>
          </w:p>
        </w:tc>
        <w:tc>
          <w:tcPr>
            <w:tcW w:w="992" w:type="dxa"/>
            <w:tcMar>
              <w:left w:w="0" w:type="dxa"/>
              <w:right w:w="0" w:type="dxa"/>
            </w:tcMar>
            <w:vAlign w:val="center"/>
          </w:tcPr>
          <w:p w14:paraId="5D1A9ED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104</w:t>
            </w:r>
          </w:p>
        </w:tc>
        <w:tc>
          <w:tcPr>
            <w:tcW w:w="992" w:type="dxa"/>
            <w:tcMar>
              <w:left w:w="0" w:type="dxa"/>
              <w:right w:w="0" w:type="dxa"/>
            </w:tcMar>
            <w:vAlign w:val="center"/>
          </w:tcPr>
          <w:p w14:paraId="614C430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67</w:t>
            </w:r>
          </w:p>
          <w:p w14:paraId="45B4EBE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67</w:t>
            </w:r>
          </w:p>
        </w:tc>
        <w:tc>
          <w:tcPr>
            <w:tcW w:w="992" w:type="dxa"/>
            <w:tcBorders>
              <w:right w:val="single" w:sz="12" w:space="0" w:color="000000"/>
            </w:tcBorders>
            <w:tcMar>
              <w:left w:w="0" w:type="dxa"/>
              <w:right w:w="0" w:type="dxa"/>
            </w:tcMar>
            <w:vAlign w:val="center"/>
          </w:tcPr>
          <w:p w14:paraId="48CA5D1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48</w:t>
            </w:r>
          </w:p>
        </w:tc>
        <w:tc>
          <w:tcPr>
            <w:tcW w:w="992" w:type="dxa"/>
            <w:tcBorders>
              <w:left w:val="single" w:sz="12" w:space="0" w:color="000000"/>
            </w:tcBorders>
            <w:tcMar>
              <w:left w:w="0" w:type="dxa"/>
              <w:right w:w="0" w:type="dxa"/>
            </w:tcMar>
            <w:vAlign w:val="center"/>
          </w:tcPr>
          <w:p w14:paraId="1661742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73</w:t>
            </w:r>
          </w:p>
          <w:p w14:paraId="33B2A6C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76</w:t>
            </w:r>
          </w:p>
        </w:tc>
        <w:tc>
          <w:tcPr>
            <w:tcW w:w="992" w:type="dxa"/>
            <w:tcMar>
              <w:left w:w="0" w:type="dxa"/>
              <w:right w:w="0" w:type="dxa"/>
            </w:tcMar>
            <w:vAlign w:val="center"/>
          </w:tcPr>
          <w:p w14:paraId="67B4341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86</w:t>
            </w:r>
          </w:p>
        </w:tc>
        <w:tc>
          <w:tcPr>
            <w:tcW w:w="992" w:type="dxa"/>
            <w:noWrap/>
            <w:tcMar>
              <w:left w:w="0" w:type="dxa"/>
              <w:right w:w="0" w:type="dxa"/>
            </w:tcMar>
            <w:vAlign w:val="center"/>
            <w:hideMark/>
          </w:tcPr>
          <w:p w14:paraId="073F71D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366</w:t>
            </w:r>
          </w:p>
        </w:tc>
        <w:tc>
          <w:tcPr>
            <w:tcW w:w="992" w:type="dxa"/>
            <w:tcBorders>
              <w:right w:val="single" w:sz="12" w:space="0" w:color="000000"/>
            </w:tcBorders>
            <w:tcMar>
              <w:left w:w="0" w:type="dxa"/>
              <w:right w:w="0" w:type="dxa"/>
            </w:tcMar>
            <w:vAlign w:val="center"/>
          </w:tcPr>
          <w:p w14:paraId="27FECE8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62</w:t>
            </w:r>
          </w:p>
        </w:tc>
      </w:tr>
      <w:tr w:rsidR="00DB55B4" w:rsidRPr="00DB55B4" w14:paraId="1B06ADBD" w14:textId="77777777" w:rsidTr="00591A66">
        <w:trPr>
          <w:trHeight w:val="300"/>
          <w:jc w:val="center"/>
        </w:trPr>
        <w:tc>
          <w:tcPr>
            <w:tcW w:w="1387" w:type="dxa"/>
            <w:tcBorders>
              <w:right w:val="single" w:sz="12" w:space="0" w:color="000000"/>
            </w:tcBorders>
            <w:noWrap/>
            <w:vAlign w:val="center"/>
            <w:hideMark/>
          </w:tcPr>
          <w:p w14:paraId="3268AE3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CBD dose</w:t>
            </w:r>
          </w:p>
          <w:p w14:paraId="74EFBCC1" w14:textId="77777777" w:rsidR="00DB55B4" w:rsidRPr="00DB55B4" w:rsidRDefault="00DB55B4" w:rsidP="00591A66">
            <w:pPr>
              <w:spacing w:before="0" w:after="0"/>
              <w:jc w:val="center"/>
              <w:rPr>
                <w:rFonts w:eastAsia="Calibri" w:cs="Times New Roman"/>
                <w:b/>
                <w:bCs/>
                <w:sz w:val="12"/>
                <w:szCs w:val="12"/>
              </w:rPr>
            </w:pPr>
            <w:r w:rsidRPr="00DB55B4">
              <w:rPr>
                <w:rFonts w:eastAsia="Calibri" w:cs="Times New Roman"/>
                <w:sz w:val="12"/>
                <w:szCs w:val="12"/>
              </w:rPr>
              <w:t>mean/median</w:t>
            </w:r>
          </w:p>
        </w:tc>
        <w:tc>
          <w:tcPr>
            <w:tcW w:w="992" w:type="dxa"/>
            <w:tcBorders>
              <w:left w:val="single" w:sz="12" w:space="0" w:color="000000"/>
            </w:tcBorders>
            <w:noWrap/>
            <w:tcMar>
              <w:left w:w="0" w:type="dxa"/>
              <w:right w:w="0" w:type="dxa"/>
            </w:tcMar>
            <w:vAlign w:val="center"/>
            <w:hideMark/>
          </w:tcPr>
          <w:p w14:paraId="2C293D5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22.7 mg/kg/d</w:t>
            </w:r>
          </w:p>
          <w:p w14:paraId="4522E49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 8.5)</w:t>
            </w:r>
          </w:p>
        </w:tc>
        <w:tc>
          <w:tcPr>
            <w:tcW w:w="992" w:type="dxa"/>
            <w:tcMar>
              <w:left w:w="0" w:type="dxa"/>
              <w:right w:w="0" w:type="dxa"/>
            </w:tcMar>
            <w:vAlign w:val="center"/>
          </w:tcPr>
          <w:p w14:paraId="66A807E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25 mg/kg/d</w:t>
            </w:r>
          </w:p>
        </w:tc>
        <w:tc>
          <w:tcPr>
            <w:tcW w:w="992" w:type="dxa"/>
            <w:vAlign w:val="center"/>
          </w:tcPr>
          <w:p w14:paraId="57436E8C" w14:textId="77777777" w:rsidR="00DB55B4" w:rsidRPr="00DB55B4" w:rsidRDefault="00DB55B4" w:rsidP="00591A66">
            <w:pPr>
              <w:spacing w:before="0" w:after="0"/>
              <w:jc w:val="center"/>
              <w:rPr>
                <w:rFonts w:eastAsia="Arial" w:cs="Times New Roman"/>
                <w:color w:val="000000"/>
                <w:sz w:val="12"/>
                <w:szCs w:val="12"/>
              </w:rPr>
            </w:pPr>
            <w:r w:rsidRPr="00DB55B4">
              <w:rPr>
                <w:rFonts w:eastAsia="Calibri" w:cs="Times New Roman"/>
                <w:sz w:val="12"/>
                <w:szCs w:val="12"/>
              </w:rPr>
              <w:t>25 mg/kg/d</w:t>
            </w:r>
          </w:p>
        </w:tc>
        <w:tc>
          <w:tcPr>
            <w:tcW w:w="992" w:type="dxa"/>
            <w:tcBorders>
              <w:right w:val="single" w:sz="12" w:space="0" w:color="000000"/>
            </w:tcBorders>
            <w:tcMar>
              <w:left w:w="0" w:type="dxa"/>
              <w:right w:w="0" w:type="dxa"/>
            </w:tcMar>
            <w:vAlign w:val="center"/>
          </w:tcPr>
          <w:p w14:paraId="50F4DDF4" w14:textId="77777777" w:rsidR="00DB55B4" w:rsidRPr="00DB55B4" w:rsidRDefault="00DB55B4" w:rsidP="00591A66">
            <w:pPr>
              <w:spacing w:before="0" w:after="0"/>
              <w:jc w:val="center"/>
              <w:rPr>
                <w:rFonts w:eastAsia="Calibri" w:cs="Times New Roman"/>
                <w:sz w:val="12"/>
                <w:szCs w:val="12"/>
              </w:rPr>
            </w:pPr>
            <w:r w:rsidRPr="00DB55B4">
              <w:rPr>
                <w:rFonts w:eastAsia="Arial" w:cs="Times New Roman"/>
                <w:color w:val="000000"/>
                <w:sz w:val="12"/>
                <w:szCs w:val="12"/>
              </w:rPr>
              <w:t>13.5 ± 4.2 mg/kg/d</w:t>
            </w:r>
          </w:p>
        </w:tc>
        <w:tc>
          <w:tcPr>
            <w:tcW w:w="992" w:type="dxa"/>
            <w:tcBorders>
              <w:left w:val="single" w:sz="12" w:space="0" w:color="000000"/>
            </w:tcBorders>
            <w:noWrap/>
            <w:tcMar>
              <w:left w:w="0" w:type="dxa"/>
              <w:right w:w="0" w:type="dxa"/>
            </w:tcMar>
            <w:vAlign w:val="center"/>
            <w:hideMark/>
          </w:tcPr>
          <w:p w14:paraId="5CF3C576"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20 mg/kg/d</w:t>
            </w:r>
          </w:p>
        </w:tc>
        <w:tc>
          <w:tcPr>
            <w:tcW w:w="992" w:type="dxa"/>
            <w:tcMar>
              <w:left w:w="0" w:type="dxa"/>
              <w:right w:w="0" w:type="dxa"/>
            </w:tcMar>
            <w:vAlign w:val="center"/>
          </w:tcPr>
          <w:p w14:paraId="0EEB285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21 mg/kg/d</w:t>
            </w:r>
          </w:p>
        </w:tc>
        <w:tc>
          <w:tcPr>
            <w:tcW w:w="992" w:type="dxa"/>
            <w:tcMar>
              <w:left w:w="0" w:type="dxa"/>
              <w:right w:w="0" w:type="dxa"/>
            </w:tcMar>
            <w:vAlign w:val="center"/>
          </w:tcPr>
          <w:p w14:paraId="6E768D3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10 mg/kg/d,</w:t>
            </w:r>
          </w:p>
          <w:p w14:paraId="551405AA" w14:textId="77777777" w:rsidR="00DB55B4" w:rsidRPr="00DB55B4" w:rsidRDefault="00DB55B4" w:rsidP="00591A66">
            <w:pPr>
              <w:spacing w:before="0" w:after="0"/>
              <w:jc w:val="center"/>
              <w:rPr>
                <w:rFonts w:eastAsia="Arial" w:cs="Times New Roman"/>
                <w:color w:val="000000"/>
                <w:sz w:val="12"/>
                <w:szCs w:val="12"/>
              </w:rPr>
            </w:pPr>
            <w:r w:rsidRPr="00DB55B4">
              <w:rPr>
                <w:rFonts w:eastAsia="Calibri" w:cs="Times New Roman"/>
                <w:sz w:val="12"/>
                <w:szCs w:val="12"/>
              </w:rPr>
              <w:t>20 mg/kg/d</w:t>
            </w:r>
          </w:p>
        </w:tc>
        <w:tc>
          <w:tcPr>
            <w:tcW w:w="992" w:type="dxa"/>
            <w:tcBorders>
              <w:right w:val="single" w:sz="12" w:space="0" w:color="000000"/>
            </w:tcBorders>
            <w:tcMar>
              <w:left w:w="0" w:type="dxa"/>
              <w:right w:w="0" w:type="dxa"/>
            </w:tcMar>
            <w:vAlign w:val="center"/>
          </w:tcPr>
          <w:p w14:paraId="7C2A3BAC" w14:textId="77777777" w:rsidR="00DB55B4" w:rsidRPr="00DB55B4" w:rsidRDefault="00DB55B4" w:rsidP="00591A66">
            <w:pPr>
              <w:spacing w:before="0" w:after="0"/>
              <w:jc w:val="center"/>
              <w:rPr>
                <w:rFonts w:eastAsia="Calibri" w:cs="Times New Roman"/>
                <w:sz w:val="12"/>
                <w:szCs w:val="12"/>
              </w:rPr>
            </w:pPr>
            <w:r w:rsidRPr="00DB55B4">
              <w:rPr>
                <w:rFonts w:eastAsia="Arial" w:cs="Times New Roman"/>
                <w:color w:val="000000"/>
                <w:sz w:val="12"/>
                <w:szCs w:val="12"/>
              </w:rPr>
              <w:t>14 ± 3.6 mg/kg/d</w:t>
            </w:r>
          </w:p>
        </w:tc>
        <w:tc>
          <w:tcPr>
            <w:tcW w:w="992" w:type="dxa"/>
            <w:tcBorders>
              <w:left w:val="single" w:sz="12" w:space="0" w:color="000000"/>
            </w:tcBorders>
            <w:tcMar>
              <w:left w:w="0" w:type="dxa"/>
              <w:right w:w="0" w:type="dxa"/>
            </w:tcMar>
            <w:vAlign w:val="center"/>
          </w:tcPr>
          <w:p w14:paraId="7B402B6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10 mg/kg/d,</w:t>
            </w:r>
          </w:p>
          <w:p w14:paraId="67CEA47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20 mg/kg/d</w:t>
            </w:r>
          </w:p>
        </w:tc>
        <w:tc>
          <w:tcPr>
            <w:tcW w:w="992" w:type="dxa"/>
            <w:tcMar>
              <w:left w:w="0" w:type="dxa"/>
              <w:right w:w="0" w:type="dxa"/>
            </w:tcMar>
            <w:vAlign w:val="center"/>
          </w:tcPr>
          <w:p w14:paraId="7D88B8D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20 mg/kg/d</w:t>
            </w:r>
          </w:p>
        </w:tc>
        <w:tc>
          <w:tcPr>
            <w:tcW w:w="992" w:type="dxa"/>
            <w:noWrap/>
            <w:tcMar>
              <w:left w:w="0" w:type="dxa"/>
              <w:right w:w="0" w:type="dxa"/>
            </w:tcMar>
            <w:vAlign w:val="center"/>
            <w:hideMark/>
          </w:tcPr>
          <w:p w14:paraId="01288FE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22.8 mg/kg/d</w:t>
            </w:r>
          </w:p>
          <w:p w14:paraId="0C25BC4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 8.5)</w:t>
            </w:r>
          </w:p>
        </w:tc>
        <w:tc>
          <w:tcPr>
            <w:tcW w:w="992" w:type="dxa"/>
            <w:tcBorders>
              <w:right w:val="single" w:sz="12" w:space="0" w:color="000000"/>
            </w:tcBorders>
            <w:tcMar>
              <w:left w:w="0" w:type="dxa"/>
              <w:right w:w="0" w:type="dxa"/>
            </w:tcMar>
            <w:vAlign w:val="center"/>
          </w:tcPr>
          <w:p w14:paraId="1EB4D972" w14:textId="77777777" w:rsidR="00DB55B4" w:rsidRPr="00DB55B4" w:rsidRDefault="00DB55B4" w:rsidP="00591A66">
            <w:pPr>
              <w:spacing w:before="0" w:after="0"/>
              <w:jc w:val="center"/>
              <w:rPr>
                <w:rFonts w:eastAsia="Calibri" w:cs="Times New Roman"/>
                <w:sz w:val="12"/>
                <w:szCs w:val="12"/>
              </w:rPr>
            </w:pPr>
            <w:r w:rsidRPr="00DB55B4">
              <w:rPr>
                <w:rFonts w:eastAsia="Arial" w:cs="Times New Roman"/>
                <w:color w:val="000000"/>
                <w:sz w:val="12"/>
                <w:szCs w:val="12"/>
              </w:rPr>
              <w:t>13.1 ± 4.5 mg/kg/d</w:t>
            </w:r>
          </w:p>
        </w:tc>
      </w:tr>
      <w:tr w:rsidR="00DB55B4" w:rsidRPr="00DB55B4" w14:paraId="1B5D7254" w14:textId="77777777" w:rsidTr="00591A66">
        <w:trPr>
          <w:trHeight w:val="300"/>
          <w:jc w:val="center"/>
        </w:trPr>
        <w:tc>
          <w:tcPr>
            <w:tcW w:w="1387" w:type="dxa"/>
            <w:tcBorders>
              <w:right w:val="single" w:sz="12" w:space="0" w:color="000000"/>
            </w:tcBorders>
            <w:noWrap/>
            <w:vAlign w:val="center"/>
            <w:hideMark/>
          </w:tcPr>
          <w:p w14:paraId="6A43FA2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CONVULSIVE</w:t>
            </w:r>
          </w:p>
          <w:p w14:paraId="4CE054C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seizures</w:t>
            </w:r>
          </w:p>
        </w:tc>
        <w:tc>
          <w:tcPr>
            <w:tcW w:w="992" w:type="dxa"/>
            <w:tcBorders>
              <w:left w:val="single" w:sz="12" w:space="0" w:color="000000"/>
            </w:tcBorders>
            <w:noWrap/>
            <w:tcMar>
              <w:left w:w="0" w:type="dxa"/>
              <w:right w:w="0" w:type="dxa"/>
            </w:tcMar>
            <w:vAlign w:val="center"/>
            <w:hideMark/>
          </w:tcPr>
          <w:p w14:paraId="5520B3F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62A5505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-51% (at 12 w)</w:t>
            </w:r>
          </w:p>
        </w:tc>
        <w:tc>
          <w:tcPr>
            <w:tcW w:w="992" w:type="dxa"/>
            <w:vAlign w:val="center"/>
          </w:tcPr>
          <w:p w14:paraId="7B070CB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Borders>
              <w:right w:val="single" w:sz="12" w:space="0" w:color="000000"/>
            </w:tcBorders>
            <w:tcMar>
              <w:left w:w="0" w:type="dxa"/>
              <w:right w:w="0" w:type="dxa"/>
            </w:tcMar>
            <w:vAlign w:val="center"/>
          </w:tcPr>
          <w:p w14:paraId="58809C47" w14:textId="77777777" w:rsidR="00DB55B4" w:rsidRPr="00DB55B4" w:rsidRDefault="00DB55B4" w:rsidP="00591A66">
            <w:pPr>
              <w:spacing w:before="0" w:after="0"/>
              <w:jc w:val="center"/>
              <w:rPr>
                <w:rFonts w:eastAsia="Calibri" w:cs="Times New Roman"/>
                <w:sz w:val="12"/>
                <w:szCs w:val="12"/>
              </w:rPr>
            </w:pPr>
          </w:p>
        </w:tc>
        <w:tc>
          <w:tcPr>
            <w:tcW w:w="992" w:type="dxa"/>
            <w:tcBorders>
              <w:left w:val="single" w:sz="12" w:space="0" w:color="000000"/>
            </w:tcBorders>
            <w:noWrap/>
            <w:tcMar>
              <w:left w:w="0" w:type="dxa"/>
              <w:right w:w="0" w:type="dxa"/>
            </w:tcMar>
            <w:vAlign w:val="center"/>
            <w:hideMark/>
          </w:tcPr>
          <w:p w14:paraId="58F8461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-38.9 %</w:t>
            </w:r>
          </w:p>
          <w:p w14:paraId="47A64C6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[-69.5 to -4.8]</w:t>
            </w:r>
          </w:p>
        </w:tc>
        <w:tc>
          <w:tcPr>
            <w:tcW w:w="992" w:type="dxa"/>
            <w:tcMar>
              <w:left w:w="0" w:type="dxa"/>
              <w:right w:w="0" w:type="dxa"/>
            </w:tcMar>
            <w:vAlign w:val="center"/>
          </w:tcPr>
          <w:p w14:paraId="51CD058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-44% (37-48w)</w:t>
            </w:r>
          </w:p>
          <w:p w14:paraId="4159A8D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[-83 to -5]</w:t>
            </w:r>
          </w:p>
        </w:tc>
        <w:tc>
          <w:tcPr>
            <w:tcW w:w="992" w:type="dxa"/>
            <w:tcMar>
              <w:left w:w="0" w:type="dxa"/>
              <w:right w:w="0" w:type="dxa"/>
            </w:tcMar>
            <w:vAlign w:val="center"/>
          </w:tcPr>
          <w:p w14:paraId="27AE2A2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-48.7% (14w)</w:t>
            </w:r>
          </w:p>
          <w:p w14:paraId="5F94C86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-45.7% (14w)</w:t>
            </w:r>
          </w:p>
        </w:tc>
        <w:tc>
          <w:tcPr>
            <w:tcW w:w="992" w:type="dxa"/>
            <w:tcBorders>
              <w:right w:val="single" w:sz="12" w:space="0" w:color="000000"/>
            </w:tcBorders>
            <w:tcMar>
              <w:left w:w="0" w:type="dxa"/>
              <w:right w:w="0" w:type="dxa"/>
            </w:tcMar>
            <w:vAlign w:val="center"/>
          </w:tcPr>
          <w:p w14:paraId="69D9F3C2" w14:textId="77777777" w:rsidR="00DB55B4" w:rsidRPr="00DB55B4" w:rsidRDefault="00DB55B4" w:rsidP="00591A66">
            <w:pPr>
              <w:spacing w:before="0" w:after="0"/>
              <w:jc w:val="center"/>
              <w:rPr>
                <w:rFonts w:eastAsia="Calibri" w:cs="Times New Roman"/>
                <w:sz w:val="12"/>
                <w:szCs w:val="12"/>
              </w:rPr>
            </w:pPr>
          </w:p>
        </w:tc>
        <w:tc>
          <w:tcPr>
            <w:tcW w:w="992" w:type="dxa"/>
            <w:tcBorders>
              <w:left w:val="single" w:sz="12" w:space="0" w:color="000000"/>
            </w:tcBorders>
            <w:tcMar>
              <w:left w:w="0" w:type="dxa"/>
              <w:right w:w="0" w:type="dxa"/>
            </w:tcMar>
            <w:vAlign w:val="center"/>
          </w:tcPr>
          <w:p w14:paraId="6969447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0674BE7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noWrap/>
            <w:tcMar>
              <w:left w:w="0" w:type="dxa"/>
              <w:right w:w="0" w:type="dxa"/>
            </w:tcMar>
            <w:vAlign w:val="center"/>
            <w:hideMark/>
          </w:tcPr>
          <w:p w14:paraId="47BC5D6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Borders>
              <w:right w:val="single" w:sz="12" w:space="0" w:color="000000"/>
            </w:tcBorders>
            <w:tcMar>
              <w:left w:w="0" w:type="dxa"/>
              <w:right w:w="0" w:type="dxa"/>
            </w:tcMar>
            <w:vAlign w:val="center"/>
          </w:tcPr>
          <w:p w14:paraId="2059429E" w14:textId="77777777" w:rsidR="00DB55B4" w:rsidRPr="00DB55B4" w:rsidRDefault="00DB55B4" w:rsidP="00591A66">
            <w:pPr>
              <w:spacing w:before="0" w:after="0"/>
              <w:jc w:val="center"/>
              <w:rPr>
                <w:rFonts w:eastAsia="Calibri" w:cs="Times New Roman"/>
                <w:sz w:val="12"/>
                <w:szCs w:val="12"/>
              </w:rPr>
            </w:pPr>
          </w:p>
        </w:tc>
      </w:tr>
      <w:tr w:rsidR="00DB55B4" w:rsidRPr="00DB55B4" w14:paraId="66809E58" w14:textId="77777777" w:rsidTr="00591A66">
        <w:trPr>
          <w:trHeight w:val="300"/>
          <w:jc w:val="center"/>
        </w:trPr>
        <w:tc>
          <w:tcPr>
            <w:tcW w:w="1387" w:type="dxa"/>
            <w:tcBorders>
              <w:right w:val="single" w:sz="12" w:space="0" w:color="000000"/>
            </w:tcBorders>
            <w:noWrap/>
            <w:vAlign w:val="center"/>
            <w:hideMark/>
          </w:tcPr>
          <w:p w14:paraId="6AF7CC9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DROP</w:t>
            </w:r>
          </w:p>
          <w:p w14:paraId="3F6FBE8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seizures</w:t>
            </w:r>
          </w:p>
        </w:tc>
        <w:tc>
          <w:tcPr>
            <w:tcW w:w="992" w:type="dxa"/>
            <w:tcBorders>
              <w:left w:val="single" w:sz="12" w:space="0" w:color="000000"/>
            </w:tcBorders>
            <w:noWrap/>
            <w:tcMar>
              <w:left w:w="0" w:type="dxa"/>
              <w:right w:w="0" w:type="dxa"/>
            </w:tcMar>
            <w:vAlign w:val="center"/>
            <w:hideMark/>
          </w:tcPr>
          <w:p w14:paraId="3CED119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6DC8B1C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vAlign w:val="center"/>
          </w:tcPr>
          <w:p w14:paraId="475A37E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Borders>
              <w:right w:val="single" w:sz="12" w:space="0" w:color="000000"/>
            </w:tcBorders>
            <w:tcMar>
              <w:left w:w="0" w:type="dxa"/>
              <w:right w:w="0" w:type="dxa"/>
            </w:tcMar>
            <w:vAlign w:val="center"/>
          </w:tcPr>
          <w:p w14:paraId="6B1E78F2" w14:textId="77777777" w:rsidR="00DB55B4" w:rsidRPr="00DB55B4" w:rsidRDefault="00DB55B4" w:rsidP="00591A66">
            <w:pPr>
              <w:spacing w:before="0" w:after="0"/>
              <w:jc w:val="center"/>
              <w:rPr>
                <w:rFonts w:eastAsia="Calibri" w:cs="Times New Roman"/>
                <w:sz w:val="12"/>
                <w:szCs w:val="12"/>
              </w:rPr>
            </w:pPr>
          </w:p>
        </w:tc>
        <w:tc>
          <w:tcPr>
            <w:tcW w:w="992" w:type="dxa"/>
            <w:tcBorders>
              <w:left w:val="single" w:sz="12" w:space="0" w:color="000000"/>
            </w:tcBorders>
            <w:noWrap/>
            <w:tcMar>
              <w:left w:w="0" w:type="dxa"/>
              <w:right w:w="0" w:type="dxa"/>
            </w:tcMar>
            <w:vAlign w:val="center"/>
            <w:hideMark/>
          </w:tcPr>
          <w:p w14:paraId="0B12BD5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68F5D1B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Mar>
              <w:left w:w="0" w:type="dxa"/>
              <w:right w:w="0" w:type="dxa"/>
            </w:tcMar>
            <w:vAlign w:val="center"/>
          </w:tcPr>
          <w:p w14:paraId="397B855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Borders>
              <w:right w:val="single" w:sz="12" w:space="0" w:color="000000"/>
            </w:tcBorders>
            <w:tcMar>
              <w:left w:w="0" w:type="dxa"/>
              <w:right w:w="0" w:type="dxa"/>
            </w:tcMar>
            <w:vAlign w:val="center"/>
          </w:tcPr>
          <w:p w14:paraId="52B834D9" w14:textId="77777777" w:rsidR="00DB55B4" w:rsidRPr="00DB55B4" w:rsidRDefault="00DB55B4" w:rsidP="00591A66">
            <w:pPr>
              <w:spacing w:before="0" w:after="0"/>
              <w:jc w:val="center"/>
              <w:rPr>
                <w:rFonts w:eastAsia="Calibri" w:cs="Times New Roman"/>
                <w:sz w:val="12"/>
                <w:szCs w:val="12"/>
              </w:rPr>
            </w:pPr>
          </w:p>
        </w:tc>
        <w:tc>
          <w:tcPr>
            <w:tcW w:w="992" w:type="dxa"/>
            <w:tcBorders>
              <w:left w:val="single" w:sz="12" w:space="0" w:color="000000"/>
            </w:tcBorders>
            <w:tcMar>
              <w:left w:w="0" w:type="dxa"/>
              <w:right w:w="0" w:type="dxa"/>
            </w:tcMar>
            <w:vAlign w:val="center"/>
          </w:tcPr>
          <w:p w14:paraId="7FD0508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-37.2%,</w:t>
            </w:r>
          </w:p>
          <w:p w14:paraId="75AE5A3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-41.9%</w:t>
            </w:r>
          </w:p>
        </w:tc>
        <w:tc>
          <w:tcPr>
            <w:tcW w:w="992" w:type="dxa"/>
            <w:tcMar>
              <w:left w:w="0" w:type="dxa"/>
              <w:right w:w="0" w:type="dxa"/>
            </w:tcMar>
            <w:vAlign w:val="center"/>
          </w:tcPr>
          <w:p w14:paraId="3CC867C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-43.9%</w:t>
            </w:r>
          </w:p>
          <w:p w14:paraId="6F41BE6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[-69.6 to -1.9]</w:t>
            </w:r>
          </w:p>
        </w:tc>
        <w:tc>
          <w:tcPr>
            <w:tcW w:w="992" w:type="dxa"/>
            <w:noWrap/>
            <w:tcMar>
              <w:left w:w="0" w:type="dxa"/>
              <w:right w:w="0" w:type="dxa"/>
            </w:tcMar>
            <w:vAlign w:val="center"/>
            <w:hideMark/>
          </w:tcPr>
          <w:p w14:paraId="4832DE2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-60% (37-48 w)</w:t>
            </w:r>
          </w:p>
          <w:p w14:paraId="6281122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[-88 to -23]</w:t>
            </w:r>
          </w:p>
        </w:tc>
        <w:tc>
          <w:tcPr>
            <w:tcW w:w="992" w:type="dxa"/>
            <w:tcBorders>
              <w:right w:val="single" w:sz="12" w:space="0" w:color="000000"/>
            </w:tcBorders>
            <w:tcMar>
              <w:left w:w="0" w:type="dxa"/>
              <w:right w:w="0" w:type="dxa"/>
            </w:tcMar>
            <w:vAlign w:val="center"/>
          </w:tcPr>
          <w:p w14:paraId="0CA30EEF" w14:textId="77777777" w:rsidR="00DB55B4" w:rsidRPr="00DB55B4" w:rsidRDefault="00DB55B4" w:rsidP="00591A66">
            <w:pPr>
              <w:spacing w:before="0" w:after="0"/>
              <w:jc w:val="center"/>
              <w:rPr>
                <w:rFonts w:eastAsia="Calibri" w:cs="Times New Roman"/>
                <w:sz w:val="12"/>
                <w:szCs w:val="12"/>
              </w:rPr>
            </w:pPr>
          </w:p>
        </w:tc>
      </w:tr>
      <w:tr w:rsidR="00DB55B4" w:rsidRPr="00DB55B4" w14:paraId="1F24E5A4" w14:textId="77777777" w:rsidTr="00591A66">
        <w:trPr>
          <w:trHeight w:val="300"/>
          <w:jc w:val="center"/>
        </w:trPr>
        <w:tc>
          <w:tcPr>
            <w:tcW w:w="1387" w:type="dxa"/>
            <w:tcBorders>
              <w:right w:val="single" w:sz="12" w:space="0" w:color="000000"/>
            </w:tcBorders>
            <w:noWrap/>
            <w:vAlign w:val="center"/>
            <w:hideMark/>
          </w:tcPr>
          <w:p w14:paraId="6F4786A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TOTAL seizures</w:t>
            </w:r>
          </w:p>
          <w:p w14:paraId="2605E26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(monthly frequency)</w:t>
            </w:r>
          </w:p>
        </w:tc>
        <w:tc>
          <w:tcPr>
            <w:tcW w:w="992" w:type="dxa"/>
            <w:tcBorders>
              <w:left w:val="single" w:sz="12" w:space="0" w:color="000000"/>
            </w:tcBorders>
            <w:noWrap/>
            <w:tcMar>
              <w:left w:w="0" w:type="dxa"/>
              <w:right w:w="0" w:type="dxa"/>
            </w:tcMar>
            <w:vAlign w:val="center"/>
            <w:hideMark/>
          </w:tcPr>
          <w:p w14:paraId="4ACC522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-34.6%</w:t>
            </w:r>
          </w:p>
          <w:p w14:paraId="1B77905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[-66.7 to -9.8]</w:t>
            </w:r>
          </w:p>
        </w:tc>
        <w:tc>
          <w:tcPr>
            <w:tcW w:w="992" w:type="dxa"/>
            <w:tcMar>
              <w:left w:w="0" w:type="dxa"/>
              <w:right w:w="0" w:type="dxa"/>
            </w:tcMar>
            <w:vAlign w:val="center"/>
          </w:tcPr>
          <w:p w14:paraId="54E9E12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-48% (at 12 w)</w:t>
            </w:r>
          </w:p>
        </w:tc>
        <w:tc>
          <w:tcPr>
            <w:tcW w:w="992" w:type="dxa"/>
            <w:tcMar>
              <w:left w:w="0" w:type="dxa"/>
              <w:right w:w="0" w:type="dxa"/>
            </w:tcMar>
            <w:vAlign w:val="center"/>
          </w:tcPr>
          <w:p w14:paraId="2B6E824F" w14:textId="7474BFA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-41  -46%</w:t>
            </w:r>
          </w:p>
          <w:p w14:paraId="4989E9F0"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(12w to 96 w)</w:t>
            </w:r>
          </w:p>
        </w:tc>
        <w:tc>
          <w:tcPr>
            <w:tcW w:w="992" w:type="dxa"/>
            <w:tcBorders>
              <w:right w:val="single" w:sz="12" w:space="0" w:color="000000"/>
            </w:tcBorders>
            <w:tcMar>
              <w:left w:w="0" w:type="dxa"/>
              <w:right w:w="0" w:type="dxa"/>
            </w:tcMar>
            <w:vAlign w:val="center"/>
          </w:tcPr>
          <w:p w14:paraId="4AE082D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-41</w:t>
            </w:r>
            <w:r w:rsidRPr="00DB55B4">
              <w:rPr>
                <w:rFonts w:eastAsia="Arial" w:cs="Times New Roman"/>
                <w:color w:val="000000"/>
                <w:sz w:val="12"/>
                <w:szCs w:val="12"/>
              </w:rPr>
              <w:t>± 37.5% at 27 w</w:t>
            </w:r>
          </w:p>
        </w:tc>
        <w:tc>
          <w:tcPr>
            <w:tcW w:w="992" w:type="dxa"/>
            <w:tcBorders>
              <w:left w:val="single" w:sz="12" w:space="0" w:color="000000"/>
            </w:tcBorders>
            <w:noWrap/>
            <w:tcMar>
              <w:left w:w="0" w:type="dxa"/>
              <w:right w:w="0" w:type="dxa"/>
            </w:tcMar>
            <w:vAlign w:val="center"/>
            <w:hideMark/>
          </w:tcPr>
          <w:p w14:paraId="2208461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-28.6%</w:t>
            </w:r>
          </w:p>
          <w:p w14:paraId="32761EA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[-70 to -4]</w:t>
            </w:r>
          </w:p>
        </w:tc>
        <w:tc>
          <w:tcPr>
            <w:tcW w:w="992" w:type="dxa"/>
            <w:tcMar>
              <w:left w:w="0" w:type="dxa"/>
              <w:right w:w="0" w:type="dxa"/>
            </w:tcMar>
            <w:vAlign w:val="center"/>
          </w:tcPr>
          <w:p w14:paraId="7883946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-39.5% (37-48w)</w:t>
            </w:r>
          </w:p>
          <w:p w14:paraId="6AE1578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[-86 to +7]</w:t>
            </w:r>
          </w:p>
        </w:tc>
        <w:tc>
          <w:tcPr>
            <w:tcW w:w="992" w:type="dxa"/>
            <w:tcMar>
              <w:left w:w="0" w:type="dxa"/>
              <w:right w:w="0" w:type="dxa"/>
            </w:tcMar>
            <w:vAlign w:val="center"/>
          </w:tcPr>
          <w:p w14:paraId="61E70EA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- 56.4% (14 w)</w:t>
            </w:r>
          </w:p>
          <w:p w14:paraId="7829592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- 47.3% (14 w)</w:t>
            </w:r>
          </w:p>
        </w:tc>
        <w:tc>
          <w:tcPr>
            <w:tcW w:w="992" w:type="dxa"/>
            <w:tcBorders>
              <w:right w:val="single" w:sz="12" w:space="0" w:color="000000"/>
            </w:tcBorders>
            <w:tcMar>
              <w:left w:w="0" w:type="dxa"/>
              <w:right w:w="0" w:type="dxa"/>
            </w:tcMar>
            <w:vAlign w:val="center"/>
          </w:tcPr>
          <w:p w14:paraId="654E3A7B"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-43.9 ± 37.2%. at 27 w</w:t>
            </w:r>
          </w:p>
        </w:tc>
        <w:tc>
          <w:tcPr>
            <w:tcW w:w="992" w:type="dxa"/>
            <w:tcBorders>
              <w:left w:val="single" w:sz="12" w:space="0" w:color="000000"/>
            </w:tcBorders>
            <w:tcMar>
              <w:left w:w="0" w:type="dxa"/>
              <w:right w:w="0" w:type="dxa"/>
            </w:tcMar>
            <w:vAlign w:val="center"/>
          </w:tcPr>
          <w:p w14:paraId="052670B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-36.4%,</w:t>
            </w:r>
          </w:p>
          <w:p w14:paraId="2EBE721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-38.4%</w:t>
            </w:r>
          </w:p>
        </w:tc>
        <w:tc>
          <w:tcPr>
            <w:tcW w:w="992" w:type="dxa"/>
            <w:tcMar>
              <w:left w:w="0" w:type="dxa"/>
              <w:right w:w="0" w:type="dxa"/>
            </w:tcMar>
            <w:vAlign w:val="center"/>
          </w:tcPr>
          <w:p w14:paraId="5B2AFDB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-41.2%</w:t>
            </w:r>
          </w:p>
          <w:p w14:paraId="1B546C3D"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[-62.9 to -13]</w:t>
            </w:r>
          </w:p>
        </w:tc>
        <w:tc>
          <w:tcPr>
            <w:tcW w:w="992" w:type="dxa"/>
            <w:noWrap/>
            <w:tcMar>
              <w:left w:w="0" w:type="dxa"/>
              <w:right w:w="0" w:type="dxa"/>
            </w:tcMar>
            <w:vAlign w:val="center"/>
            <w:hideMark/>
          </w:tcPr>
          <w:p w14:paraId="10C92552"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-57% (37-48 w)</w:t>
            </w:r>
          </w:p>
          <w:p w14:paraId="0FA9875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[-82 to -22]</w:t>
            </w:r>
          </w:p>
        </w:tc>
        <w:tc>
          <w:tcPr>
            <w:tcW w:w="992" w:type="dxa"/>
            <w:tcBorders>
              <w:right w:val="single" w:sz="12" w:space="0" w:color="000000"/>
            </w:tcBorders>
            <w:tcMar>
              <w:left w:w="0" w:type="dxa"/>
              <w:right w:w="0" w:type="dxa"/>
            </w:tcMar>
            <w:vAlign w:val="center"/>
          </w:tcPr>
          <w:p w14:paraId="75BAED0C" w14:textId="77777777" w:rsidR="00DB55B4" w:rsidRPr="00DB55B4" w:rsidRDefault="00DB55B4" w:rsidP="00591A66">
            <w:pPr>
              <w:spacing w:before="0" w:after="0"/>
              <w:jc w:val="center"/>
              <w:rPr>
                <w:rFonts w:eastAsia="Calibri" w:cs="Times New Roman"/>
                <w:sz w:val="12"/>
                <w:szCs w:val="12"/>
              </w:rPr>
            </w:pPr>
            <w:r w:rsidRPr="00DB55B4">
              <w:rPr>
                <w:rFonts w:eastAsia="Arial" w:cs="Times New Roman"/>
                <w:color w:val="000000"/>
                <w:sz w:val="12"/>
                <w:szCs w:val="12"/>
              </w:rPr>
              <w:t>-42.1± 38.7% at 27 w</w:t>
            </w:r>
          </w:p>
        </w:tc>
      </w:tr>
      <w:tr w:rsidR="00DB55B4" w:rsidRPr="00DB55B4" w14:paraId="68A6C21A" w14:textId="77777777" w:rsidTr="00591A66">
        <w:trPr>
          <w:trHeight w:val="300"/>
          <w:jc w:val="center"/>
        </w:trPr>
        <w:tc>
          <w:tcPr>
            <w:tcW w:w="1387" w:type="dxa"/>
            <w:tcBorders>
              <w:right w:val="single" w:sz="12" w:space="0" w:color="000000"/>
            </w:tcBorders>
            <w:noWrap/>
            <w:vAlign w:val="center"/>
          </w:tcPr>
          <w:p w14:paraId="658A76D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TOTAL seizures</w:t>
            </w:r>
          </w:p>
          <w:p w14:paraId="0BFE84D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(≥50% reduction)</w:t>
            </w:r>
          </w:p>
        </w:tc>
        <w:tc>
          <w:tcPr>
            <w:tcW w:w="992" w:type="dxa"/>
            <w:tcBorders>
              <w:left w:val="single" w:sz="12" w:space="0" w:color="000000"/>
              <w:bottom w:val="single" w:sz="12" w:space="0" w:color="000000"/>
            </w:tcBorders>
            <w:noWrap/>
            <w:tcMar>
              <w:left w:w="0" w:type="dxa"/>
              <w:right w:w="0" w:type="dxa"/>
            </w:tcMar>
            <w:vAlign w:val="center"/>
          </w:tcPr>
          <w:p w14:paraId="3E3A879E"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51 (37%)</w:t>
            </w:r>
          </w:p>
        </w:tc>
        <w:tc>
          <w:tcPr>
            <w:tcW w:w="992" w:type="dxa"/>
            <w:tcBorders>
              <w:bottom w:val="single" w:sz="12" w:space="0" w:color="000000"/>
            </w:tcBorders>
            <w:tcMar>
              <w:left w:w="0" w:type="dxa"/>
              <w:right w:w="0" w:type="dxa"/>
            </w:tcMar>
            <w:vAlign w:val="center"/>
          </w:tcPr>
          <w:p w14:paraId="667180A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211/431 (49%)</w:t>
            </w:r>
          </w:p>
          <w:p w14:paraId="2B607E3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(at 12 w)</w:t>
            </w:r>
          </w:p>
        </w:tc>
        <w:tc>
          <w:tcPr>
            <w:tcW w:w="992" w:type="dxa"/>
            <w:tcBorders>
              <w:bottom w:val="single" w:sz="12" w:space="0" w:color="000000"/>
            </w:tcBorders>
            <w:vAlign w:val="center"/>
          </w:tcPr>
          <w:p w14:paraId="2FD73377"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Between 43 and 50%</w:t>
            </w:r>
          </w:p>
        </w:tc>
        <w:tc>
          <w:tcPr>
            <w:tcW w:w="992" w:type="dxa"/>
            <w:tcBorders>
              <w:bottom w:val="single" w:sz="12" w:space="0" w:color="000000"/>
              <w:right w:val="single" w:sz="12" w:space="0" w:color="000000"/>
            </w:tcBorders>
            <w:tcMar>
              <w:left w:w="0" w:type="dxa"/>
              <w:right w:w="0" w:type="dxa"/>
            </w:tcMar>
            <w:vAlign w:val="center"/>
          </w:tcPr>
          <w:p w14:paraId="6DDE1F2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28 (37.8%) at 27 w</w:t>
            </w:r>
          </w:p>
        </w:tc>
        <w:tc>
          <w:tcPr>
            <w:tcW w:w="992" w:type="dxa"/>
            <w:tcBorders>
              <w:left w:val="single" w:sz="12" w:space="0" w:color="000000"/>
              <w:bottom w:val="single" w:sz="12" w:space="0" w:color="000000"/>
            </w:tcBorders>
            <w:noWrap/>
            <w:tcMar>
              <w:left w:w="0" w:type="dxa"/>
              <w:right w:w="0" w:type="dxa"/>
            </w:tcMar>
            <w:vAlign w:val="center"/>
          </w:tcPr>
          <w:p w14:paraId="7D5D89C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Borders>
              <w:bottom w:val="single" w:sz="12" w:space="0" w:color="000000"/>
            </w:tcBorders>
            <w:tcMar>
              <w:left w:w="0" w:type="dxa"/>
              <w:right w:w="0" w:type="dxa"/>
            </w:tcMar>
            <w:vAlign w:val="center"/>
          </w:tcPr>
          <w:p w14:paraId="087BB878"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42 (40%)</w:t>
            </w:r>
          </w:p>
          <w:p w14:paraId="0D607BFC"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(37-48w)</w:t>
            </w:r>
          </w:p>
        </w:tc>
        <w:tc>
          <w:tcPr>
            <w:tcW w:w="992" w:type="dxa"/>
            <w:tcBorders>
              <w:bottom w:val="single" w:sz="12" w:space="0" w:color="000000"/>
            </w:tcBorders>
            <w:tcMar>
              <w:left w:w="0" w:type="dxa"/>
              <w:right w:w="0" w:type="dxa"/>
            </w:tcMar>
            <w:vAlign w:val="center"/>
          </w:tcPr>
          <w:p w14:paraId="4981225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29 (43.9%)</w:t>
            </w:r>
          </w:p>
          <w:p w14:paraId="7A0FAC2F"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33 (49.3%)</w:t>
            </w:r>
          </w:p>
        </w:tc>
        <w:tc>
          <w:tcPr>
            <w:tcW w:w="992" w:type="dxa"/>
            <w:tcBorders>
              <w:bottom w:val="single" w:sz="12" w:space="0" w:color="000000"/>
              <w:right w:val="single" w:sz="12" w:space="0" w:color="000000"/>
            </w:tcBorders>
            <w:tcMar>
              <w:left w:w="0" w:type="dxa"/>
              <w:right w:w="0" w:type="dxa"/>
            </w:tcMar>
            <w:vAlign w:val="center"/>
          </w:tcPr>
          <w:p w14:paraId="464D90F1"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8 (34.8%) at 27 w</w:t>
            </w:r>
          </w:p>
        </w:tc>
        <w:tc>
          <w:tcPr>
            <w:tcW w:w="992" w:type="dxa"/>
            <w:tcBorders>
              <w:left w:val="single" w:sz="12" w:space="0" w:color="000000"/>
              <w:bottom w:val="single" w:sz="12" w:space="0" w:color="000000"/>
            </w:tcBorders>
            <w:tcMar>
              <w:left w:w="0" w:type="dxa"/>
              <w:right w:w="0" w:type="dxa"/>
            </w:tcMar>
            <w:vAlign w:val="center"/>
          </w:tcPr>
          <w:p w14:paraId="28BE4FC9"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Borders>
              <w:bottom w:val="single" w:sz="12" w:space="0" w:color="000000"/>
            </w:tcBorders>
            <w:tcMar>
              <w:left w:w="0" w:type="dxa"/>
              <w:right w:w="0" w:type="dxa"/>
            </w:tcMar>
            <w:vAlign w:val="center"/>
          </w:tcPr>
          <w:p w14:paraId="28078A84"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w:t>
            </w:r>
          </w:p>
        </w:tc>
        <w:tc>
          <w:tcPr>
            <w:tcW w:w="992" w:type="dxa"/>
            <w:tcBorders>
              <w:bottom w:val="single" w:sz="12" w:space="0" w:color="000000"/>
            </w:tcBorders>
            <w:noWrap/>
            <w:tcMar>
              <w:left w:w="0" w:type="dxa"/>
              <w:right w:w="0" w:type="dxa"/>
            </w:tcMar>
            <w:vAlign w:val="center"/>
          </w:tcPr>
          <w:p w14:paraId="4459C225"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123/209 (59%)</w:t>
            </w:r>
          </w:p>
          <w:p w14:paraId="4279D743"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(37-48 w)</w:t>
            </w:r>
          </w:p>
        </w:tc>
        <w:tc>
          <w:tcPr>
            <w:tcW w:w="992" w:type="dxa"/>
            <w:tcBorders>
              <w:bottom w:val="single" w:sz="12" w:space="0" w:color="000000"/>
              <w:right w:val="single" w:sz="12" w:space="0" w:color="000000"/>
            </w:tcBorders>
            <w:tcMar>
              <w:left w:w="0" w:type="dxa"/>
              <w:right w:w="0" w:type="dxa"/>
            </w:tcMar>
            <w:vAlign w:val="center"/>
          </w:tcPr>
          <w:p w14:paraId="57440CAA" w14:textId="77777777" w:rsidR="00DB55B4" w:rsidRPr="00DB55B4" w:rsidRDefault="00DB55B4" w:rsidP="00591A66">
            <w:pPr>
              <w:spacing w:before="0" w:after="0"/>
              <w:jc w:val="center"/>
              <w:rPr>
                <w:rFonts w:eastAsia="Calibri" w:cs="Times New Roman"/>
                <w:sz w:val="12"/>
                <w:szCs w:val="12"/>
              </w:rPr>
            </w:pPr>
            <w:r w:rsidRPr="00DB55B4">
              <w:rPr>
                <w:rFonts w:eastAsia="Calibri" w:cs="Times New Roman"/>
                <w:sz w:val="12"/>
                <w:szCs w:val="12"/>
              </w:rPr>
              <w:t>18 (43.9%) at 27 w</w:t>
            </w:r>
          </w:p>
        </w:tc>
      </w:tr>
    </w:tbl>
    <w:p w14:paraId="6071524F" w14:textId="77777777" w:rsidR="00DB55B4" w:rsidRPr="00DB55B4" w:rsidRDefault="00DB55B4" w:rsidP="00523AE9">
      <w:pPr>
        <w:spacing w:before="0" w:after="0"/>
        <w:jc w:val="both"/>
        <w:rPr>
          <w:rFonts w:eastAsia="Calibri" w:cs="Times New Roman"/>
          <w:szCs w:val="24"/>
          <w:lang w:val="it-IT"/>
        </w:rPr>
      </w:pPr>
    </w:p>
    <w:p w14:paraId="766F8BFE" w14:textId="77777777" w:rsidR="00DB55B4" w:rsidRPr="00DB55B4" w:rsidRDefault="00DB55B4" w:rsidP="00523AE9">
      <w:pPr>
        <w:spacing w:before="0" w:after="160" w:line="259" w:lineRule="auto"/>
        <w:jc w:val="both"/>
        <w:rPr>
          <w:rFonts w:eastAsia="Calibri" w:cs="Times New Roman"/>
          <w:szCs w:val="24"/>
          <w:lang w:val="it-IT"/>
        </w:rPr>
      </w:pPr>
      <w:r w:rsidRPr="00DB55B4">
        <w:rPr>
          <w:rFonts w:eastAsia="Calibri" w:cs="Times New Roman"/>
          <w:szCs w:val="24"/>
          <w:lang w:val="it-IT"/>
        </w:rPr>
        <w:t>Data are n (%), mean ± standard deviation or median [25th to 75th percentile].</w:t>
      </w:r>
    </w:p>
    <w:p w14:paraId="305A93AC" w14:textId="77777777" w:rsidR="00DB55B4" w:rsidRPr="00DB55B4" w:rsidRDefault="00DB55B4" w:rsidP="00523AE9">
      <w:pPr>
        <w:spacing w:before="0" w:after="0"/>
        <w:jc w:val="both"/>
        <w:rPr>
          <w:rFonts w:eastAsia="Calibri" w:cs="Times New Roman"/>
          <w:sz w:val="16"/>
          <w:szCs w:val="16"/>
          <w:lang w:val="it-IT"/>
        </w:rPr>
      </w:pPr>
      <w:r w:rsidRPr="00DB55B4">
        <w:rPr>
          <w:rFonts w:eastAsia="Calibri" w:cs="Times New Roman"/>
          <w:szCs w:val="24"/>
          <w:lang w:val="it-IT"/>
        </w:rPr>
        <w:t>Legend: CBD Cannabidiol, CGI-I Clinical Global Impression-Improvement</w:t>
      </w:r>
      <w:r w:rsidRPr="00DB55B4">
        <w:rPr>
          <w:rFonts w:eastAsia="Calibri" w:cs="Times New Roman"/>
          <w:sz w:val="16"/>
          <w:szCs w:val="16"/>
          <w:lang w:val="it-IT"/>
        </w:rPr>
        <w:t xml:space="preserve">. </w:t>
      </w:r>
    </w:p>
    <w:p w14:paraId="1DE005D4" w14:textId="77777777" w:rsidR="00DB55B4" w:rsidRPr="00DB55B4" w:rsidRDefault="00DB55B4" w:rsidP="00523AE9">
      <w:pPr>
        <w:spacing w:before="0" w:after="0"/>
        <w:jc w:val="both"/>
        <w:rPr>
          <w:rFonts w:eastAsia="Calibri" w:cs="Times New Roman"/>
          <w:sz w:val="16"/>
          <w:szCs w:val="16"/>
          <w:lang w:val="it-IT"/>
        </w:rPr>
      </w:pPr>
    </w:p>
    <w:p w14:paraId="1CB8F42B" w14:textId="77777777" w:rsidR="00DB55B4" w:rsidRPr="00DB55B4" w:rsidRDefault="00DB55B4" w:rsidP="00523AE9">
      <w:pPr>
        <w:spacing w:before="0" w:after="0"/>
        <w:jc w:val="both"/>
        <w:rPr>
          <w:rFonts w:eastAsia="Calibri" w:cs="Times New Roman"/>
          <w:b/>
          <w:szCs w:val="16"/>
          <w:lang w:val="it-IT"/>
        </w:rPr>
      </w:pPr>
      <w:r w:rsidRPr="00DB55B4">
        <w:rPr>
          <w:rFonts w:eastAsia="Calibri" w:cs="Times New Roman"/>
          <w:b/>
          <w:szCs w:val="16"/>
          <w:lang w:val="it-IT"/>
        </w:rPr>
        <w:t>Bibliography:</w:t>
      </w:r>
    </w:p>
    <w:p w14:paraId="0EB2A70B" w14:textId="5262D3FF" w:rsidR="006F499D" w:rsidRPr="006F499D" w:rsidRDefault="00DB55B4" w:rsidP="006F499D">
      <w:pPr>
        <w:widowControl w:val="0"/>
        <w:autoSpaceDE w:val="0"/>
        <w:autoSpaceDN w:val="0"/>
        <w:adjustRightInd w:val="0"/>
        <w:spacing w:before="0" w:after="0"/>
        <w:ind w:left="640" w:hanging="640"/>
        <w:rPr>
          <w:rFonts w:cs="Times New Roman"/>
          <w:noProof/>
          <w:sz w:val="20"/>
          <w:szCs w:val="24"/>
        </w:rPr>
      </w:pPr>
      <w:r w:rsidRPr="00DB55B4">
        <w:rPr>
          <w:rFonts w:eastAsia="Calibri" w:cs="Times New Roman"/>
          <w:b/>
          <w:sz w:val="20"/>
          <w:szCs w:val="12"/>
          <w:lang w:val="it-IT"/>
        </w:rPr>
        <w:fldChar w:fldCharType="begin" w:fldLock="1"/>
      </w:r>
      <w:r w:rsidRPr="00DB55B4">
        <w:rPr>
          <w:rFonts w:eastAsia="Calibri" w:cs="Times New Roman"/>
          <w:b/>
          <w:sz w:val="20"/>
          <w:szCs w:val="12"/>
          <w:lang w:val="it-IT"/>
        </w:rPr>
        <w:instrText xml:space="preserve">ADDIN Mendeley Bibliography CSL_BIBLIOGRAPHY </w:instrText>
      </w:r>
      <w:r w:rsidRPr="00DB55B4">
        <w:rPr>
          <w:rFonts w:eastAsia="Calibri" w:cs="Times New Roman"/>
          <w:b/>
          <w:sz w:val="20"/>
          <w:szCs w:val="12"/>
          <w:lang w:val="it-IT"/>
        </w:rPr>
        <w:fldChar w:fldCharType="separate"/>
      </w:r>
      <w:r w:rsidR="006F499D" w:rsidRPr="006F499D">
        <w:rPr>
          <w:rFonts w:cs="Times New Roman"/>
          <w:noProof/>
          <w:sz w:val="20"/>
          <w:szCs w:val="24"/>
        </w:rPr>
        <w:t xml:space="preserve">1. </w:t>
      </w:r>
      <w:r w:rsidR="006F499D" w:rsidRPr="006F499D">
        <w:rPr>
          <w:rFonts w:cs="Times New Roman"/>
          <w:noProof/>
          <w:sz w:val="20"/>
          <w:szCs w:val="24"/>
        </w:rPr>
        <w:tab/>
        <w:t xml:space="preserve">Devinsky O, Marsh E, Friedman D, Thiele E, Laux L, Sullivan J, Miller I, Flamini R, Wilfong A, Filloux F, et al. Cannabidiol in patients with treatment-resistant epilepsy: an open-label interventional trial. </w:t>
      </w:r>
      <w:r w:rsidR="006F499D" w:rsidRPr="006F499D">
        <w:rPr>
          <w:rFonts w:cs="Times New Roman"/>
          <w:i/>
          <w:iCs/>
          <w:noProof/>
          <w:sz w:val="20"/>
          <w:szCs w:val="24"/>
        </w:rPr>
        <w:t>Lancet Neurol</w:t>
      </w:r>
      <w:r w:rsidR="006F499D" w:rsidRPr="006F499D">
        <w:rPr>
          <w:rFonts w:cs="Times New Roman"/>
          <w:noProof/>
          <w:sz w:val="20"/>
          <w:szCs w:val="24"/>
        </w:rPr>
        <w:t xml:space="preserve"> (2016) </w:t>
      </w:r>
      <w:r w:rsidR="006F499D" w:rsidRPr="006F499D">
        <w:rPr>
          <w:rFonts w:cs="Times New Roman"/>
          <w:b/>
          <w:bCs/>
          <w:noProof/>
          <w:sz w:val="20"/>
          <w:szCs w:val="24"/>
        </w:rPr>
        <w:t>15</w:t>
      </w:r>
      <w:r w:rsidR="006F499D" w:rsidRPr="006F499D">
        <w:rPr>
          <w:rFonts w:cs="Times New Roman"/>
          <w:noProof/>
          <w:sz w:val="20"/>
          <w:szCs w:val="24"/>
        </w:rPr>
        <w:t>:270–278. doi:10.1016/S1474-4422(15)00379-8</w:t>
      </w:r>
    </w:p>
    <w:p w14:paraId="76BF0CDC" w14:textId="77777777" w:rsidR="006F499D" w:rsidRPr="006F499D" w:rsidRDefault="006F499D" w:rsidP="006F499D">
      <w:pPr>
        <w:widowControl w:val="0"/>
        <w:autoSpaceDE w:val="0"/>
        <w:autoSpaceDN w:val="0"/>
        <w:adjustRightInd w:val="0"/>
        <w:spacing w:before="0" w:after="0"/>
        <w:ind w:left="640" w:hanging="640"/>
        <w:rPr>
          <w:rFonts w:cs="Times New Roman"/>
          <w:noProof/>
          <w:sz w:val="20"/>
          <w:szCs w:val="24"/>
        </w:rPr>
      </w:pPr>
      <w:r w:rsidRPr="006F499D">
        <w:rPr>
          <w:rFonts w:cs="Times New Roman"/>
          <w:noProof/>
          <w:sz w:val="20"/>
          <w:szCs w:val="24"/>
        </w:rPr>
        <w:t xml:space="preserve">2. </w:t>
      </w:r>
      <w:r w:rsidRPr="006F499D">
        <w:rPr>
          <w:rFonts w:cs="Times New Roman"/>
          <w:noProof/>
          <w:sz w:val="20"/>
          <w:szCs w:val="24"/>
        </w:rPr>
        <w:tab/>
        <w:t xml:space="preserve">Szaflarski JP, Bebin EM, Comi AM, Patel AD, Joshi C, Checketts D, Beal JC, Laux LC, De Boer LM, Wong MH, et al. Long-term safety and treatment effects of cannabidiol in children and adults with treatment-resistant epilepsies: Expanded access program results. </w:t>
      </w:r>
      <w:r w:rsidRPr="006F499D">
        <w:rPr>
          <w:rFonts w:cs="Times New Roman"/>
          <w:i/>
          <w:iCs/>
          <w:noProof/>
          <w:sz w:val="20"/>
          <w:szCs w:val="24"/>
        </w:rPr>
        <w:t>Epilepsia</w:t>
      </w:r>
      <w:r w:rsidRPr="006F499D">
        <w:rPr>
          <w:rFonts w:cs="Times New Roman"/>
          <w:noProof/>
          <w:sz w:val="20"/>
          <w:szCs w:val="24"/>
        </w:rPr>
        <w:t xml:space="preserve"> (2018) </w:t>
      </w:r>
      <w:r w:rsidRPr="006F499D">
        <w:rPr>
          <w:rFonts w:cs="Times New Roman"/>
          <w:b/>
          <w:bCs/>
          <w:noProof/>
          <w:sz w:val="20"/>
          <w:szCs w:val="24"/>
        </w:rPr>
        <w:t>59</w:t>
      </w:r>
      <w:r w:rsidRPr="006F499D">
        <w:rPr>
          <w:rFonts w:cs="Times New Roman"/>
          <w:noProof/>
          <w:sz w:val="20"/>
          <w:szCs w:val="24"/>
        </w:rPr>
        <w:t>:1540–1548. doi:10.1111/epi.14477</w:t>
      </w:r>
    </w:p>
    <w:p w14:paraId="1A5D5926" w14:textId="77777777" w:rsidR="006F499D" w:rsidRPr="006F499D" w:rsidRDefault="006F499D" w:rsidP="006F499D">
      <w:pPr>
        <w:widowControl w:val="0"/>
        <w:autoSpaceDE w:val="0"/>
        <w:autoSpaceDN w:val="0"/>
        <w:adjustRightInd w:val="0"/>
        <w:spacing w:before="0" w:after="0"/>
        <w:ind w:left="640" w:hanging="640"/>
        <w:rPr>
          <w:rFonts w:cs="Times New Roman"/>
          <w:noProof/>
          <w:sz w:val="20"/>
          <w:szCs w:val="24"/>
        </w:rPr>
      </w:pPr>
      <w:r w:rsidRPr="006F499D">
        <w:rPr>
          <w:rFonts w:cs="Times New Roman"/>
          <w:noProof/>
          <w:sz w:val="20"/>
          <w:szCs w:val="24"/>
        </w:rPr>
        <w:t xml:space="preserve">3. </w:t>
      </w:r>
      <w:r w:rsidRPr="006F499D">
        <w:rPr>
          <w:rFonts w:cs="Times New Roman"/>
          <w:noProof/>
          <w:sz w:val="20"/>
          <w:szCs w:val="24"/>
        </w:rPr>
        <w:tab/>
        <w:t xml:space="preserve">Laux LC, Bebin EM, Checketts D, Chez M, Flamini R, Marsh ED, Miller I, Nichol K, Park Y, Segal E, et al. Long-term safety and efficacy of cannabidiol in children and adults with treatmentresistant Lennox-Gastaut syndrome or Dravet syndrome: Expanded access program results. </w:t>
      </w:r>
      <w:r w:rsidRPr="006F499D">
        <w:rPr>
          <w:rFonts w:cs="Times New Roman"/>
          <w:i/>
          <w:iCs/>
          <w:noProof/>
          <w:sz w:val="20"/>
          <w:szCs w:val="24"/>
        </w:rPr>
        <w:t>Epilepsy Res</w:t>
      </w:r>
      <w:r w:rsidRPr="006F499D">
        <w:rPr>
          <w:rFonts w:cs="Times New Roman"/>
          <w:noProof/>
          <w:sz w:val="20"/>
          <w:szCs w:val="24"/>
        </w:rPr>
        <w:t xml:space="preserve"> (2019) </w:t>
      </w:r>
      <w:r w:rsidRPr="006F499D">
        <w:rPr>
          <w:rFonts w:cs="Times New Roman"/>
          <w:b/>
          <w:bCs/>
          <w:noProof/>
          <w:sz w:val="20"/>
          <w:szCs w:val="24"/>
        </w:rPr>
        <w:t>154</w:t>
      </w:r>
      <w:r w:rsidRPr="006F499D">
        <w:rPr>
          <w:rFonts w:cs="Times New Roman"/>
          <w:noProof/>
          <w:sz w:val="20"/>
          <w:szCs w:val="24"/>
        </w:rPr>
        <w:t>:13–20. doi:10.1016/j.eplepsyres.2019.03.015</w:t>
      </w:r>
    </w:p>
    <w:p w14:paraId="0A31B8C9" w14:textId="77777777" w:rsidR="006F499D" w:rsidRPr="006F499D" w:rsidRDefault="006F499D" w:rsidP="006F499D">
      <w:pPr>
        <w:widowControl w:val="0"/>
        <w:autoSpaceDE w:val="0"/>
        <w:autoSpaceDN w:val="0"/>
        <w:adjustRightInd w:val="0"/>
        <w:spacing w:before="0" w:after="0"/>
        <w:ind w:left="640" w:hanging="640"/>
        <w:rPr>
          <w:rFonts w:cs="Times New Roman"/>
          <w:noProof/>
          <w:sz w:val="20"/>
          <w:szCs w:val="24"/>
        </w:rPr>
      </w:pPr>
      <w:r w:rsidRPr="006F499D">
        <w:rPr>
          <w:rFonts w:cs="Times New Roman"/>
          <w:noProof/>
          <w:sz w:val="20"/>
          <w:szCs w:val="24"/>
        </w:rPr>
        <w:t xml:space="preserve">4. </w:t>
      </w:r>
      <w:r w:rsidRPr="006F499D">
        <w:rPr>
          <w:rFonts w:cs="Times New Roman"/>
          <w:noProof/>
          <w:sz w:val="20"/>
          <w:szCs w:val="24"/>
        </w:rPr>
        <w:tab/>
        <w:t xml:space="preserve">Devinsky O, Cross JH, Laux L, Marsh E, Miller I, Nabbout R, Scheffer IE, Thiele EA, Wright S. Trial of cannabidiol for drug-resistant seizures in the dravet syndrome. </w:t>
      </w:r>
      <w:r w:rsidRPr="006F499D">
        <w:rPr>
          <w:rFonts w:cs="Times New Roman"/>
          <w:i/>
          <w:iCs/>
          <w:noProof/>
          <w:sz w:val="20"/>
          <w:szCs w:val="24"/>
        </w:rPr>
        <w:t>N Engl J Med</w:t>
      </w:r>
      <w:r w:rsidRPr="006F499D">
        <w:rPr>
          <w:rFonts w:cs="Times New Roman"/>
          <w:noProof/>
          <w:sz w:val="20"/>
          <w:szCs w:val="24"/>
        </w:rPr>
        <w:t xml:space="preserve"> (2017) </w:t>
      </w:r>
      <w:r w:rsidRPr="006F499D">
        <w:rPr>
          <w:rFonts w:cs="Times New Roman"/>
          <w:b/>
          <w:bCs/>
          <w:noProof/>
          <w:sz w:val="20"/>
          <w:szCs w:val="24"/>
        </w:rPr>
        <w:t>376</w:t>
      </w:r>
      <w:r w:rsidRPr="006F499D">
        <w:rPr>
          <w:rFonts w:cs="Times New Roman"/>
          <w:noProof/>
          <w:sz w:val="20"/>
          <w:szCs w:val="24"/>
        </w:rPr>
        <w:t>:2011–2020. doi:10.1056/NEJMoa1611618</w:t>
      </w:r>
    </w:p>
    <w:p w14:paraId="308AB06A" w14:textId="77777777" w:rsidR="006F499D" w:rsidRPr="006F499D" w:rsidRDefault="006F499D" w:rsidP="006F499D">
      <w:pPr>
        <w:widowControl w:val="0"/>
        <w:autoSpaceDE w:val="0"/>
        <w:autoSpaceDN w:val="0"/>
        <w:adjustRightInd w:val="0"/>
        <w:spacing w:before="0" w:after="0"/>
        <w:ind w:left="640" w:hanging="640"/>
        <w:rPr>
          <w:rFonts w:cs="Times New Roman"/>
          <w:noProof/>
          <w:sz w:val="20"/>
          <w:szCs w:val="24"/>
        </w:rPr>
      </w:pPr>
      <w:r w:rsidRPr="006F499D">
        <w:rPr>
          <w:rFonts w:cs="Times New Roman"/>
          <w:noProof/>
          <w:sz w:val="20"/>
          <w:szCs w:val="24"/>
        </w:rPr>
        <w:t xml:space="preserve">5. </w:t>
      </w:r>
      <w:r w:rsidRPr="006F499D">
        <w:rPr>
          <w:rFonts w:cs="Times New Roman"/>
          <w:noProof/>
          <w:sz w:val="20"/>
          <w:szCs w:val="24"/>
        </w:rPr>
        <w:tab/>
        <w:t xml:space="preserve">Devinsky O, Patel AD, Thiele EA, Wong MH, Appleton R, Harden CL, Greenwood S, Morrison G, Sommerville K. Randomized, dose-ranging safety trial of cannabidiol in Dravet syndrome. </w:t>
      </w:r>
      <w:r w:rsidRPr="006F499D">
        <w:rPr>
          <w:rFonts w:cs="Times New Roman"/>
          <w:i/>
          <w:iCs/>
          <w:noProof/>
          <w:sz w:val="20"/>
          <w:szCs w:val="24"/>
        </w:rPr>
        <w:t>Neurology</w:t>
      </w:r>
      <w:r w:rsidRPr="006F499D">
        <w:rPr>
          <w:rFonts w:cs="Times New Roman"/>
          <w:noProof/>
          <w:sz w:val="20"/>
          <w:szCs w:val="24"/>
        </w:rPr>
        <w:t xml:space="preserve"> (2018) </w:t>
      </w:r>
      <w:r w:rsidRPr="006F499D">
        <w:rPr>
          <w:rFonts w:cs="Times New Roman"/>
          <w:b/>
          <w:bCs/>
          <w:noProof/>
          <w:sz w:val="20"/>
          <w:szCs w:val="24"/>
        </w:rPr>
        <w:t>90</w:t>
      </w:r>
      <w:r w:rsidRPr="006F499D">
        <w:rPr>
          <w:rFonts w:cs="Times New Roman"/>
          <w:noProof/>
          <w:sz w:val="20"/>
          <w:szCs w:val="24"/>
        </w:rPr>
        <w:t>:e1204–e1211. doi:10.1212/WNL.0000000000005254</w:t>
      </w:r>
    </w:p>
    <w:p w14:paraId="539EB197" w14:textId="77777777" w:rsidR="006F499D" w:rsidRPr="006F499D" w:rsidRDefault="006F499D" w:rsidP="006F499D">
      <w:pPr>
        <w:widowControl w:val="0"/>
        <w:autoSpaceDE w:val="0"/>
        <w:autoSpaceDN w:val="0"/>
        <w:adjustRightInd w:val="0"/>
        <w:spacing w:before="0" w:after="0"/>
        <w:ind w:left="640" w:hanging="640"/>
        <w:rPr>
          <w:rFonts w:cs="Times New Roman"/>
          <w:noProof/>
          <w:sz w:val="20"/>
          <w:szCs w:val="24"/>
        </w:rPr>
      </w:pPr>
      <w:r w:rsidRPr="006F499D">
        <w:rPr>
          <w:rFonts w:cs="Times New Roman"/>
          <w:noProof/>
          <w:sz w:val="20"/>
          <w:szCs w:val="24"/>
        </w:rPr>
        <w:t xml:space="preserve">6. </w:t>
      </w:r>
      <w:r w:rsidRPr="006F499D">
        <w:rPr>
          <w:rFonts w:cs="Times New Roman"/>
          <w:noProof/>
          <w:sz w:val="20"/>
          <w:szCs w:val="24"/>
        </w:rPr>
        <w:tab/>
        <w:t xml:space="preserve">Devinsky O, Nabbout R, Miller I, Laux L, Zolnowska M, Wright S, Roberts C. Long-term cannabidiol treatment in patients with Dravet syndrome: An open-label extension trial. </w:t>
      </w:r>
      <w:r w:rsidRPr="006F499D">
        <w:rPr>
          <w:rFonts w:cs="Times New Roman"/>
          <w:i/>
          <w:iCs/>
          <w:noProof/>
          <w:sz w:val="20"/>
          <w:szCs w:val="24"/>
        </w:rPr>
        <w:t>Epilepsia</w:t>
      </w:r>
      <w:r w:rsidRPr="006F499D">
        <w:rPr>
          <w:rFonts w:cs="Times New Roman"/>
          <w:noProof/>
          <w:sz w:val="20"/>
          <w:szCs w:val="24"/>
        </w:rPr>
        <w:t xml:space="preserve"> (2019) </w:t>
      </w:r>
      <w:r w:rsidRPr="006F499D">
        <w:rPr>
          <w:rFonts w:cs="Times New Roman"/>
          <w:b/>
          <w:bCs/>
          <w:noProof/>
          <w:sz w:val="20"/>
          <w:szCs w:val="24"/>
        </w:rPr>
        <w:t>60</w:t>
      </w:r>
      <w:r w:rsidRPr="006F499D">
        <w:rPr>
          <w:rFonts w:cs="Times New Roman"/>
          <w:noProof/>
          <w:sz w:val="20"/>
          <w:szCs w:val="24"/>
        </w:rPr>
        <w:t>:294–302. doi:10.1111/epi.14628</w:t>
      </w:r>
    </w:p>
    <w:p w14:paraId="0A0FDAF4" w14:textId="77777777" w:rsidR="006F499D" w:rsidRPr="006F499D" w:rsidRDefault="006F499D" w:rsidP="006F499D">
      <w:pPr>
        <w:widowControl w:val="0"/>
        <w:autoSpaceDE w:val="0"/>
        <w:autoSpaceDN w:val="0"/>
        <w:adjustRightInd w:val="0"/>
        <w:spacing w:before="0" w:after="0"/>
        <w:ind w:left="640" w:hanging="640"/>
        <w:rPr>
          <w:rFonts w:cs="Times New Roman"/>
          <w:noProof/>
          <w:sz w:val="20"/>
          <w:szCs w:val="24"/>
        </w:rPr>
      </w:pPr>
      <w:r w:rsidRPr="006F499D">
        <w:rPr>
          <w:rFonts w:cs="Times New Roman"/>
          <w:noProof/>
          <w:sz w:val="20"/>
          <w:szCs w:val="24"/>
        </w:rPr>
        <w:t xml:space="preserve">7. </w:t>
      </w:r>
      <w:r w:rsidRPr="006F499D">
        <w:rPr>
          <w:rFonts w:cs="Times New Roman"/>
          <w:noProof/>
          <w:sz w:val="20"/>
          <w:szCs w:val="24"/>
        </w:rPr>
        <w:tab/>
        <w:t xml:space="preserve">Miller I, Scheffer IE, Gunning B, Sanchez-Carpintero R, Gil-Nagel A, Perry MS, Saneto RP, Checketts D, Dunayevich E, Knappertz V. Dose-Ranging Effect of Adjunctive Oral Cannabidiol vs Placebo on Convulsive Seizure Frequency in Dravet Syndrome: A Randomized Clinical Trial. </w:t>
      </w:r>
      <w:r w:rsidRPr="006F499D">
        <w:rPr>
          <w:rFonts w:cs="Times New Roman"/>
          <w:i/>
          <w:iCs/>
          <w:noProof/>
          <w:sz w:val="20"/>
          <w:szCs w:val="24"/>
        </w:rPr>
        <w:t>JAMA Neurol</w:t>
      </w:r>
      <w:r w:rsidRPr="006F499D">
        <w:rPr>
          <w:rFonts w:cs="Times New Roman"/>
          <w:noProof/>
          <w:sz w:val="20"/>
          <w:szCs w:val="24"/>
        </w:rPr>
        <w:t xml:space="preserve"> (2020) doi:10.1001/jamaneurol.2020.0073</w:t>
      </w:r>
    </w:p>
    <w:p w14:paraId="1D4F881A" w14:textId="77777777" w:rsidR="006F499D" w:rsidRPr="006F499D" w:rsidRDefault="006F499D" w:rsidP="006F499D">
      <w:pPr>
        <w:widowControl w:val="0"/>
        <w:autoSpaceDE w:val="0"/>
        <w:autoSpaceDN w:val="0"/>
        <w:adjustRightInd w:val="0"/>
        <w:spacing w:before="0" w:after="0"/>
        <w:ind w:left="640" w:hanging="640"/>
        <w:rPr>
          <w:rFonts w:cs="Times New Roman"/>
          <w:noProof/>
          <w:sz w:val="20"/>
          <w:szCs w:val="24"/>
        </w:rPr>
      </w:pPr>
      <w:r w:rsidRPr="006F499D">
        <w:rPr>
          <w:rFonts w:cs="Times New Roman"/>
          <w:noProof/>
          <w:sz w:val="20"/>
          <w:szCs w:val="24"/>
        </w:rPr>
        <w:t xml:space="preserve">8. </w:t>
      </w:r>
      <w:r w:rsidRPr="006F499D">
        <w:rPr>
          <w:rFonts w:cs="Times New Roman"/>
          <w:noProof/>
          <w:sz w:val="20"/>
          <w:szCs w:val="24"/>
        </w:rPr>
        <w:tab/>
        <w:t xml:space="preserve">Devinsky O, Patel AD, Cross JH, Villanueva V, Wirrell EC, Privitera M, Greenwood SM, Roberts C, Checketts D, VanLandingham KE, et al. Effect of </w:t>
      </w:r>
      <w:r w:rsidRPr="006F499D">
        <w:rPr>
          <w:rFonts w:cs="Times New Roman"/>
          <w:noProof/>
          <w:sz w:val="20"/>
          <w:szCs w:val="24"/>
        </w:rPr>
        <w:lastRenderedPageBreak/>
        <w:t xml:space="preserve">cannabidiol on drop seizures in the lennox–gastaut syndrome. </w:t>
      </w:r>
      <w:r w:rsidRPr="006F499D">
        <w:rPr>
          <w:rFonts w:cs="Times New Roman"/>
          <w:i/>
          <w:iCs/>
          <w:noProof/>
          <w:sz w:val="20"/>
          <w:szCs w:val="24"/>
        </w:rPr>
        <w:t>N Engl J Med</w:t>
      </w:r>
      <w:r w:rsidRPr="006F499D">
        <w:rPr>
          <w:rFonts w:cs="Times New Roman"/>
          <w:noProof/>
          <w:sz w:val="20"/>
          <w:szCs w:val="24"/>
        </w:rPr>
        <w:t xml:space="preserve"> (2018) </w:t>
      </w:r>
      <w:r w:rsidRPr="006F499D">
        <w:rPr>
          <w:rFonts w:cs="Times New Roman"/>
          <w:b/>
          <w:bCs/>
          <w:noProof/>
          <w:sz w:val="20"/>
          <w:szCs w:val="24"/>
        </w:rPr>
        <w:t>378</w:t>
      </w:r>
      <w:r w:rsidRPr="006F499D">
        <w:rPr>
          <w:rFonts w:cs="Times New Roman"/>
          <w:noProof/>
          <w:sz w:val="20"/>
          <w:szCs w:val="24"/>
        </w:rPr>
        <w:t>:1888–1897. doi:10.1056/NEJMoa1714631</w:t>
      </w:r>
    </w:p>
    <w:p w14:paraId="0F250F89" w14:textId="77777777" w:rsidR="006F499D" w:rsidRPr="006F499D" w:rsidRDefault="006F499D" w:rsidP="006F499D">
      <w:pPr>
        <w:widowControl w:val="0"/>
        <w:autoSpaceDE w:val="0"/>
        <w:autoSpaceDN w:val="0"/>
        <w:adjustRightInd w:val="0"/>
        <w:spacing w:before="0" w:after="0"/>
        <w:ind w:left="640" w:hanging="640"/>
        <w:rPr>
          <w:rFonts w:cs="Times New Roman"/>
          <w:noProof/>
          <w:sz w:val="20"/>
          <w:szCs w:val="24"/>
        </w:rPr>
      </w:pPr>
      <w:r w:rsidRPr="006F499D">
        <w:rPr>
          <w:rFonts w:cs="Times New Roman"/>
          <w:noProof/>
          <w:sz w:val="20"/>
          <w:szCs w:val="24"/>
        </w:rPr>
        <w:t xml:space="preserve">9. </w:t>
      </w:r>
      <w:r w:rsidRPr="006F499D">
        <w:rPr>
          <w:rFonts w:cs="Times New Roman"/>
          <w:noProof/>
          <w:sz w:val="20"/>
          <w:szCs w:val="24"/>
        </w:rPr>
        <w:tab/>
        <w:t xml:space="preserve">Thiele EA, Marsh ED, French JA, Mazurkiewicz MB, Benbadis SR, Joshi C, Lyons PD, Taylor A, Roberts C, Sommerville K, et al. Cannabidiol in patients with seizures associated with Lennox-Gastaut syndrome (GWPCARE4): a randomised, double-blind, placebo-controlled phase 3 trial. </w:t>
      </w:r>
      <w:r w:rsidRPr="006F499D">
        <w:rPr>
          <w:rFonts w:cs="Times New Roman"/>
          <w:i/>
          <w:iCs/>
          <w:noProof/>
          <w:sz w:val="20"/>
          <w:szCs w:val="24"/>
        </w:rPr>
        <w:t>Lancet</w:t>
      </w:r>
      <w:r w:rsidRPr="006F499D">
        <w:rPr>
          <w:rFonts w:cs="Times New Roman"/>
          <w:noProof/>
          <w:sz w:val="20"/>
          <w:szCs w:val="24"/>
        </w:rPr>
        <w:t xml:space="preserve"> (2018) </w:t>
      </w:r>
      <w:r w:rsidRPr="006F499D">
        <w:rPr>
          <w:rFonts w:cs="Times New Roman"/>
          <w:b/>
          <w:bCs/>
          <w:noProof/>
          <w:sz w:val="20"/>
          <w:szCs w:val="24"/>
        </w:rPr>
        <w:t>391</w:t>
      </w:r>
      <w:r w:rsidRPr="006F499D">
        <w:rPr>
          <w:rFonts w:cs="Times New Roman"/>
          <w:noProof/>
          <w:sz w:val="20"/>
          <w:szCs w:val="24"/>
        </w:rPr>
        <w:t>:1085–1096. doi:10.1016/S0140-6736(18)30136-3</w:t>
      </w:r>
    </w:p>
    <w:p w14:paraId="1BD1B631" w14:textId="77777777" w:rsidR="006F499D" w:rsidRPr="006F499D" w:rsidRDefault="006F499D" w:rsidP="006F499D">
      <w:pPr>
        <w:widowControl w:val="0"/>
        <w:autoSpaceDE w:val="0"/>
        <w:autoSpaceDN w:val="0"/>
        <w:adjustRightInd w:val="0"/>
        <w:spacing w:before="0" w:after="0"/>
        <w:ind w:left="640" w:hanging="640"/>
        <w:rPr>
          <w:rFonts w:cs="Times New Roman"/>
          <w:noProof/>
          <w:sz w:val="20"/>
        </w:rPr>
      </w:pPr>
      <w:r w:rsidRPr="006F499D">
        <w:rPr>
          <w:rFonts w:cs="Times New Roman"/>
          <w:noProof/>
          <w:sz w:val="20"/>
          <w:szCs w:val="24"/>
        </w:rPr>
        <w:t xml:space="preserve">10. </w:t>
      </w:r>
      <w:r w:rsidRPr="006F499D">
        <w:rPr>
          <w:rFonts w:cs="Times New Roman"/>
          <w:noProof/>
          <w:sz w:val="20"/>
          <w:szCs w:val="24"/>
        </w:rPr>
        <w:tab/>
        <w:t xml:space="preserve">Thiele E, Marsh E, Mazurkiewicz-Beldzinska M, Halford JJ, Gunning B, Devinsky O, Checketts D, Roberts C. Cannabidiol in patients with Lennox-Gastaut syndrome: Interim analysis of an open-label extension study. </w:t>
      </w:r>
      <w:r w:rsidRPr="006F499D">
        <w:rPr>
          <w:rFonts w:cs="Times New Roman"/>
          <w:i/>
          <w:iCs/>
          <w:noProof/>
          <w:sz w:val="20"/>
          <w:szCs w:val="24"/>
        </w:rPr>
        <w:t>Epilepsia</w:t>
      </w:r>
      <w:r w:rsidRPr="006F499D">
        <w:rPr>
          <w:rFonts w:cs="Times New Roman"/>
          <w:noProof/>
          <w:sz w:val="20"/>
          <w:szCs w:val="24"/>
        </w:rPr>
        <w:t xml:space="preserve"> (2019) </w:t>
      </w:r>
      <w:r w:rsidRPr="006F499D">
        <w:rPr>
          <w:rFonts w:cs="Times New Roman"/>
          <w:b/>
          <w:bCs/>
          <w:noProof/>
          <w:sz w:val="20"/>
          <w:szCs w:val="24"/>
        </w:rPr>
        <w:t>60</w:t>
      </w:r>
      <w:r w:rsidRPr="006F499D">
        <w:rPr>
          <w:rFonts w:cs="Times New Roman"/>
          <w:noProof/>
          <w:sz w:val="20"/>
          <w:szCs w:val="24"/>
        </w:rPr>
        <w:t>:419–428. doi:10.1111/epi.14670</w:t>
      </w:r>
    </w:p>
    <w:p w14:paraId="7B65BC41" w14:textId="23830F76" w:rsidR="00DE23E8" w:rsidRPr="00523AE9" w:rsidRDefault="00DB55B4" w:rsidP="006F499D">
      <w:pPr>
        <w:widowControl w:val="0"/>
        <w:autoSpaceDE w:val="0"/>
        <w:autoSpaceDN w:val="0"/>
        <w:adjustRightInd w:val="0"/>
        <w:spacing w:before="0" w:after="0"/>
        <w:ind w:left="426" w:hanging="426"/>
        <w:jc w:val="both"/>
        <w:rPr>
          <w:rFonts w:eastAsia="Calibri" w:cs="Times New Roman"/>
          <w:b/>
          <w:sz w:val="20"/>
          <w:szCs w:val="12"/>
          <w:lang w:val="it-IT"/>
        </w:rPr>
      </w:pPr>
      <w:r w:rsidRPr="00DB55B4">
        <w:rPr>
          <w:rFonts w:eastAsia="Calibri" w:cs="Times New Roman"/>
          <w:b/>
          <w:sz w:val="20"/>
          <w:szCs w:val="12"/>
          <w:lang w:val="it-IT"/>
        </w:rPr>
        <w:fldChar w:fldCharType="end"/>
      </w:r>
    </w:p>
    <w:sectPr w:rsidR="00DE23E8" w:rsidRPr="00523AE9" w:rsidSect="0099031D">
      <w:headerReference w:type="even" r:id="rId8"/>
      <w:footerReference w:type="even" r:id="rId9"/>
      <w:footerReference w:type="default" r:id="rId10"/>
      <w:headerReference w:type="first" r:id="rId11"/>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CACAB" w14:textId="77777777" w:rsidR="0036264E" w:rsidRDefault="0036264E" w:rsidP="00117666">
      <w:pPr>
        <w:spacing w:after="0"/>
      </w:pPr>
      <w:r>
        <w:separator/>
      </w:r>
    </w:p>
  </w:endnote>
  <w:endnote w:type="continuationSeparator" w:id="0">
    <w:p w14:paraId="07ED8B9B" w14:textId="77777777" w:rsidR="0036264E" w:rsidRDefault="0036264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C77FAB" w:rsidRPr="00577C4C" w:rsidRDefault="00C77FAB">
    <w:pPr>
      <w:rPr>
        <w:color w:val="C00000"/>
        <w:szCs w:val="24"/>
      </w:rPr>
    </w:pPr>
    <w:r>
      <w:rPr>
        <w:noProof/>
        <w:lang w:val="fr-FR" w:eastAsia="fr-FR"/>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6DB702E" w:rsidR="00C77FAB" w:rsidRPr="00577C4C" w:rsidRDefault="00C77FA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91A66">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46DB702E" w:rsidR="00C77FAB" w:rsidRPr="00577C4C" w:rsidRDefault="00C77FA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91A66">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C77FAB" w:rsidRPr="00577C4C" w:rsidRDefault="00C77FAB">
    <w:pPr>
      <w:rPr>
        <w:b/>
        <w:sz w:val="20"/>
        <w:szCs w:val="24"/>
      </w:rPr>
    </w:pPr>
    <w:r>
      <w:rPr>
        <w:noProof/>
        <w:lang w:val="fr-FR" w:eastAsia="fr-FR"/>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A3E2BFB" w:rsidR="00C77FAB" w:rsidRPr="00577C4C" w:rsidRDefault="00C77FA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91A66">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1A3E2BFB" w:rsidR="00C77FAB" w:rsidRPr="00577C4C" w:rsidRDefault="00C77FA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91A66">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10392" w14:textId="77777777" w:rsidR="0036264E" w:rsidRDefault="0036264E" w:rsidP="00117666">
      <w:pPr>
        <w:spacing w:after="0"/>
      </w:pPr>
      <w:r>
        <w:separator/>
      </w:r>
    </w:p>
  </w:footnote>
  <w:footnote w:type="continuationSeparator" w:id="0">
    <w:p w14:paraId="2A37968B" w14:textId="77777777" w:rsidR="0036264E" w:rsidRDefault="0036264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C77FAB" w:rsidRPr="009151AA" w:rsidRDefault="00C77FA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C77FAB" w:rsidRDefault="00C77FAB" w:rsidP="0093429D">
    <w:r w:rsidRPr="005A1D84">
      <w:rPr>
        <w:b/>
        <w:noProof/>
        <w:color w:val="A6A6A6" w:themeColor="background1" w:themeShade="A6"/>
        <w:lang w:val="fr-FR" w:eastAsia="fr-FR"/>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82BE6"/>
    <w:multiLevelType w:val="hybridMultilevel"/>
    <w:tmpl w:val="C7860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6264E"/>
    <w:rsid w:val="003D2F2D"/>
    <w:rsid w:val="00401590"/>
    <w:rsid w:val="00447801"/>
    <w:rsid w:val="00452E9C"/>
    <w:rsid w:val="004735C8"/>
    <w:rsid w:val="004947A6"/>
    <w:rsid w:val="004961FF"/>
    <w:rsid w:val="00517A89"/>
    <w:rsid w:val="00523AE9"/>
    <w:rsid w:val="005250F2"/>
    <w:rsid w:val="00591A66"/>
    <w:rsid w:val="00593EEA"/>
    <w:rsid w:val="005A5EEE"/>
    <w:rsid w:val="006375C7"/>
    <w:rsid w:val="00654E8F"/>
    <w:rsid w:val="00660D05"/>
    <w:rsid w:val="006820B1"/>
    <w:rsid w:val="006B7D14"/>
    <w:rsid w:val="006F499D"/>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031D"/>
    <w:rsid w:val="00994A3D"/>
    <w:rsid w:val="009C2B12"/>
    <w:rsid w:val="00A174D9"/>
    <w:rsid w:val="00AA4D24"/>
    <w:rsid w:val="00AB6715"/>
    <w:rsid w:val="00B1671E"/>
    <w:rsid w:val="00B25EB8"/>
    <w:rsid w:val="00B37F4D"/>
    <w:rsid w:val="00C52A7B"/>
    <w:rsid w:val="00C56BAF"/>
    <w:rsid w:val="00C63E53"/>
    <w:rsid w:val="00C679AA"/>
    <w:rsid w:val="00C75972"/>
    <w:rsid w:val="00C77FAB"/>
    <w:rsid w:val="00CD066B"/>
    <w:rsid w:val="00CD3F96"/>
    <w:rsid w:val="00CE4FEE"/>
    <w:rsid w:val="00D060CF"/>
    <w:rsid w:val="00DB55B4"/>
    <w:rsid w:val="00DB59C3"/>
    <w:rsid w:val="00DC259A"/>
    <w:rsid w:val="00DE23E8"/>
    <w:rsid w:val="00E52377"/>
    <w:rsid w:val="00E537AD"/>
    <w:rsid w:val="00E55E23"/>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numbering" w:customStyle="1" w:styleId="Aucuneliste1">
    <w:name w:val="Aucune liste1"/>
    <w:next w:val="NoList"/>
    <w:uiPriority w:val="99"/>
    <w:semiHidden/>
    <w:unhideWhenUsed/>
    <w:rsid w:val="00DB55B4"/>
  </w:style>
  <w:style w:type="table" w:customStyle="1" w:styleId="Grilledutableau1">
    <w:name w:val="Grille du tableau1"/>
    <w:basedOn w:val="TableNormal"/>
    <w:next w:val="TableGrid"/>
    <w:uiPriority w:val="39"/>
    <w:rsid w:val="00DB55B4"/>
    <w:pPr>
      <w:spacing w:after="0" w:line="240" w:lineRule="auto"/>
    </w:pPr>
    <w:rPr>
      <w:lang w:val="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C4F61F-08FA-47AF-9A73-B609DE25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22</TotalTime>
  <Pages>4</Pages>
  <Words>23864</Words>
  <Characters>131255</Characters>
  <Application>Microsoft Office Word</Application>
  <DocSecurity>0</DocSecurity>
  <Lines>1093</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mathieu KUCHENBUCH</cp:lastModifiedBy>
  <cp:revision>3</cp:revision>
  <cp:lastPrinted>2020-05-29T13:58:00Z</cp:lastPrinted>
  <dcterms:created xsi:type="dcterms:W3CDTF">2020-05-29T13:59:00Z</dcterms:created>
  <dcterms:modified xsi:type="dcterms:W3CDTF">2020-05-29T14:26:00Z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c42fd882-e863-3730-8284-992f50b17505</vt:lpwstr>
  </property>
  <property fmtid="{D5CDD505-2E9C-101B-9397-08002B2CF9AE}" pid="4" name="Mendeley Citation Style_1">
    <vt:lpwstr>http://www.zotero.org/styles/frontiers-in-neurology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http://www.zotero.org/styles/epilepsia</vt:lpwstr>
  </property>
  <property fmtid="{D5CDD505-2E9C-101B-9397-08002B2CF9AE}" pid="14" name="Mendeley Recent Style Name 4_1">
    <vt:lpwstr>Epilepsia</vt:lpwstr>
  </property>
  <property fmtid="{D5CDD505-2E9C-101B-9397-08002B2CF9AE}" pid="15" name="Mendeley Recent Style Id 5_1">
    <vt:lpwstr>http://www.zotero.org/styles/frontiers-in-neurology</vt:lpwstr>
  </property>
  <property fmtid="{D5CDD505-2E9C-101B-9397-08002B2CF9AE}" pid="16" name="Mendeley Recent Style Name 5_1">
    <vt:lpwstr>Frontiers in Neurology</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http://www.zotero.org/styles/nature-reviews-neurology</vt:lpwstr>
  </property>
  <property fmtid="{D5CDD505-2E9C-101B-9397-08002B2CF9AE}" pid="24" name="Mendeley Recent Style Name 9_1">
    <vt:lpwstr>Nature Reviews Neurology</vt:lpwstr>
  </property>
</Properties>
</file>