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2C3D8870" w14:textId="656A0F02" w:rsidR="00690D9A" w:rsidRDefault="00690D9A" w:rsidP="00635D15">
      <w:pPr>
        <w:pStyle w:val="Heading1"/>
        <w:numPr>
          <w:ilvl w:val="0"/>
          <w:numId w:val="0"/>
        </w:numPr>
        <w:ind w:left="567" w:hanging="567"/>
        <w:rPr>
          <w:rFonts w:asciiTheme="majorBidi" w:hAnsiTheme="majorBidi" w:cstheme="majorBidi"/>
          <w:bCs/>
        </w:rPr>
      </w:pPr>
      <w:r>
        <w:rPr>
          <w:rFonts w:asciiTheme="majorBidi" w:hAnsiTheme="majorBidi" w:cstheme="majorBidi"/>
          <w:bCs/>
        </w:rPr>
        <w:t>Sample collection</w:t>
      </w:r>
    </w:p>
    <w:p w14:paraId="2EAB1BD7" w14:textId="712A95E0" w:rsidR="00690D9A" w:rsidRPr="00215293" w:rsidRDefault="00690D9A" w:rsidP="00690D9A">
      <w:pPr>
        <w:autoSpaceDE w:val="0"/>
        <w:autoSpaceDN w:val="0"/>
        <w:adjustRightInd w:val="0"/>
        <w:spacing w:after="0"/>
        <w:rPr>
          <w:rFonts w:cs="Times New Roman"/>
          <w:szCs w:val="24"/>
        </w:rPr>
      </w:pPr>
      <w:r w:rsidRPr="00215293">
        <w:rPr>
          <w:rFonts w:cs="Times New Roman"/>
          <w:szCs w:val="24"/>
        </w:rPr>
        <w:t xml:space="preserve">Aerial microbiome samplers (typically termed </w:t>
      </w:r>
      <w:r w:rsidRPr="00215293">
        <w:rPr>
          <w:rFonts w:cs="Times New Roman"/>
          <w:i/>
          <w:iCs/>
          <w:szCs w:val="24"/>
        </w:rPr>
        <w:t>bioaerosol samplers</w:t>
      </w:r>
      <w:r w:rsidRPr="00215293">
        <w:rPr>
          <w:rFonts w:cs="Times New Roman"/>
          <w:szCs w:val="24"/>
        </w:rPr>
        <w:t xml:space="preserve">) can be </w:t>
      </w:r>
      <w:proofErr w:type="spellStart"/>
      <w:r w:rsidRPr="00215293">
        <w:rPr>
          <w:rFonts w:cs="Times New Roman"/>
          <w:szCs w:val="24"/>
        </w:rPr>
        <w:t>categorised</w:t>
      </w:r>
      <w:proofErr w:type="spellEnd"/>
      <w:r w:rsidRPr="00215293">
        <w:rPr>
          <w:rFonts w:cs="Times New Roman"/>
          <w:szCs w:val="24"/>
        </w:rPr>
        <w:t xml:space="preserve"> into several main functional types (Figure </w:t>
      </w:r>
      <w:r w:rsidR="00F67ED4">
        <w:rPr>
          <w:rFonts w:cs="Times New Roman"/>
          <w:szCs w:val="24"/>
        </w:rPr>
        <w:t>S</w:t>
      </w:r>
      <w:r w:rsidRPr="00215293">
        <w:rPr>
          <w:rFonts w:cs="Times New Roman"/>
          <w:szCs w:val="24"/>
        </w:rPr>
        <w:t>1</w:t>
      </w:r>
      <w:r>
        <w:rPr>
          <w:rFonts w:cs="Times New Roman"/>
          <w:szCs w:val="24"/>
        </w:rPr>
        <w:t>,</w:t>
      </w:r>
      <w:r w:rsidRPr="00215293">
        <w:rPr>
          <w:rFonts w:cs="Times New Roman"/>
          <w:szCs w:val="24"/>
        </w:rPr>
        <w:t xml:space="preserve"> see </w:t>
      </w:r>
      <w:r w:rsidRPr="00215293">
        <w:rPr>
          <w:rFonts w:cs="Times New Roman"/>
          <w:szCs w:val="24"/>
        </w:rPr>
        <w:fldChar w:fldCharType="begin" w:fldLock="1"/>
      </w:r>
      <w:r>
        <w:rPr>
          <w:rFonts w:cs="Times New Roman"/>
          <w:szCs w:val="24"/>
        </w:rPr>
        <w:instrText>ADDIN CSL_CITATION {"citationItems":[{"id":"ITEM-1","itemData":{"DOI":"10.1103/PhysRevB.71.165307","ISBN":"1653071011","ISSN":"10980121","author":[{"dropping-particle":"","family":"Lindsley","given":"W.G.","non-dropping-particle":"","parse-names":false,"suffix":""},{"dropping-particle":"","family":"Green","given":"B.J.","non-dropping-particle":"","parse-names":false,"suffix":""},{"dropping-particle":"","family":"Blachere","given":"F.M.","non-dropping-particle":"","parse-names":false,"suffix":""},{"dropping-particle":"","family":"Martin","given":"S.B.","non-dropping-particle":"","parse-names":false,"suffix":""},{"dropping-particle":"","family":"Law","given":"B.F.","non-dropping-particle":"","parse-names":false,"suffix":""},{"dropping-particle":"","family":"Jensen","given":"P.A.","non-dropping-particle":"","parse-names":false,"suffix":""},{"dropping-particle":"","family":"Schafer","given":"M.P.","non-dropping-particle":"","parse-names":false,"suffix":""}],"container-title":"NIOSH Manual of Analytical Methods","edition":"5th Editio","editor":[{"dropping-particle":"","family":"Ashley","given":"K.","non-dropping-particle":"","parse-names":false,"suffix":""},{"dropping-particle":"","family":"O'Connor","given":"P.F.","non-dropping-particle":"","parse-names":false,"suffix":""}],"id":"ITEM-1","issued":{"date-parts":[["2017"]]},"page":"82-112","publisher":"National Institute for Occupational Health and Safety","publisher-place":"Washington DC","title":"Sampling and Characterization of Bioaerosols","type":"chapter"},"uris":["http://www.mendeley.com/documents/?uuid=360e95e6-e61d-47f9-83a7-62bee483f852","http://www.mendeley.com/documents/?uuid=637fc614-7c55-4969-ac68-1c6b1650a2fa"]},{"id":"ITEM-2","itemData":{"DOI":"10.1016/j.jhin.2016.03.017","ISBN":"0195-6701","ISSN":"15322939","PMID":"27112048","abstract":"Investigations into the suspected airborne transmission of pathogens in healthcare environments have posed a challenge to researchers for more than a century. With each pathogen demonstrating a unique response to environmental conditions and the mechanical stresses it experiences, the choice of sampling device is not obvious. Our aim was to review bioaerosol sampling, sampling equipment, and methodology. A comprehensive literature search was performed, using electronic databases to retrieve English language papers on bioaerosol sampling. The review describes the mechanisms of popular bioaerosol sampling devices such as impingers, cyclones, impactors, and filters, explaining both their strengths and weaknesses, and the consequences for microbial bioefficiency. Numerous successful studies are described that point to best practice in bioaerosol sampling, from the use of small personal samplers to monitor workers' pathogen exposure through to large static samplers collecting airborne microbes in various healthcare settings. Of primary importance is the requirement that studies should commence by determining the bioefficiency of the chosen sampler and the pathogen under investigation within laboratory conditions. From such foundations, sampling for bioaerosol material in the complexity of the field holds greater certainty of successful capture of low-concentration airborne pathogens. From the laboratory to use in the field, this review enables the investigator to make informed decisions about the choice of bioaerosol sampler and its application.","author":[{"dropping-particle":"","family":"Haig","given":"C. W.","non-dropping-particle":"","parse-names":false,"suffix":""},{"dropping-particle":"","family":"Mackay","given":"W. G.","non-dropping-particle":"","parse-names":false,"suffix":""},{"dropping-particle":"","family":"Walker","given":"J. T.","non-dropping-particle":"","parse-names":false,"suffix":""},{"dropping-particle":"","family":"Williams","given":"C.","non-dropping-particle":"","parse-names":false,"suffix":""}],"container-title":"Journal of Hospital Infection","id":"ITEM-2","issue":"3","issued":{"date-parts":[["2016"]]},"page":"242-255","publisher":"Elsevier Ltd","title":"Bioaerosol sampling: Sampling mechanisms, bioefficiency and field studies","type":"article-journal","volume":"93"},"uris":["http://www.mendeley.com/documents/?uuid=521c3f72-57cd-4968-815b-cc12fc636f0e","http://www.mendeley.com/documents/?uuid=828f0392-1aa1-4c0e-800f-0c2307480cbd"]},{"id":"ITEM-3","itemData":{"DOI":"10.1016/j.envint.2015.09.018","ISBN":"0160-4120","ISSN":"18736750","PMID":"26436919","abstract":"Several tiny organisms of various size ranges present in air are called airborne particles or bioaerosol which mainly includes live or dead fungi and bacteria, their secondary metabolites, viruses, pollens, etc. which have been related to health issues of human beings and other life stocks. Bio-terror attacks in 2001 as well as pandemic outbreak of flue due to influenza A H1N1 virus in 2009 have alarmed us about the importance of bioaerosol research. Hence characterization i.e. identification and quantification of different airborne microorganisms in various indoor environments is necessary to identify the associated risks and to establish exposure threshold. Along with the bioaerosol sampling and their analytical techniques, various literatures revealing the concentration levels of bioaerosol have been mentioned in this review thereby contributing to the knowledge of identification and quantification of bioaerosols and their different constituents in various indoor environments (both occupational and non-occupational sections). Apart from recognition of bioaerosol, developments of their control mechanisms also play an important role. Hence several control methods have also been briefly reviewed. However, several individual levels of efforts such as periodic cleaning operations, maintenance activities and proper ventilation system also serve in their best way to improve indoor air quality.","author":[{"dropping-particle":"","family":"Ghosh","given":"Bipasha","non-dropping-particle":"","parse-names":false,"suffix":""},{"dropping-particle":"","family":"Lal","given":"Himanshu","non-dropping-particle":"","parse-names":false,"suffix":""},{"dropping-particle":"","family":"Srivastava","given":"Arun","non-dropping-particle":"","parse-names":false,"suffix":""}],"container-title":"Environment International","id":"ITEM-3","issued":{"date-parts":[["2015"]]},"page":"254-272","publisher":"Elsevier Ltd","title":"Review of bioaerosols in indoor environment with special reference to sampling, analysis and control mechanisms","type":"article-journal","volume":"85"},"uris":["http://www.mendeley.com/documents/?uuid=abbaf4d3-e2f7-49b1-a964-72a855c74d70","http://www.mendeley.com/documents/?uuid=029a122f-a068-4d5d-a36a-15eab8af503f"]}],"mendeley":{"formattedCitation":"(Ghosh et al., 2015; Haig et al., 2016; Lindsley et al., 2017)","manualFormatting":"Ghosh et al., 2015; Haig et al., 2016; and Lindsley et al., 2017","plainTextFormattedCitation":"(Ghosh et al., 2015; Haig et al., 2016; Lindsley et al., 2017)","previouslyFormattedCitation":"(Ghosh et al., 2015; Haig et al., 2016; Lindsley et al., 2017)"},"properties":{"noteIndex":0},"schema":"https://github.com/citation-style-language/schema/raw/master/csl-citation.json"}</w:instrText>
      </w:r>
      <w:r w:rsidRPr="00215293">
        <w:rPr>
          <w:rFonts w:cs="Times New Roman"/>
          <w:szCs w:val="24"/>
        </w:rPr>
        <w:fldChar w:fldCharType="separate"/>
      </w:r>
      <w:r w:rsidRPr="00215293">
        <w:rPr>
          <w:rFonts w:cs="Times New Roman"/>
          <w:noProof/>
          <w:szCs w:val="24"/>
        </w:rPr>
        <w:t>Ghosh et al., 2015; Haig et al., 2016; and Lindsley et al., 2017</w:t>
      </w:r>
      <w:r w:rsidRPr="00215293">
        <w:rPr>
          <w:rFonts w:cs="Times New Roman"/>
          <w:szCs w:val="24"/>
        </w:rPr>
        <w:fldChar w:fldCharType="end"/>
      </w:r>
      <w:r w:rsidRPr="00215293">
        <w:rPr>
          <w:rFonts w:cs="Times New Roman"/>
          <w:szCs w:val="24"/>
        </w:rPr>
        <w:t xml:space="preserve"> for comprehensive overviews). Within each functional type, samplers tend to have a set of common advantages and limitations (see Table </w:t>
      </w:r>
      <w:r>
        <w:rPr>
          <w:rFonts w:cs="Times New Roman"/>
          <w:szCs w:val="24"/>
        </w:rPr>
        <w:t>S</w:t>
      </w:r>
      <w:r w:rsidR="00F67ED4">
        <w:rPr>
          <w:rFonts w:cs="Times New Roman"/>
          <w:szCs w:val="24"/>
        </w:rPr>
        <w:t>1</w:t>
      </w:r>
      <w:r w:rsidRPr="00215293">
        <w:rPr>
          <w:rFonts w:cs="Times New Roman"/>
          <w:szCs w:val="24"/>
        </w:rPr>
        <w:t xml:space="preserve">). For example, filters tend to have high collection efficiencies, but poor potential for the maintenance of biological viability. However, even within categories, the available samplers are highly diverse and can have </w:t>
      </w:r>
      <w:r w:rsidR="00F67ED4">
        <w:rPr>
          <w:rFonts w:cs="Times New Roman"/>
          <w:szCs w:val="24"/>
        </w:rPr>
        <w:t>variable</w:t>
      </w:r>
      <w:r w:rsidRPr="00215293">
        <w:rPr>
          <w:rFonts w:cs="Times New Roman"/>
          <w:szCs w:val="24"/>
        </w:rPr>
        <w:t xml:space="preserve"> sampling capacities and characteristics (such as flow rate, collection efficiency, and collection medium, e.g. see </w:t>
      </w:r>
      <w:r w:rsidRPr="00215293">
        <w:rPr>
          <w:rFonts w:cs="Times New Roman"/>
          <w:szCs w:val="24"/>
        </w:rPr>
        <w:fldChar w:fldCharType="begin" w:fldLock="1"/>
      </w:r>
      <w:r w:rsidR="00F67ED4">
        <w:rPr>
          <w:rFonts w:cs="Times New Roman"/>
          <w:szCs w:val="24"/>
        </w:rPr>
        <w:instrText>ADDIN CSL_CITATION {"citationItems":[{"id":"ITEM-1","itemData":{"DOI":"10.1039/c4em00510d","ISSN":"20507895","abstract":"&lt;p&gt;Humans contract a variety of serious diseases through inhalation of infectious aerosols.&lt;/p&gt;","author":[{"dropping-particle":"","family":"Kesavan","given":"Jana","non-dropping-particle":"","parse-names":false,"suffix":""},{"dropping-particle":"","family":"Sagripanti","given":"Jose Luis","non-dropping-particle":"","parse-names":false,"suffix":""}],"container-title":"Environmental Sciences: Processes and Impacts","id":"ITEM-1","issue":"3","issued":{"date-parts":[["2015"]]},"page":"638-645","publisher":"Royal Society of Chemistry","title":"Evaluation criteria for bioaerosol samplers","type":"article-journal","volume":"17"},"uris":["http://www.mendeley.com/documents/?uuid=b3356a42-f372-4d6d-a3bb-f7af8112ed94","http://www.mendeley.com/documents/?uuid=daa53b2b-1ac7-44b2-ab6a-02d983497350"]},{"id":"ITEM-2","itemData":{"DOI":"10.1016/j.jhin.2016.03.017","ISBN":"0195-6701","ISSN":"15322939","PMID":"27112048","abstract":"Investigations into the suspected airborne transmission of pathogens in healthcare environments have posed a challenge to researchers for more than a century. With each pathogen demonstrating a unique response to environmental conditions and the mechanical stresses it experiences, the choice of sampling device is not obvious. Our aim was to review bioaerosol sampling, sampling equipment, and methodology. A comprehensive literature search was performed, using electronic databases to retrieve English language papers on bioaerosol sampling. The review describes the mechanisms of popular bioaerosol sampling devices such as impingers, cyclones, impactors, and filters, explaining both their strengths and weaknesses, and the consequences for microbial bioefficiency. Numerous successful studies are described that point to best practice in bioaerosol sampling, from the use of small personal samplers to monitor workers' pathogen exposure through to large static samplers collecting airborne microbes in various healthcare settings. Of primary importance is the requirement that studies should commence by determining the bioefficiency of the chosen sampler and the pathogen under investigation within laboratory conditions. From such foundations, sampling for bioaerosol material in the complexity of the field holds greater certainty of successful capture of low-concentration airborne pathogens. From the laboratory to use in the field, this review enables the investigator to make informed decisions about the choice of bioaerosol sampler and its application.","author":[{"dropping-particle":"","family":"Haig","given":"C. W.","non-dropping-particle":"","parse-names":false,"suffix":""},{"dropping-particle":"","family":"Mackay","given":"W. G.","non-dropping-particle":"","parse-names":false,"suffix":""},{"dropping-particle":"","family":"Walker","given":"J. T.","non-dropping-particle":"","parse-names":false,"suffix":""},{"dropping-particle":"","family":"Williams","given":"C.","non-dropping-particle":"","parse-names":false,"suffix":""}],"container-title":"Journal of Hospital Infection","id":"ITEM-2","issue":"3","issued":{"date-parts":[["2016"]]},"page":"242-255","publisher":"Elsevier Ltd","title":"Bioaerosol sampling: Sampling mechanisms, bioefficiency and field studies","type":"article-journal","volume":"93"},"uris":["http://www.mendeley.com/documents/?uuid=828f0392-1aa1-4c0e-800f-0c2307480cbd","http://www.mendeley.com/documents/?uuid=521c3f72-57cd-4968-815b-cc12fc636f0e"]},{"id":"ITEM-3","itemData":{"DOI":"10.1371/journal.pone.0120308","ISSN":"19326203","PMID":"25799419","abstract":"Ambient bioaerosols are ubiquitous in the daily environment and can affect health in various ways. However, few studies have been conducted to comprehensively evaluate personal bioaerosol exposure in occupational and indoor environments because of the complex composition of bioaerosols and the lack of standardized sampling/analysis methods. We conducted a study to determine the most efficient collection/analysis method for the personal exposure assessment of multiple bioaerosols. The sampling efficiencies of three filters and four samplers were compared. According to our results, polycarbonate (PC) filters had the highest relative efficiency, particularly for bacteria. Side-by-side sampling was conducted to evaluate the three filter samplers (with PC filters) and the NIOSH Personal Bioaerosol Cyclone Sampler. According to the results, the Button Aerosol Sampler and the IOM Inhalable Dust Sampler had the highest relative efficiencies for fungi and bacteria, followed by the NIOSH sampler. Personal sampling was performed in a pig farm to assess occupational bioaerosol exposure and to evaluate the sampling/analysis methods. The Button and IOM samplers yielded a similar performance for personal bioaerosol sampling at the pig farm. However, the Button sampler is more likely to be clogged at high airborne dust concentrations because of its higher flow rate (4 L/min). Therefore, the IOM sampler is a more appropriate choice for performing personal sampling in environments with high dust levels. In summary, the Button and IOM samplers with PC filters are efficient sampling/analysis methods for the personal exposure assessment of multiple bioaerosols.","author":[{"dropping-particle":"","family":"Wang","given":"Chi Hsun","non-dropping-particle":"","parse-names":false,"suffix":""},{"dropping-particle":"","family":"Chen","given":"Bean T.","non-dropping-particle":"","parse-names":false,"suffix":""},{"dropping-particle":"","family":"Han","given":"Bor Cheng","non-dropping-particle":"","parse-names":false,"suffix":""},{"dropping-particle":"","family":"Liu","given":"Andrew Chi Yeu","non-dropping-particle":"","parse-names":false,"suffix":""},{"dropping-particle":"","family":"Hung","given":"Po Chen","non-dropping-particle":"","parse-names":false,"suffix":""},{"dropping-particle":"","family":"Chen","given":"Chih Yong","non-dropping-particle":"","parse-names":false,"suffix":""},{"dropping-particle":"","family":"Chao","given":"Hsing Jasmine","non-dropping-particle":"","parse-names":false,"suffix":""}],"container-title":"PLoS ONE","id":"ITEM-3","issue":"3","issued":{"date-parts":[["2015"]]},"page":"1-19","title":"Field evaluation of personal sampling methods for multiple bioaerosols","type":"article-journal","volume":"10"},"uris":["http://www.mendeley.com/documents/?uuid=0829a317-1fe1-488b-bbf2-6f5d72871ce2","http://www.mendeley.com/documents/?uuid=9410cd5e-33f5-48eb-a1f8-3bb92ca0a0d4","http://www.mendeley.com/documents/?uuid=9a57c66f-d9e3-4069-9743-1e350601c951"]}],"mendeley":{"formattedCitation":"(Haig et al., 2016; Kesavan and Sagripanti, 2015; Wang et al., 2015)","manualFormatting":"Haig et al., 2016; Kesavan and Sagripanti, 2015; Wang et al., 2015","plainTextFormattedCitation":"(Haig et al., 2016; Kesavan and Sagripanti, 2015; Wang et al., 2015)","previouslyFormattedCitation":"(Haig et al., 2016; Kesavan and Sagripanti, 2015; Wang et al., 2015)"},"properties":{"noteIndex":0},"schema":"https://github.com/citation-style-language/schema/raw/master/csl-citation.json"}</w:instrText>
      </w:r>
      <w:r w:rsidRPr="00215293">
        <w:rPr>
          <w:rFonts w:cs="Times New Roman"/>
          <w:szCs w:val="24"/>
        </w:rPr>
        <w:fldChar w:fldCharType="separate"/>
      </w:r>
      <w:r w:rsidRPr="00690D9A">
        <w:rPr>
          <w:rFonts w:cs="Times New Roman"/>
          <w:noProof/>
          <w:szCs w:val="24"/>
        </w:rPr>
        <w:t>Haig et al., 2016; Kesavan and Sagripanti, 2015; Wang et al., 2015</w:t>
      </w:r>
      <w:r w:rsidRPr="00215293">
        <w:rPr>
          <w:rFonts w:cs="Times New Roman"/>
          <w:szCs w:val="24"/>
        </w:rPr>
        <w:fldChar w:fldCharType="end"/>
      </w:r>
      <w:r>
        <w:rPr>
          <w:rFonts w:cs="Times New Roman"/>
          <w:szCs w:val="24"/>
        </w:rPr>
        <w:t xml:space="preserve"> for a summary)</w:t>
      </w:r>
      <w:r w:rsidRPr="00215293">
        <w:rPr>
          <w:rFonts w:cs="Times New Roman"/>
          <w:szCs w:val="24"/>
        </w:rPr>
        <w:t xml:space="preserve">. A comprehensive list of bioaerosol samplers, together with their particle size range and application </w:t>
      </w:r>
      <w:r>
        <w:rPr>
          <w:rFonts w:cs="Times New Roman"/>
          <w:szCs w:val="24"/>
        </w:rPr>
        <w:t>suitability is provided in Lindsle</w:t>
      </w:r>
      <w:r w:rsidRPr="00215293">
        <w:rPr>
          <w:rFonts w:cs="Times New Roman"/>
          <w:szCs w:val="24"/>
        </w:rPr>
        <w:t>y et al. 2017.</w:t>
      </w:r>
    </w:p>
    <w:p w14:paraId="7557D1F5" w14:textId="77777777" w:rsidR="00690D9A" w:rsidRPr="00215293" w:rsidRDefault="00690D9A" w:rsidP="00690D9A">
      <w:pPr>
        <w:autoSpaceDE w:val="0"/>
        <w:autoSpaceDN w:val="0"/>
        <w:adjustRightInd w:val="0"/>
        <w:spacing w:after="0"/>
        <w:rPr>
          <w:rFonts w:cs="Times New Roman"/>
          <w:szCs w:val="24"/>
        </w:rPr>
      </w:pPr>
    </w:p>
    <w:p w14:paraId="79C29B38" w14:textId="77777777" w:rsidR="00F67ED4" w:rsidRDefault="00F67ED4" w:rsidP="00F67ED4">
      <w:pPr>
        <w:rPr>
          <w:rFonts w:asciiTheme="majorBidi" w:hAnsiTheme="majorBidi" w:cstheme="majorBidi"/>
          <w:szCs w:val="24"/>
        </w:rPr>
      </w:pPr>
      <w:r>
        <w:rPr>
          <w:rFonts w:asciiTheme="majorBidi" w:hAnsiTheme="majorBidi" w:cstheme="majorBidi"/>
          <w:noProof/>
          <w:szCs w:val="24"/>
        </w:rPr>
        <w:drawing>
          <wp:inline distT="0" distB="0" distL="0" distR="0" wp14:anchorId="0AB4AB21" wp14:editId="5015C4B0">
            <wp:extent cx="5731510" cy="2613025"/>
            <wp:effectExtent l="0" t="0" r="2540" b="0"/>
            <wp:docPr id="2" name="Picture 2" descr="A picture containing indoor, table, different,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ies_Figure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613025"/>
                    </a:xfrm>
                    <a:prstGeom prst="rect">
                      <a:avLst/>
                    </a:prstGeom>
                  </pic:spPr>
                </pic:pic>
              </a:graphicData>
            </a:graphic>
          </wp:inline>
        </w:drawing>
      </w:r>
    </w:p>
    <w:p w14:paraId="39C9B86B" w14:textId="77777777" w:rsidR="00F67ED4" w:rsidRPr="006669E7" w:rsidRDefault="00F67ED4" w:rsidP="00F67ED4">
      <w:pPr>
        <w:spacing w:afterLines="100"/>
        <w:rPr>
          <w:rFonts w:asciiTheme="majorBidi" w:hAnsiTheme="majorBidi" w:cstheme="majorBidi"/>
          <w:bCs/>
          <w:szCs w:val="24"/>
        </w:rPr>
      </w:pPr>
      <w:r w:rsidRPr="006669E7">
        <w:rPr>
          <w:rFonts w:asciiTheme="majorBidi" w:hAnsiTheme="majorBidi" w:cstheme="majorBidi"/>
          <w:b/>
          <w:szCs w:val="24"/>
        </w:rPr>
        <w:t xml:space="preserve">Figure 1. </w:t>
      </w:r>
      <w:r w:rsidRPr="006669E7">
        <w:rPr>
          <w:rFonts w:asciiTheme="majorBidi" w:hAnsiTheme="majorBidi" w:cstheme="majorBidi"/>
          <w:bCs/>
          <w:szCs w:val="24"/>
        </w:rPr>
        <w:t>Schematic illustrating the key types of bioaerosol samplers</w:t>
      </w:r>
      <w:r>
        <w:rPr>
          <w:rFonts w:asciiTheme="majorBidi" w:hAnsiTheme="majorBidi" w:cstheme="majorBidi"/>
          <w:bCs/>
          <w:szCs w:val="24"/>
        </w:rPr>
        <w:t>: (a) Filter (IOM sampler); (b) Cascade impactor (</w:t>
      </w:r>
      <w:proofErr w:type="spellStart"/>
      <w:r>
        <w:rPr>
          <w:rFonts w:asciiTheme="majorBidi" w:hAnsiTheme="majorBidi" w:cstheme="majorBidi"/>
          <w:bCs/>
          <w:szCs w:val="24"/>
        </w:rPr>
        <w:t>Sioutas</w:t>
      </w:r>
      <w:proofErr w:type="spellEnd"/>
      <w:r>
        <w:rPr>
          <w:rFonts w:asciiTheme="majorBidi" w:hAnsiTheme="majorBidi" w:cstheme="majorBidi"/>
          <w:bCs/>
          <w:szCs w:val="24"/>
        </w:rPr>
        <w:t>) (c) Cyclone (</w:t>
      </w:r>
      <w:proofErr w:type="spellStart"/>
      <w:r>
        <w:rPr>
          <w:rFonts w:asciiTheme="majorBidi" w:hAnsiTheme="majorBidi" w:cstheme="majorBidi"/>
          <w:bCs/>
          <w:szCs w:val="24"/>
        </w:rPr>
        <w:t>aluminium</w:t>
      </w:r>
      <w:proofErr w:type="spellEnd"/>
      <w:r>
        <w:rPr>
          <w:rFonts w:asciiTheme="majorBidi" w:hAnsiTheme="majorBidi" w:cstheme="majorBidi"/>
          <w:bCs/>
          <w:szCs w:val="24"/>
        </w:rPr>
        <w:t xml:space="preserve"> cyclone); (d) Impinger (glass midget impinger mounted on pump). Images courtesy of SKC Inc.</w:t>
      </w:r>
    </w:p>
    <w:p w14:paraId="2EF89EE7" w14:textId="77777777" w:rsidR="00F67ED4" w:rsidRPr="00215293" w:rsidRDefault="00F67ED4" w:rsidP="00F67ED4">
      <w:pPr>
        <w:autoSpaceDE w:val="0"/>
        <w:autoSpaceDN w:val="0"/>
        <w:adjustRightInd w:val="0"/>
        <w:spacing w:after="0"/>
        <w:rPr>
          <w:rFonts w:cs="Times New Roman"/>
          <w:szCs w:val="24"/>
        </w:rPr>
      </w:pPr>
      <w:r>
        <w:rPr>
          <w:rFonts w:cs="Times New Roman"/>
          <w:szCs w:val="24"/>
        </w:rPr>
        <w:lastRenderedPageBreak/>
        <w:t>The key implication of the diversity and differences between samplers is that s</w:t>
      </w:r>
      <w:r w:rsidRPr="00215293">
        <w:rPr>
          <w:rFonts w:cs="Times New Roman"/>
          <w:szCs w:val="24"/>
        </w:rPr>
        <w:t>ampler choice strongly affect</w:t>
      </w:r>
      <w:r>
        <w:rPr>
          <w:rFonts w:cs="Times New Roman"/>
          <w:szCs w:val="24"/>
        </w:rPr>
        <w:t>s</w:t>
      </w:r>
      <w:r w:rsidRPr="00215293">
        <w:rPr>
          <w:rFonts w:cs="Times New Roman"/>
          <w:szCs w:val="24"/>
        </w:rPr>
        <w:t xml:space="preserve"> the outcomes of aerial microbiome studies. Results from studies using different samplers are not easily comparable, and in some cases inappropriate sampler choice may </w:t>
      </w:r>
      <w:r>
        <w:rPr>
          <w:rFonts w:cs="Times New Roman"/>
          <w:szCs w:val="24"/>
        </w:rPr>
        <w:t xml:space="preserve">make </w:t>
      </w:r>
      <w:r w:rsidRPr="00215293">
        <w:rPr>
          <w:rFonts w:cs="Times New Roman"/>
          <w:szCs w:val="24"/>
        </w:rPr>
        <w:t xml:space="preserve">a study’s conclusions invalid. </w:t>
      </w:r>
      <w:r>
        <w:rPr>
          <w:rFonts w:cs="Times New Roman"/>
          <w:szCs w:val="24"/>
        </w:rPr>
        <w:t xml:space="preserve">For example, </w:t>
      </w:r>
      <w:r w:rsidRPr="00215293">
        <w:rPr>
          <w:rFonts w:cs="Times New Roman"/>
          <w:szCs w:val="24"/>
        </w:rPr>
        <w:fldChar w:fldCharType="begin" w:fldLock="1"/>
      </w:r>
      <w:r>
        <w:rPr>
          <w:rFonts w:cs="Times New Roman"/>
          <w:szCs w:val="24"/>
        </w:rPr>
        <w:instrText>ADDIN CSL_CITATION {"citationItems":[{"id":"ITEM-1","itemData":{"DOI":"10.1039/c4em00510d","ISSN":"20507895","abstract":"&lt;p&gt;Humans contract a variety of serious diseases through inhalation of infectious aerosols.&lt;/p&gt;","author":[{"dropping-particle":"","family":"Kesavan","given":"Jana","non-dropping-particle":"","parse-names":false,"suffix":""},{"dropping-particle":"","family":"Sagripanti","given":"Jose Luis","non-dropping-particle":"","parse-names":false,"suffix":""}],"container-title":"Environmental Sciences: Processes and Impacts","id":"ITEM-1","issue":"3","issued":{"date-parts":[["2015"]]},"page":"638-645","publisher":"Royal Society of Chemistry","title":"Evaluation criteria for bioaerosol samplers","type":"article-journal","volume":"17"},"uris":["http://www.mendeley.com/documents/?uuid=daa53b2b-1ac7-44b2-ab6a-02d983497350","http://www.mendeley.com/documents/?uuid=578f8c40-3364-40e2-ad9d-8a66212fd1a2"]}],"mendeley":{"formattedCitation":"(Kesavan and Sagripanti, 2015)","manualFormatting":"Kesavan and Sagripanti (2015","plainTextFormattedCitation":"(Kesavan and Sagripanti, 2015)","previouslyFormattedCitation":"(Kesavan and Sagripanti, 2015)"},"properties":{"noteIndex":0},"schema":"https://github.com/citation-style-language/schema/raw/master/csl-citation.json"}</w:instrText>
      </w:r>
      <w:r w:rsidRPr="00215293">
        <w:rPr>
          <w:rFonts w:cs="Times New Roman"/>
          <w:szCs w:val="24"/>
        </w:rPr>
        <w:fldChar w:fldCharType="separate"/>
      </w:r>
      <w:r w:rsidRPr="00215293">
        <w:rPr>
          <w:rFonts w:cs="Times New Roman"/>
          <w:noProof/>
          <w:szCs w:val="24"/>
        </w:rPr>
        <w:t>Kesavan and Sagripanti (2015</w:t>
      </w:r>
      <w:r w:rsidRPr="00215293">
        <w:rPr>
          <w:rFonts w:cs="Times New Roman"/>
          <w:szCs w:val="24"/>
        </w:rPr>
        <w:fldChar w:fldCharType="end"/>
      </w:r>
      <w:r w:rsidRPr="00215293">
        <w:rPr>
          <w:rFonts w:cs="Times New Roman"/>
          <w:szCs w:val="24"/>
        </w:rPr>
        <w:t xml:space="preserve">) show that inadequate sampler selection can result in a serious underestimate of </w:t>
      </w:r>
      <w:r>
        <w:rPr>
          <w:rFonts w:cs="Times New Roman"/>
          <w:szCs w:val="24"/>
        </w:rPr>
        <w:t xml:space="preserve">infectious disease </w:t>
      </w:r>
      <w:r w:rsidRPr="00215293">
        <w:rPr>
          <w:rFonts w:cs="Times New Roman"/>
          <w:szCs w:val="24"/>
        </w:rPr>
        <w:t>risk</w:t>
      </w:r>
      <w:r>
        <w:rPr>
          <w:rFonts w:cs="Times New Roman"/>
          <w:szCs w:val="24"/>
        </w:rPr>
        <w:t>, the same principles would apply when sampling UAMs and could lead to an underestimation of ecosystem service potential</w:t>
      </w:r>
      <w:r w:rsidRPr="00215293">
        <w:rPr>
          <w:rFonts w:cs="Times New Roman"/>
          <w:szCs w:val="24"/>
        </w:rPr>
        <w:t xml:space="preserve">. Although sampling technologies are continuing to advance and evolve, </w:t>
      </w:r>
      <w:proofErr w:type="spellStart"/>
      <w:r>
        <w:rPr>
          <w:rFonts w:cs="Times New Roman"/>
          <w:szCs w:val="24"/>
        </w:rPr>
        <w:t>standardisation</w:t>
      </w:r>
      <w:proofErr w:type="spellEnd"/>
      <w:r>
        <w:rPr>
          <w:rFonts w:cs="Times New Roman"/>
          <w:szCs w:val="24"/>
        </w:rPr>
        <w:t xml:space="preserve"> remains unlikely given that sampler choice will remain guided by study design and questions. However, the obstacle of different sample collection techniques for understanding UAM’s for ecosystem service provision will be minimized if techniques for downstream genetic and statistical analysis are unified and data sharing implemented</w:t>
      </w:r>
      <w:r w:rsidRPr="00215293">
        <w:rPr>
          <w:rFonts w:cs="Times New Roman"/>
          <w:szCs w:val="24"/>
        </w:rPr>
        <w:t>.</w:t>
      </w:r>
      <w:r>
        <w:rPr>
          <w:rFonts w:cs="Times New Roman"/>
          <w:szCs w:val="24"/>
        </w:rPr>
        <w:t xml:space="preserve"> Here we describe some of the benefits and drawbacks of the various sampling methods.</w:t>
      </w:r>
    </w:p>
    <w:p w14:paraId="7B93E6FA" w14:textId="77777777" w:rsidR="00F67ED4" w:rsidRPr="00690D9A" w:rsidRDefault="00F67ED4" w:rsidP="00690D9A"/>
    <w:p w14:paraId="73DC4FB3" w14:textId="5B56F1C1" w:rsidR="00635D15" w:rsidRPr="00635D15" w:rsidRDefault="00635D15" w:rsidP="00635D15">
      <w:pPr>
        <w:pStyle w:val="Heading1"/>
        <w:numPr>
          <w:ilvl w:val="0"/>
          <w:numId w:val="0"/>
        </w:numPr>
        <w:ind w:left="567" w:hanging="567"/>
        <w:rPr>
          <w:rFonts w:asciiTheme="majorBidi" w:hAnsiTheme="majorBidi" w:cstheme="majorBidi"/>
          <w:b w:val="0"/>
          <w:bCs/>
        </w:rPr>
      </w:pPr>
      <w:r>
        <w:rPr>
          <w:rFonts w:asciiTheme="majorBidi" w:hAnsiTheme="majorBidi" w:cstheme="majorBidi"/>
          <w:bCs/>
        </w:rPr>
        <w:t>T</w:t>
      </w:r>
      <w:r w:rsidRPr="00635D15">
        <w:rPr>
          <w:rFonts w:asciiTheme="majorBidi" w:hAnsiTheme="majorBidi" w:cstheme="majorBidi"/>
          <w:bCs/>
        </w:rPr>
        <w:t>able S</w:t>
      </w:r>
      <w:r w:rsidR="00690D9A">
        <w:rPr>
          <w:rFonts w:asciiTheme="majorBidi" w:hAnsiTheme="majorBidi" w:cstheme="majorBidi"/>
          <w:bCs/>
        </w:rPr>
        <w:t>1</w:t>
      </w:r>
      <w:r w:rsidRPr="00635D15">
        <w:rPr>
          <w:rFonts w:asciiTheme="majorBidi" w:hAnsiTheme="majorBidi" w:cstheme="majorBidi"/>
        </w:rPr>
        <w:t xml:space="preserve">. </w:t>
      </w:r>
      <w:r w:rsidRPr="00635D15">
        <w:rPr>
          <w:rFonts w:asciiTheme="majorBidi" w:hAnsiTheme="majorBidi" w:cstheme="majorBidi"/>
          <w:b w:val="0"/>
          <w:bCs/>
        </w:rPr>
        <w:t xml:space="preserve">Core categories of microbiome (bioaerosol) samplers and their key advantages and limitations. Based on comprehensive reviews in </w:t>
      </w:r>
      <w:r w:rsidRPr="00635D15">
        <w:rPr>
          <w:rFonts w:asciiTheme="majorBidi" w:hAnsiTheme="majorBidi" w:cstheme="majorBidi"/>
          <w:b w:val="0"/>
          <w:bCs/>
        </w:rPr>
        <w:fldChar w:fldCharType="begin" w:fldLock="1"/>
      </w:r>
      <w:r w:rsidR="00690D9A">
        <w:rPr>
          <w:rFonts w:asciiTheme="majorBidi" w:hAnsiTheme="majorBidi" w:cstheme="majorBidi"/>
          <w:b w:val="0"/>
          <w:bCs/>
        </w:rPr>
        <w:instrText>ADDIN CSL_CITATION {"citationItems":[{"id":"ITEM-1","itemData":{"DOI":"10.1103/PhysRevB.71.165307","ISBN":"1653071011","ISSN":"10980121","author":[{"dropping-particle":"","family":"Lindsley","given":"W.G.","non-dropping-particle":"","parse-names":false,"suffix":""},{"dropping-particle":"","family":"Green","given":"B.J.","non-dropping-particle":"","parse-names":false,"suffix":""},{"dropping-particle":"","family":"Blachere","given":"F.M.","non-dropping-particle":"","parse-names":false,"suffix":""},{"dropping-particle":"","family":"Martin","given":"S.B.","non-dropping-particle":"","parse-names":false,"suffix":""},{"dropping-particle":"","family":"Law","given":"B.F.","non-dropping-particle":"","parse-names":false,"suffix":""},{"dropping-particle":"","family":"Jensen","given":"P.A.","non-dropping-particle":"","parse-names":false,"suffix":""},{"dropping-particle":"","family":"Schafer","given":"M.P.","non-dropping-particle":"","parse-names":false,"suffix":""}],"container-title":"NIOSH Manual of Analytical Methods","edition":"5th Editio","editor":[{"dropping-particle":"","family":"Ashley","given":"K.","non-dropping-particle":"","parse-names":false,"suffix":""},{"dropping-particle":"","family":"O'Connor","given":"P.F.","non-dropping-particle":"","parse-names":false,"suffix":""}],"id":"ITEM-1","issued":{"date-parts":[["2017"]]},"page":"82-112","publisher":"National Institute for Occupational Health and Safety","publisher-place":"Washington DC","title":"Sampling and Characterization of Bioaerosols","type":"chapter"},"uris":["http://www.mendeley.com/documents/?uuid=637fc614-7c55-4969-ac68-1c6b1650a2fa","http://www.mendeley.com/documents/?uuid=360e95e6-e61d-47f9-83a7-62bee483f852","http://www.mendeley.com/documents/?uuid=4992ca05-e2c4-41d3-85c6-4222cc93a3eb"]},{"id":"ITEM-2","itemData":{"DOI":"10.1016/j.envint.2015.09.018","ISBN":"0160-4120","ISSN":"18736750","PMID":"26436919","abstract":"Several tiny organisms of various size ranges present in air are called airborne particles or bioaerosol which mainly includes live or dead fungi and bacteria, their secondary metabolites, viruses, pollens, etc. which have been related to health issues of human beings and other life stocks. Bio-terror attacks in 2001 as well as pandemic outbreak of flue due to influenza A H1N1 virus in 2009 have alarmed us about the importance of bioaerosol research. Hence characterization i.e. identification and quantification of different airborne microorganisms in various indoor environments is necessary to identify the associated risks and to establish exposure threshold. Along with the bioaerosol sampling and their analytical techniques, various literatures revealing the concentration levels of bioaerosol have been mentioned in this review thereby contributing to the knowledge of identification and quantification of bioaerosols and their different constituents in various indoor environments (both occupational and non-occupational sections). Apart from recognition of bioaerosol, developments of their control mechanisms also play an important role. Hence several control methods have also been briefly reviewed. However, several individual levels of efforts such as periodic cleaning operations, maintenance activities and proper ventilation system also serve in their best way to improve indoor air quality.","author":[{"dropping-particle":"","family":"Ghosh","given":"Bipasha","non-dropping-particle":"","parse-names":false,"suffix":""},{"dropping-particle":"","family":"Lal","given":"Himanshu","non-dropping-particle":"","parse-names":false,"suffix":""},{"dropping-particle":"","family":"Srivastava","given":"Arun","non-dropping-particle":"","parse-names":false,"suffix":""}],"container-title":"Environment International","id":"ITEM-2","issued":{"date-parts":[["2015"]]},"page":"254-272","publisher":"Elsevier Ltd","title":"Review of bioaerosols in indoor environment with special reference to sampling, analysis and control mechanisms","type":"article-journal","volume":"85"},"uris":["http://www.mendeley.com/documents/?uuid=029a122f-a068-4d5d-a36a-15eab8af503f","http://www.mendeley.com/documents/?uuid=abbaf4d3-e2f7-49b1-a964-72a855c74d70","http://www.mendeley.com/documents/?uuid=82719932-06e2-46be-a328-62eaaa55d017","http://www.mendeley.com/documents/?uuid=2a09ab61-a07d-4148-9fc0-05644f19962d"]},{"id":"ITEM-3","itemData":{"DOI":"10.1039/c4em00510d","ISSN":"20507895","abstract":"&lt;p&gt;Humans contract a variety of serious diseases through inhalation of infectious aerosols.&lt;/p&gt;","author":[{"dropping-particle":"","family":"Kesavan","given":"Jana","non-dropping-particle":"","parse-names":false,"suffix":""},{"dropping-particle":"","family":"Sagripanti","given":"Jose Luis","non-dropping-particle":"","parse-names":false,"suffix":""}],"container-title":"Environmental Sciences: Processes and Impacts","id":"ITEM-3","issue":"3","issued":{"date-parts":[["2015"]]},"page":"638-645","publisher":"Royal Society of Chemistry","title":"Evaluation criteria for bioaerosol samplers","type":"article-journal","volume":"17"},"uris":["http://www.mendeley.com/documents/?uuid=daa53b2b-1ac7-44b2-ab6a-02d983497350","http://www.mendeley.com/documents/?uuid=b3356a42-f372-4d6d-a3bb-f7af8112ed94","http://www.mendeley.com/documents/?uuid=578f8c40-3364-40e2-ad9d-8a66212fd1a2","http://www.mendeley.com/documents/?uuid=911f3438-a32b-4f59-a38f-248383d96fc4"]},{"id":"ITEM-4","itemData":{"DOI":"10.1016/j.jhin.2016.03.017","ISBN":"0195-6701","ISSN":"15322939","PMID":"27112048","abstract":"Investigations into the suspected airborne transmission of pathogens in healthcare environments have posed a challenge to researchers for more than a century. With each pathogen demonstrating a unique response to environmental conditions and the mechanical stresses it experiences, the choice of sampling device is not obvious. Our aim was to review bioaerosol sampling, sampling equipment, and methodology. A comprehensive literature search was performed, using electronic databases to retrieve English language papers on bioaerosol sampling. The review describes the mechanisms of popular bioaerosol sampling devices such as impingers, cyclones, impactors, and filters, explaining both their strengths and weaknesses, and the consequences for microbial bioefficiency. Numerous successful studies are described that point to best practice in bioaerosol sampling, from the use of small personal samplers to monitor workers' pathogen exposure through to large static samplers collecting airborne microbes in various healthcare settings. Of primary importance is the requirement that studies should commence by determining the bioefficiency of the chosen sampler and the pathogen under investigation within laboratory conditions. From such foundations, sampling for bioaerosol material in the complexity of the field holds greater certainty of successful capture of low-concentration airborne pathogens. From the laboratory to use in the field, this review enables the investigator to make informed decisions about the choice of bioaerosol sampler and its application.","author":[{"dropping-particle":"","family":"Haig","given":"C. W.","non-dropping-particle":"","parse-names":false,"suffix":""},{"dropping-particle":"","family":"Mackay","given":"W. G.","non-dropping-particle":"","parse-names":false,"suffix":""},{"dropping-particle":"","family":"Walker","given":"J. T.","non-dropping-particle":"","parse-names":false,"suffix":""},{"dropping-particle":"","family":"Williams","given":"C.","non-dropping-particle":"","parse-names":false,"suffix":""}],"container-title":"Journal of Hospital Infection","id":"ITEM-4","issue":"3","issued":{"date-parts":[["2016"]]},"page":"242-255","publisher":"Elsevier Ltd","title":"Bioaerosol sampling: Sampling mechanisms, bioefficiency and field studies","type":"article-journal","volume":"93"},"uris":["http://www.mendeley.com/documents/?uuid=828f0392-1aa1-4c0e-800f-0c2307480cbd","http://www.mendeley.com/documents/?uuid=521c3f72-57cd-4968-815b-cc12fc636f0e","http://www.mendeley.com/documents/?uuid=6b053727-053e-4270-b079-2622473648cf","http://www.mendeley.com/documents/?uuid=42f225f8-4dc8-4136-9be4-72c8bee36b70"]}],"mendeley":{"formattedCitation":"(Ghosh et al., 2015; Haig et al., 2016; Kesavan and Sagripanti, 2015; Lindsley et al., 2017)","manualFormatting":"Ghosh et al., 2015; Haig et al., 2016; Kesavan and Sagripanti, 2015; Lindsley et al., 2017","plainTextFormattedCitation":"(Ghosh et al., 2015; Haig et al., 2016; Kesavan and Sagripanti, 2015; Lindsley et al., 2017)","previouslyFormattedCitation":"(Ghosh et al., 2015; Haig et al., 2016; Kesavan and Sagripanti, 2015; Lindsley et al., 2017)"},"properties":{"noteIndex":0},"schema":"https://github.com/citation-style-language/schema/raw/master/csl-citation.json"}</w:instrText>
      </w:r>
      <w:r w:rsidRPr="00635D15">
        <w:rPr>
          <w:rFonts w:asciiTheme="majorBidi" w:hAnsiTheme="majorBidi" w:cstheme="majorBidi"/>
          <w:b w:val="0"/>
          <w:bCs/>
        </w:rPr>
        <w:fldChar w:fldCharType="separate"/>
      </w:r>
      <w:r w:rsidRPr="00635D15">
        <w:rPr>
          <w:rFonts w:asciiTheme="majorBidi" w:hAnsiTheme="majorBidi" w:cstheme="majorBidi"/>
          <w:b w:val="0"/>
          <w:bCs/>
          <w:noProof/>
        </w:rPr>
        <w:t>Ghosh et al., 2015; Haig et al., 2016; Kesavan and Sagripanti, 2015; Lindsley et al., 2017</w:t>
      </w:r>
      <w:r w:rsidRPr="00635D15">
        <w:rPr>
          <w:rFonts w:asciiTheme="majorBidi" w:hAnsiTheme="majorBidi" w:cstheme="majorBidi"/>
          <w:b w:val="0"/>
          <w:bCs/>
        </w:rPr>
        <w:fldChar w:fldCharType="end"/>
      </w:r>
      <w:r w:rsidRPr="00635D15">
        <w:rPr>
          <w:rFonts w:asciiTheme="majorBidi" w:hAnsiTheme="majorBidi" w:cstheme="majorBidi"/>
          <w:b w:val="0"/>
          <w:bCs/>
        </w:rPr>
        <w:t xml:space="preserve">. Note that within each category there are numerous individual sampler types, which may have widely varying specific sampling characteristics and will be of varying suitable for different bioaerosol types. For a comprehensive list of specific samplers, their particle size range and application suitability (e.g. culture/microscope/immunoassay/genomic studies), see </w:t>
      </w:r>
      <w:r w:rsidRPr="00635D15">
        <w:rPr>
          <w:rFonts w:asciiTheme="majorBidi" w:hAnsiTheme="majorBidi" w:cstheme="majorBidi"/>
          <w:b w:val="0"/>
          <w:bCs/>
        </w:rPr>
        <w:fldChar w:fldCharType="begin" w:fldLock="1"/>
      </w:r>
      <w:r w:rsidR="00690D9A">
        <w:rPr>
          <w:rFonts w:asciiTheme="majorBidi" w:hAnsiTheme="majorBidi" w:cstheme="majorBidi"/>
          <w:b w:val="0"/>
          <w:bCs/>
        </w:rPr>
        <w:instrText>ADDIN CSL_CITATION {"citationItems":[{"id":"ITEM-1","itemData":{"DOI":"10.1103/PhysRevB.71.165307","ISBN":"1653071011","ISSN":"10980121","author":[{"dropping-particle":"","family":"Lindsley","given":"W.G.","non-dropping-particle":"","parse-names":false,"suffix":""},{"dropping-particle":"","family":"Green","given":"B.J.","non-dropping-particle":"","parse-names":false,"suffix":""},{"dropping-particle":"","family":"Blachere","given":"F.M.","non-dropping-particle":"","parse-names":false,"suffix":""},{"dropping-particle":"","family":"Martin","given":"S.B.","non-dropping-particle":"","parse-names":false,"suffix":""},{"dropping-particle":"","family":"Law","given":"B.F.","non-dropping-particle":"","parse-names":false,"suffix":""},{"dropping-particle":"","family":"Jensen","given":"P.A.","non-dropping-particle":"","parse-names":false,"suffix":""},{"dropping-particle":"","family":"Schafer","given":"M.P.","non-dropping-particle":"","parse-names":false,"suffix":""}],"container-title":"NIOSH Manual of Analytical Methods","edition":"5th Editio","editor":[{"dropping-particle":"","family":"Ashley","given":"K.","non-dropping-particle":"","parse-names":false,"suffix":""},{"dropping-particle":"","family":"O'Connor","given":"P.F.","non-dropping-particle":"","parse-names":false,"suffix":""}],"id":"ITEM-1","issued":{"date-parts":[["2017"]]},"page":"82-112","publisher":"National Institute for Occupational Health and Safety","publisher-place":"Washington DC","title":"Sampling and Characterization of Bioaerosols","type":"chapter"},"uris":["http://www.mendeley.com/documents/?uuid=637fc614-7c55-4969-ac68-1c6b1650a2fa","http://www.mendeley.com/documents/?uuid=360e95e6-e61d-47f9-83a7-62bee483f852"]}],"mendeley":{"formattedCitation":"(Lindsley et al., 2017)","manualFormatting":"Lindsley et al., 2017","plainTextFormattedCitation":"(Lindsley et al., 2017)","previouslyFormattedCitation":"(Lindsley et al., 2017)"},"properties":{"noteIndex":0},"schema":"https://github.com/citation-style-language/schema/raw/master/csl-citation.json"}</w:instrText>
      </w:r>
      <w:r w:rsidRPr="00635D15">
        <w:rPr>
          <w:rFonts w:asciiTheme="majorBidi" w:hAnsiTheme="majorBidi" w:cstheme="majorBidi"/>
          <w:b w:val="0"/>
          <w:bCs/>
        </w:rPr>
        <w:fldChar w:fldCharType="separate"/>
      </w:r>
      <w:r w:rsidRPr="00635D15">
        <w:rPr>
          <w:rFonts w:asciiTheme="majorBidi" w:hAnsiTheme="majorBidi" w:cstheme="majorBidi"/>
          <w:b w:val="0"/>
          <w:bCs/>
          <w:noProof/>
        </w:rPr>
        <w:t>Lindsley et al., 2017</w:t>
      </w:r>
      <w:r w:rsidRPr="00635D15">
        <w:rPr>
          <w:rFonts w:asciiTheme="majorBidi" w:hAnsiTheme="majorBidi" w:cstheme="majorBidi"/>
          <w:b w:val="0"/>
          <w:bCs/>
        </w:rPr>
        <w:fldChar w:fldCharType="end"/>
      </w:r>
      <w:r w:rsidRPr="00635D15">
        <w:rPr>
          <w:rFonts w:asciiTheme="majorBidi" w:hAnsiTheme="majorBidi" w:cstheme="majorBidi"/>
          <w:b w:val="0"/>
          <w:bCs/>
        </w:rPr>
        <w:t>.</w:t>
      </w:r>
    </w:p>
    <w:tbl>
      <w:tblPr>
        <w:tblStyle w:val="TableGrid"/>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4536"/>
        <w:gridCol w:w="4395"/>
        <w:gridCol w:w="1559"/>
        <w:gridCol w:w="1843"/>
      </w:tblGrid>
      <w:tr w:rsidR="00635D15" w:rsidRPr="00496760" w14:paraId="5DF3D04B" w14:textId="77777777" w:rsidTr="00D1523D">
        <w:tc>
          <w:tcPr>
            <w:tcW w:w="1696" w:type="dxa"/>
            <w:tcBorders>
              <w:top w:val="single" w:sz="4" w:space="0" w:color="auto"/>
              <w:bottom w:val="single" w:sz="4" w:space="0" w:color="auto"/>
            </w:tcBorders>
          </w:tcPr>
          <w:p w14:paraId="65EA8388" w14:textId="77777777" w:rsidR="00635D15" w:rsidRPr="00496760" w:rsidRDefault="00635D15" w:rsidP="00D1523D">
            <w:pPr>
              <w:rPr>
                <w:rFonts w:asciiTheme="majorBidi" w:hAnsiTheme="majorBidi" w:cstheme="majorBidi"/>
                <w:szCs w:val="24"/>
              </w:rPr>
            </w:pPr>
            <w:r>
              <w:rPr>
                <w:rFonts w:asciiTheme="majorBidi" w:hAnsiTheme="majorBidi" w:cstheme="majorBidi"/>
                <w:szCs w:val="24"/>
              </w:rPr>
              <w:t>Sampler type</w:t>
            </w:r>
          </w:p>
        </w:tc>
        <w:tc>
          <w:tcPr>
            <w:tcW w:w="4536" w:type="dxa"/>
            <w:tcBorders>
              <w:top w:val="single" w:sz="4" w:space="0" w:color="auto"/>
              <w:bottom w:val="single" w:sz="4" w:space="0" w:color="auto"/>
            </w:tcBorders>
          </w:tcPr>
          <w:p w14:paraId="70C4DBD5" w14:textId="77777777" w:rsidR="00635D15" w:rsidRPr="00496760" w:rsidRDefault="00635D15" w:rsidP="00D1523D">
            <w:pPr>
              <w:rPr>
                <w:rFonts w:asciiTheme="majorBidi" w:hAnsiTheme="majorBidi" w:cstheme="majorBidi"/>
                <w:szCs w:val="24"/>
              </w:rPr>
            </w:pPr>
            <w:r w:rsidRPr="00496760">
              <w:rPr>
                <w:rFonts w:asciiTheme="majorBidi" w:hAnsiTheme="majorBidi" w:cstheme="majorBidi"/>
                <w:szCs w:val="24"/>
              </w:rPr>
              <w:t>Advantages</w:t>
            </w:r>
          </w:p>
        </w:tc>
        <w:tc>
          <w:tcPr>
            <w:tcW w:w="4395" w:type="dxa"/>
            <w:tcBorders>
              <w:top w:val="single" w:sz="4" w:space="0" w:color="auto"/>
              <w:bottom w:val="single" w:sz="4" w:space="0" w:color="auto"/>
            </w:tcBorders>
          </w:tcPr>
          <w:p w14:paraId="4B327C01" w14:textId="77777777" w:rsidR="00635D15" w:rsidRPr="00496760" w:rsidRDefault="00635D15" w:rsidP="00D1523D">
            <w:pPr>
              <w:rPr>
                <w:rFonts w:asciiTheme="majorBidi" w:hAnsiTheme="majorBidi" w:cstheme="majorBidi"/>
                <w:szCs w:val="24"/>
              </w:rPr>
            </w:pPr>
            <w:r w:rsidRPr="00496760">
              <w:rPr>
                <w:rFonts w:asciiTheme="majorBidi" w:hAnsiTheme="majorBidi" w:cstheme="majorBidi"/>
                <w:szCs w:val="24"/>
              </w:rPr>
              <w:t>Disadvantages</w:t>
            </w:r>
          </w:p>
        </w:tc>
        <w:tc>
          <w:tcPr>
            <w:tcW w:w="1559" w:type="dxa"/>
            <w:tcBorders>
              <w:top w:val="single" w:sz="4" w:space="0" w:color="auto"/>
              <w:bottom w:val="single" w:sz="4" w:space="0" w:color="auto"/>
            </w:tcBorders>
          </w:tcPr>
          <w:p w14:paraId="6ACC157E" w14:textId="77777777" w:rsidR="00635D15" w:rsidRPr="00496760" w:rsidRDefault="00635D15" w:rsidP="00D1523D">
            <w:pPr>
              <w:rPr>
                <w:rFonts w:asciiTheme="majorBidi" w:hAnsiTheme="majorBidi" w:cstheme="majorBidi"/>
                <w:szCs w:val="24"/>
              </w:rPr>
            </w:pPr>
            <w:r w:rsidRPr="00496760">
              <w:rPr>
                <w:rFonts w:asciiTheme="majorBidi" w:hAnsiTheme="majorBidi" w:cstheme="majorBidi"/>
                <w:szCs w:val="24"/>
              </w:rPr>
              <w:t xml:space="preserve">Key sub-types </w:t>
            </w:r>
          </w:p>
        </w:tc>
        <w:tc>
          <w:tcPr>
            <w:tcW w:w="1843" w:type="dxa"/>
            <w:tcBorders>
              <w:top w:val="single" w:sz="4" w:space="0" w:color="auto"/>
              <w:bottom w:val="single" w:sz="4" w:space="0" w:color="auto"/>
            </w:tcBorders>
          </w:tcPr>
          <w:p w14:paraId="32616887" w14:textId="77777777" w:rsidR="00635D15" w:rsidRPr="00496760" w:rsidRDefault="00635D15" w:rsidP="00D1523D">
            <w:pPr>
              <w:rPr>
                <w:rFonts w:asciiTheme="majorBidi" w:hAnsiTheme="majorBidi" w:cstheme="majorBidi"/>
                <w:szCs w:val="24"/>
              </w:rPr>
            </w:pPr>
            <w:r w:rsidRPr="00496760">
              <w:rPr>
                <w:rFonts w:asciiTheme="majorBidi" w:hAnsiTheme="majorBidi" w:cstheme="majorBidi"/>
                <w:szCs w:val="24"/>
              </w:rPr>
              <w:t>Common examples</w:t>
            </w:r>
          </w:p>
        </w:tc>
      </w:tr>
      <w:tr w:rsidR="00635D15" w:rsidRPr="00496760" w14:paraId="570FC944" w14:textId="77777777" w:rsidTr="00D1523D">
        <w:tc>
          <w:tcPr>
            <w:tcW w:w="1696" w:type="dxa"/>
            <w:tcBorders>
              <w:top w:val="single" w:sz="4" w:space="0" w:color="auto"/>
            </w:tcBorders>
          </w:tcPr>
          <w:p w14:paraId="6D8AB17F" w14:textId="77777777" w:rsidR="00635D15" w:rsidRPr="00496760" w:rsidRDefault="00635D15" w:rsidP="00D1523D">
            <w:pPr>
              <w:rPr>
                <w:rFonts w:asciiTheme="majorBidi" w:hAnsiTheme="majorBidi" w:cstheme="majorBidi"/>
                <w:szCs w:val="24"/>
              </w:rPr>
            </w:pPr>
            <w:proofErr w:type="spellStart"/>
            <w:r w:rsidRPr="00496760">
              <w:rPr>
                <w:rFonts w:asciiTheme="majorBidi" w:hAnsiTheme="majorBidi" w:cstheme="majorBidi"/>
                <w:szCs w:val="24"/>
              </w:rPr>
              <w:t>Filters</w:t>
            </w:r>
            <w:r w:rsidRPr="00496760">
              <w:rPr>
                <w:rFonts w:asciiTheme="majorBidi" w:hAnsiTheme="majorBidi" w:cstheme="majorBidi"/>
                <w:szCs w:val="24"/>
                <w:vertAlign w:val="superscript"/>
              </w:rPr>
              <w:t>PFB</w:t>
            </w:r>
            <w:proofErr w:type="spellEnd"/>
          </w:p>
        </w:tc>
        <w:tc>
          <w:tcPr>
            <w:tcW w:w="4536" w:type="dxa"/>
            <w:tcBorders>
              <w:top w:val="single" w:sz="4" w:space="0" w:color="auto"/>
            </w:tcBorders>
          </w:tcPr>
          <w:p w14:paraId="7CC856AF" w14:textId="77777777" w:rsidR="00635D15" w:rsidRPr="00496760" w:rsidRDefault="00635D15" w:rsidP="00D1523D">
            <w:pPr>
              <w:spacing w:after="120"/>
              <w:rPr>
                <w:rFonts w:asciiTheme="majorBidi" w:hAnsiTheme="majorBidi" w:cstheme="majorBidi"/>
                <w:szCs w:val="24"/>
              </w:rPr>
            </w:pPr>
            <w:r w:rsidRPr="00496760">
              <w:rPr>
                <w:rFonts w:asciiTheme="majorBidi" w:hAnsiTheme="majorBidi" w:cstheme="majorBidi"/>
                <w:bCs/>
                <w:szCs w:val="24"/>
              </w:rPr>
              <w:t>Flexible application - many types available</w:t>
            </w:r>
          </w:p>
          <w:p w14:paraId="2CB27A07" w14:textId="77777777" w:rsidR="00635D15" w:rsidRPr="00496760" w:rsidRDefault="00635D15" w:rsidP="00D1523D">
            <w:pPr>
              <w:spacing w:after="120"/>
              <w:rPr>
                <w:rFonts w:asciiTheme="majorBidi" w:hAnsiTheme="majorBidi" w:cstheme="majorBidi"/>
                <w:szCs w:val="24"/>
              </w:rPr>
            </w:pPr>
            <w:r w:rsidRPr="00496760">
              <w:rPr>
                <w:rFonts w:asciiTheme="majorBidi" w:hAnsiTheme="majorBidi" w:cstheme="majorBidi"/>
                <w:szCs w:val="24"/>
              </w:rPr>
              <w:t>Cheap and simple to deploy</w:t>
            </w:r>
          </w:p>
          <w:p w14:paraId="56001B29" w14:textId="77777777" w:rsidR="00635D15" w:rsidRPr="00496760" w:rsidRDefault="00635D15" w:rsidP="00D1523D">
            <w:pPr>
              <w:spacing w:after="120"/>
              <w:rPr>
                <w:rFonts w:asciiTheme="majorBidi" w:hAnsiTheme="majorBidi" w:cstheme="majorBidi"/>
                <w:bCs/>
                <w:szCs w:val="24"/>
              </w:rPr>
            </w:pPr>
            <w:r w:rsidRPr="00496760">
              <w:rPr>
                <w:rFonts w:asciiTheme="majorBidi" w:hAnsiTheme="majorBidi" w:cstheme="majorBidi"/>
                <w:szCs w:val="24"/>
              </w:rPr>
              <w:t xml:space="preserve">Many samplers are lightweight/portable </w:t>
            </w:r>
            <w:r w:rsidRPr="00496760">
              <w:rPr>
                <w:rFonts w:asciiTheme="majorBidi" w:hAnsiTheme="majorBidi" w:cstheme="majorBidi"/>
                <w:bCs/>
                <w:szCs w:val="24"/>
              </w:rPr>
              <w:t>→ suitable for personal monitoring</w:t>
            </w:r>
          </w:p>
          <w:p w14:paraId="5D1ECBB6" w14:textId="77777777" w:rsidR="00635D15" w:rsidRPr="00496760" w:rsidRDefault="00635D15" w:rsidP="00D1523D">
            <w:pPr>
              <w:spacing w:after="120"/>
              <w:rPr>
                <w:rFonts w:asciiTheme="majorBidi" w:hAnsiTheme="majorBidi" w:cstheme="majorBidi"/>
                <w:szCs w:val="24"/>
              </w:rPr>
            </w:pPr>
            <w:r w:rsidRPr="00496760">
              <w:rPr>
                <w:rFonts w:asciiTheme="majorBidi" w:hAnsiTheme="majorBidi" w:cstheme="majorBidi"/>
                <w:bCs/>
                <w:szCs w:val="24"/>
              </w:rPr>
              <w:t>Some sample inhalable fraction (e.g. Button)</w:t>
            </w:r>
          </w:p>
        </w:tc>
        <w:tc>
          <w:tcPr>
            <w:tcW w:w="4395" w:type="dxa"/>
            <w:tcBorders>
              <w:top w:val="single" w:sz="4" w:space="0" w:color="auto"/>
            </w:tcBorders>
          </w:tcPr>
          <w:p w14:paraId="0179DA77" w14:textId="77777777" w:rsidR="00635D15" w:rsidRPr="00496760" w:rsidRDefault="00635D15" w:rsidP="00D1523D">
            <w:pPr>
              <w:spacing w:after="120"/>
              <w:rPr>
                <w:rFonts w:asciiTheme="majorBidi" w:hAnsiTheme="majorBidi" w:cstheme="majorBidi"/>
                <w:bCs/>
                <w:szCs w:val="24"/>
              </w:rPr>
            </w:pPr>
            <w:r w:rsidRPr="00496760">
              <w:rPr>
                <w:rFonts w:asciiTheme="majorBidi" w:hAnsiTheme="majorBidi" w:cstheme="majorBidi"/>
                <w:bCs/>
                <w:szCs w:val="24"/>
              </w:rPr>
              <w:t>Subject to collection/viability loss via desiccation, d</w:t>
            </w:r>
            <w:r w:rsidRPr="00496760">
              <w:rPr>
                <w:rFonts w:asciiTheme="majorBidi" w:hAnsiTheme="majorBidi" w:cstheme="majorBidi"/>
                <w:szCs w:val="24"/>
              </w:rPr>
              <w:t>eposition on sampler walls, incomplete elution from filter, filter overloading</w:t>
            </w:r>
          </w:p>
          <w:p w14:paraId="3ABEB670" w14:textId="77777777" w:rsidR="00635D15" w:rsidRPr="00496760" w:rsidRDefault="00635D15" w:rsidP="00D1523D">
            <w:pPr>
              <w:spacing w:after="120"/>
              <w:rPr>
                <w:rFonts w:asciiTheme="majorBidi" w:hAnsiTheme="majorBidi" w:cstheme="majorBidi"/>
                <w:bCs/>
                <w:szCs w:val="24"/>
              </w:rPr>
            </w:pPr>
            <w:r w:rsidRPr="00496760">
              <w:rPr>
                <w:rFonts w:asciiTheme="majorBidi" w:hAnsiTheme="majorBidi" w:cstheme="majorBidi"/>
                <w:bCs/>
                <w:szCs w:val="24"/>
              </w:rPr>
              <w:t xml:space="preserve">Requirement for pumps &amp; power → limitations on field deployment </w:t>
            </w:r>
          </w:p>
          <w:p w14:paraId="4169AACC" w14:textId="77777777" w:rsidR="00635D15" w:rsidRPr="00496760" w:rsidRDefault="00635D15" w:rsidP="00D1523D">
            <w:pPr>
              <w:spacing w:after="120"/>
              <w:rPr>
                <w:rFonts w:asciiTheme="majorBidi" w:hAnsiTheme="majorBidi" w:cstheme="majorBidi"/>
                <w:bCs/>
                <w:szCs w:val="24"/>
              </w:rPr>
            </w:pPr>
            <w:r w:rsidRPr="00496760">
              <w:rPr>
                <w:rFonts w:asciiTheme="majorBidi" w:hAnsiTheme="majorBidi" w:cstheme="majorBidi"/>
                <w:szCs w:val="24"/>
              </w:rPr>
              <w:t>Must be preceded by a size selective inlet (e.g. cyclone/ impactor) for size classification</w:t>
            </w:r>
          </w:p>
        </w:tc>
        <w:tc>
          <w:tcPr>
            <w:tcW w:w="1559" w:type="dxa"/>
            <w:tcBorders>
              <w:top w:val="single" w:sz="4" w:space="0" w:color="auto"/>
            </w:tcBorders>
          </w:tcPr>
          <w:p w14:paraId="0DCA3DB0" w14:textId="77777777" w:rsidR="00635D15" w:rsidRPr="00496760" w:rsidRDefault="00635D15" w:rsidP="00D1523D">
            <w:pPr>
              <w:spacing w:after="120"/>
              <w:rPr>
                <w:rFonts w:asciiTheme="majorBidi" w:hAnsiTheme="majorBidi" w:cstheme="majorBidi"/>
                <w:szCs w:val="24"/>
              </w:rPr>
            </w:pPr>
            <w:r w:rsidRPr="00496760">
              <w:rPr>
                <w:rFonts w:asciiTheme="majorBidi" w:hAnsiTheme="majorBidi" w:cstheme="majorBidi"/>
                <w:szCs w:val="24"/>
              </w:rPr>
              <w:t>Cellulose filter</w:t>
            </w:r>
          </w:p>
          <w:p w14:paraId="22AD39CB" w14:textId="77777777" w:rsidR="00635D15" w:rsidRPr="00496760" w:rsidRDefault="00635D15" w:rsidP="00D1523D">
            <w:pPr>
              <w:spacing w:after="120"/>
              <w:rPr>
                <w:rFonts w:asciiTheme="majorBidi" w:hAnsiTheme="majorBidi" w:cstheme="majorBidi"/>
                <w:szCs w:val="24"/>
              </w:rPr>
            </w:pPr>
            <w:r w:rsidRPr="00496760">
              <w:rPr>
                <w:rFonts w:asciiTheme="majorBidi" w:hAnsiTheme="majorBidi" w:cstheme="majorBidi"/>
                <w:szCs w:val="24"/>
              </w:rPr>
              <w:t>Gelatin filter</w:t>
            </w:r>
          </w:p>
          <w:p w14:paraId="6A8EE4B4" w14:textId="77777777" w:rsidR="00635D15" w:rsidRPr="00496760" w:rsidRDefault="00635D15" w:rsidP="00D1523D">
            <w:pPr>
              <w:spacing w:after="120"/>
              <w:rPr>
                <w:rFonts w:asciiTheme="majorBidi" w:hAnsiTheme="majorBidi" w:cstheme="majorBidi"/>
                <w:szCs w:val="24"/>
              </w:rPr>
            </w:pPr>
            <w:r w:rsidRPr="00496760">
              <w:rPr>
                <w:rFonts w:asciiTheme="majorBidi" w:hAnsiTheme="majorBidi" w:cstheme="majorBidi"/>
                <w:szCs w:val="24"/>
              </w:rPr>
              <w:t xml:space="preserve">Glass </w:t>
            </w:r>
            <w:proofErr w:type="spellStart"/>
            <w:r w:rsidRPr="00496760">
              <w:rPr>
                <w:rFonts w:asciiTheme="majorBidi" w:hAnsiTheme="majorBidi" w:cstheme="majorBidi"/>
                <w:szCs w:val="24"/>
              </w:rPr>
              <w:t>fibre</w:t>
            </w:r>
            <w:proofErr w:type="spellEnd"/>
            <w:r w:rsidRPr="00496760">
              <w:rPr>
                <w:rFonts w:asciiTheme="majorBidi" w:hAnsiTheme="majorBidi" w:cstheme="majorBidi"/>
                <w:szCs w:val="24"/>
              </w:rPr>
              <w:t xml:space="preserve"> filter</w:t>
            </w:r>
          </w:p>
          <w:p w14:paraId="06E8C3EE" w14:textId="77777777" w:rsidR="00635D15" w:rsidRPr="00496760" w:rsidRDefault="00635D15" w:rsidP="00D1523D">
            <w:pPr>
              <w:spacing w:after="120"/>
              <w:rPr>
                <w:rFonts w:asciiTheme="majorBidi" w:hAnsiTheme="majorBidi" w:cstheme="majorBidi"/>
                <w:szCs w:val="24"/>
              </w:rPr>
            </w:pPr>
            <w:r w:rsidRPr="00496760">
              <w:rPr>
                <w:rFonts w:asciiTheme="majorBidi" w:hAnsiTheme="majorBidi" w:cstheme="majorBidi"/>
                <w:szCs w:val="24"/>
              </w:rPr>
              <w:t>PTFE filter</w:t>
            </w:r>
          </w:p>
        </w:tc>
        <w:tc>
          <w:tcPr>
            <w:tcW w:w="1843" w:type="dxa"/>
            <w:tcBorders>
              <w:top w:val="single" w:sz="4" w:space="0" w:color="auto"/>
            </w:tcBorders>
          </w:tcPr>
          <w:p w14:paraId="2AB14293" w14:textId="77777777" w:rsidR="00635D15" w:rsidRPr="00496760" w:rsidRDefault="00635D15" w:rsidP="00D1523D">
            <w:pPr>
              <w:spacing w:after="120"/>
              <w:rPr>
                <w:rFonts w:asciiTheme="majorBidi" w:hAnsiTheme="majorBidi" w:cstheme="majorBidi"/>
                <w:szCs w:val="24"/>
              </w:rPr>
            </w:pPr>
            <w:r w:rsidRPr="00496760">
              <w:rPr>
                <w:rFonts w:asciiTheme="majorBidi" w:hAnsiTheme="majorBidi" w:cstheme="majorBidi"/>
                <w:szCs w:val="24"/>
              </w:rPr>
              <w:t xml:space="preserve">IOM </w:t>
            </w:r>
          </w:p>
          <w:p w14:paraId="6D53D552" w14:textId="77777777" w:rsidR="00635D15" w:rsidRPr="00496760" w:rsidRDefault="00635D15" w:rsidP="00D1523D">
            <w:pPr>
              <w:spacing w:after="120"/>
              <w:rPr>
                <w:rFonts w:asciiTheme="majorBidi" w:hAnsiTheme="majorBidi" w:cstheme="majorBidi"/>
                <w:szCs w:val="24"/>
              </w:rPr>
            </w:pPr>
            <w:r w:rsidRPr="00496760">
              <w:rPr>
                <w:rFonts w:asciiTheme="majorBidi" w:hAnsiTheme="majorBidi" w:cstheme="majorBidi"/>
                <w:szCs w:val="24"/>
              </w:rPr>
              <w:t>Button</w:t>
            </w:r>
          </w:p>
          <w:p w14:paraId="442B9569" w14:textId="77777777" w:rsidR="00635D15" w:rsidRPr="00496760" w:rsidRDefault="00635D15" w:rsidP="00D1523D">
            <w:pPr>
              <w:spacing w:after="120"/>
              <w:rPr>
                <w:rFonts w:asciiTheme="majorBidi" w:hAnsiTheme="majorBidi" w:cstheme="majorBidi"/>
                <w:szCs w:val="24"/>
              </w:rPr>
            </w:pPr>
            <w:r w:rsidRPr="00496760">
              <w:rPr>
                <w:rFonts w:asciiTheme="majorBidi" w:hAnsiTheme="majorBidi" w:cstheme="majorBidi"/>
                <w:szCs w:val="24"/>
              </w:rPr>
              <w:t>PAS-6</w:t>
            </w:r>
          </w:p>
        </w:tc>
      </w:tr>
      <w:tr w:rsidR="00635D15" w:rsidRPr="00496760" w14:paraId="4CC02FCC" w14:textId="77777777" w:rsidTr="00D1523D">
        <w:tc>
          <w:tcPr>
            <w:tcW w:w="1696" w:type="dxa"/>
          </w:tcPr>
          <w:p w14:paraId="13A913AB" w14:textId="77777777" w:rsidR="00635D15" w:rsidRPr="00496760" w:rsidRDefault="00635D15" w:rsidP="00D1523D">
            <w:pPr>
              <w:rPr>
                <w:rFonts w:asciiTheme="majorBidi" w:hAnsiTheme="majorBidi" w:cstheme="majorBidi"/>
                <w:szCs w:val="24"/>
              </w:rPr>
            </w:pPr>
            <w:proofErr w:type="spellStart"/>
            <w:r w:rsidRPr="00496760">
              <w:rPr>
                <w:rFonts w:asciiTheme="majorBidi" w:hAnsiTheme="majorBidi" w:cstheme="majorBidi"/>
                <w:szCs w:val="24"/>
              </w:rPr>
              <w:lastRenderedPageBreak/>
              <w:t>Impactors</w:t>
            </w:r>
            <w:r w:rsidRPr="00496760">
              <w:rPr>
                <w:rFonts w:asciiTheme="majorBidi" w:hAnsiTheme="majorBidi" w:cstheme="majorBidi"/>
                <w:szCs w:val="24"/>
                <w:vertAlign w:val="superscript"/>
              </w:rPr>
              <w:t>PFB</w:t>
            </w:r>
            <w:proofErr w:type="spellEnd"/>
            <w:r w:rsidRPr="00496760">
              <w:rPr>
                <w:rFonts w:asciiTheme="majorBidi" w:hAnsiTheme="majorBidi" w:cstheme="majorBidi"/>
                <w:szCs w:val="24"/>
              </w:rPr>
              <w:t xml:space="preserve"> </w:t>
            </w:r>
          </w:p>
        </w:tc>
        <w:tc>
          <w:tcPr>
            <w:tcW w:w="4536" w:type="dxa"/>
          </w:tcPr>
          <w:p w14:paraId="5864320E"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Flexible application - many types, varied flow rates &amp; collection media (agar, glass slides, liquid)</w:t>
            </w:r>
          </w:p>
          <w:p w14:paraId="16E12000" w14:textId="77777777" w:rsidR="00635D15" w:rsidRPr="00496760" w:rsidRDefault="00635D15" w:rsidP="00D1523D">
            <w:pPr>
              <w:spacing w:after="100"/>
              <w:rPr>
                <w:rFonts w:asciiTheme="majorBidi" w:hAnsiTheme="majorBidi" w:cstheme="majorBidi"/>
                <w:szCs w:val="24"/>
              </w:rPr>
            </w:pPr>
            <w:proofErr w:type="gramStart"/>
            <w:r w:rsidRPr="00496760">
              <w:rPr>
                <w:rFonts w:asciiTheme="majorBidi" w:hAnsiTheme="majorBidi" w:cstheme="majorBidi"/>
                <w:szCs w:val="24"/>
              </w:rPr>
              <w:t>Direct-collection</w:t>
            </w:r>
            <w:proofErr w:type="gramEnd"/>
            <w:r w:rsidRPr="00496760">
              <w:rPr>
                <w:rFonts w:asciiTheme="majorBidi" w:hAnsiTheme="majorBidi" w:cstheme="majorBidi"/>
                <w:szCs w:val="24"/>
              </w:rPr>
              <w:t xml:space="preserve"> onto growth/microscopy media</w:t>
            </w:r>
            <w:r w:rsidRPr="00496760">
              <w:rPr>
                <w:rFonts w:asciiTheme="majorBidi" w:hAnsiTheme="majorBidi" w:cstheme="majorBidi"/>
                <w:bCs/>
                <w:szCs w:val="24"/>
              </w:rPr>
              <w:t>→ reduced post-processing</w:t>
            </w:r>
          </w:p>
          <w:p w14:paraId="55955C77"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Some offer size classification, inhalable fraction sampling and/or long-term sampling capacity</w:t>
            </w:r>
          </w:p>
        </w:tc>
        <w:tc>
          <w:tcPr>
            <w:tcW w:w="4395" w:type="dxa"/>
          </w:tcPr>
          <w:p w14:paraId="5E093179"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Collection media (plates/slides) can become overloaded making enumeration difficult</w:t>
            </w:r>
          </w:p>
          <w:p w14:paraId="21BBCC8B" w14:textId="77777777" w:rsidR="00635D15" w:rsidRPr="00496760" w:rsidRDefault="00635D15" w:rsidP="00D1523D">
            <w:pPr>
              <w:spacing w:after="100"/>
              <w:rPr>
                <w:rFonts w:asciiTheme="majorBidi" w:hAnsiTheme="majorBidi" w:cstheme="majorBidi"/>
                <w:bCs/>
                <w:szCs w:val="24"/>
              </w:rPr>
            </w:pPr>
            <w:r w:rsidRPr="00496760">
              <w:rPr>
                <w:rFonts w:asciiTheme="majorBidi" w:hAnsiTheme="majorBidi" w:cstheme="majorBidi"/>
                <w:bCs/>
                <w:szCs w:val="24"/>
              </w:rPr>
              <w:t xml:space="preserve">Subject to collection/viability losses via shear forces, desiccation, particle bounce, re-entrainment, inlet losses, deposition build up </w:t>
            </w:r>
          </w:p>
          <w:p w14:paraId="3CA2C551" w14:textId="77777777" w:rsidR="00635D15" w:rsidRPr="00496760" w:rsidRDefault="00635D15" w:rsidP="00D1523D">
            <w:pPr>
              <w:spacing w:after="100"/>
              <w:rPr>
                <w:rFonts w:asciiTheme="majorBidi" w:hAnsiTheme="majorBidi" w:cstheme="majorBidi"/>
                <w:szCs w:val="24"/>
              </w:rPr>
            </w:pPr>
          </w:p>
        </w:tc>
        <w:tc>
          <w:tcPr>
            <w:tcW w:w="1559" w:type="dxa"/>
          </w:tcPr>
          <w:p w14:paraId="4B787F94"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Slit impactor</w:t>
            </w:r>
          </w:p>
          <w:p w14:paraId="68C331B8"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Cascade impactor</w:t>
            </w:r>
          </w:p>
          <w:p w14:paraId="235761B2"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Virtual impactor</w:t>
            </w:r>
          </w:p>
        </w:tc>
        <w:tc>
          <w:tcPr>
            <w:tcW w:w="1843" w:type="dxa"/>
          </w:tcPr>
          <w:p w14:paraId="6A4BBB2F"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 xml:space="preserve">Hirst-type </w:t>
            </w:r>
          </w:p>
          <w:p w14:paraId="7658EBE3" w14:textId="77777777" w:rsidR="00635D15" w:rsidRPr="00496760" w:rsidRDefault="00635D15" w:rsidP="00D1523D">
            <w:pPr>
              <w:spacing w:after="100"/>
              <w:rPr>
                <w:rFonts w:asciiTheme="majorBidi" w:hAnsiTheme="majorBidi" w:cstheme="majorBidi"/>
                <w:szCs w:val="24"/>
              </w:rPr>
            </w:pPr>
            <w:proofErr w:type="spellStart"/>
            <w:r w:rsidRPr="00496760">
              <w:rPr>
                <w:rFonts w:asciiTheme="majorBidi" w:hAnsiTheme="majorBidi" w:cstheme="majorBidi"/>
                <w:szCs w:val="24"/>
              </w:rPr>
              <w:t>Rotorod</w:t>
            </w:r>
            <w:proofErr w:type="spellEnd"/>
            <w:r w:rsidRPr="00496760">
              <w:rPr>
                <w:rFonts w:asciiTheme="majorBidi" w:hAnsiTheme="majorBidi" w:cstheme="majorBidi"/>
                <w:szCs w:val="24"/>
              </w:rPr>
              <w:t xml:space="preserve"> </w:t>
            </w:r>
          </w:p>
          <w:p w14:paraId="4C5E604C" w14:textId="77777777" w:rsidR="00635D15" w:rsidRPr="00496760" w:rsidRDefault="00635D15" w:rsidP="00D1523D">
            <w:pPr>
              <w:spacing w:after="100"/>
              <w:rPr>
                <w:rFonts w:asciiTheme="majorBidi" w:hAnsiTheme="majorBidi" w:cstheme="majorBidi"/>
                <w:szCs w:val="24"/>
              </w:rPr>
            </w:pPr>
            <w:proofErr w:type="spellStart"/>
            <w:r w:rsidRPr="00496760">
              <w:rPr>
                <w:rFonts w:asciiTheme="majorBidi" w:hAnsiTheme="majorBidi" w:cstheme="majorBidi"/>
                <w:szCs w:val="24"/>
              </w:rPr>
              <w:t>BioStage</w:t>
            </w:r>
            <w:proofErr w:type="spellEnd"/>
            <w:r w:rsidRPr="00496760">
              <w:rPr>
                <w:rFonts w:asciiTheme="majorBidi" w:hAnsiTheme="majorBidi" w:cstheme="majorBidi"/>
                <w:szCs w:val="24"/>
              </w:rPr>
              <w:t xml:space="preserve"> Impactor</w:t>
            </w:r>
          </w:p>
          <w:p w14:paraId="5BA10EC3"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Anderson multi-stage</w:t>
            </w:r>
          </w:p>
        </w:tc>
      </w:tr>
      <w:tr w:rsidR="00635D15" w:rsidRPr="00496760" w14:paraId="75559611" w14:textId="77777777" w:rsidTr="00D1523D">
        <w:tc>
          <w:tcPr>
            <w:tcW w:w="1696" w:type="dxa"/>
          </w:tcPr>
          <w:p w14:paraId="03F6809A" w14:textId="77777777" w:rsidR="00635D15" w:rsidRPr="00496760" w:rsidRDefault="00635D15" w:rsidP="00D1523D">
            <w:pPr>
              <w:rPr>
                <w:rFonts w:asciiTheme="majorBidi" w:hAnsiTheme="majorBidi" w:cstheme="majorBidi"/>
                <w:szCs w:val="24"/>
              </w:rPr>
            </w:pPr>
            <w:proofErr w:type="spellStart"/>
            <w:r w:rsidRPr="00496760">
              <w:rPr>
                <w:rFonts w:asciiTheme="majorBidi" w:hAnsiTheme="majorBidi" w:cstheme="majorBidi"/>
                <w:szCs w:val="24"/>
              </w:rPr>
              <w:t>Cyclones</w:t>
            </w:r>
            <w:r w:rsidRPr="00496760">
              <w:rPr>
                <w:rFonts w:asciiTheme="majorBidi" w:hAnsiTheme="majorBidi" w:cstheme="majorBidi"/>
                <w:szCs w:val="24"/>
                <w:vertAlign w:val="superscript"/>
              </w:rPr>
              <w:t>FBV</w:t>
            </w:r>
            <w:proofErr w:type="spellEnd"/>
          </w:p>
        </w:tc>
        <w:tc>
          <w:tcPr>
            <w:tcW w:w="4536" w:type="dxa"/>
          </w:tcPr>
          <w:p w14:paraId="22B03F1B" w14:textId="77777777" w:rsidR="00635D15" w:rsidRPr="00496760" w:rsidRDefault="00635D15" w:rsidP="00D1523D">
            <w:pPr>
              <w:autoSpaceDE w:val="0"/>
              <w:autoSpaceDN w:val="0"/>
              <w:adjustRightInd w:val="0"/>
              <w:spacing w:after="100"/>
              <w:rPr>
                <w:rFonts w:asciiTheme="majorBidi" w:hAnsiTheme="majorBidi" w:cstheme="majorBidi"/>
                <w:bCs/>
                <w:szCs w:val="24"/>
              </w:rPr>
            </w:pPr>
            <w:proofErr w:type="spellStart"/>
            <w:r w:rsidRPr="00496760">
              <w:rPr>
                <w:rFonts w:asciiTheme="majorBidi" w:hAnsiTheme="majorBidi" w:cstheme="majorBidi"/>
                <w:bCs/>
                <w:szCs w:val="24"/>
              </w:rPr>
              <w:t>Minimises</w:t>
            </w:r>
            <w:proofErr w:type="spellEnd"/>
            <w:r w:rsidRPr="00496760">
              <w:rPr>
                <w:rFonts w:asciiTheme="majorBidi" w:hAnsiTheme="majorBidi" w:cstheme="majorBidi"/>
                <w:bCs/>
                <w:szCs w:val="24"/>
              </w:rPr>
              <w:t xml:space="preserve"> desiccation and shear/impaction stress → suitable where viability is important</w:t>
            </w:r>
          </w:p>
          <w:p w14:paraId="5E71BA43" w14:textId="77777777" w:rsidR="00635D15" w:rsidRPr="00496760" w:rsidRDefault="00635D15" w:rsidP="00D1523D">
            <w:pPr>
              <w:autoSpaceDE w:val="0"/>
              <w:autoSpaceDN w:val="0"/>
              <w:adjustRightInd w:val="0"/>
              <w:spacing w:after="100"/>
              <w:rPr>
                <w:rFonts w:asciiTheme="majorBidi" w:hAnsiTheme="majorBidi" w:cstheme="majorBidi"/>
                <w:bCs/>
                <w:szCs w:val="24"/>
              </w:rPr>
            </w:pPr>
            <w:r w:rsidRPr="00496760">
              <w:rPr>
                <w:rFonts w:asciiTheme="majorBidi" w:hAnsiTheme="majorBidi" w:cstheme="majorBidi"/>
                <w:bCs/>
                <w:szCs w:val="24"/>
              </w:rPr>
              <w:t>Less prone to particle bounce than impactors → good collection efficiency</w:t>
            </w:r>
          </w:p>
          <w:p w14:paraId="4C0372CF" w14:textId="77777777" w:rsidR="00635D15" w:rsidRPr="00496760" w:rsidRDefault="00635D15" w:rsidP="00D1523D">
            <w:pPr>
              <w:autoSpaceDE w:val="0"/>
              <w:autoSpaceDN w:val="0"/>
              <w:adjustRightInd w:val="0"/>
              <w:spacing w:after="100"/>
              <w:rPr>
                <w:rFonts w:asciiTheme="majorBidi" w:hAnsiTheme="majorBidi" w:cstheme="majorBidi"/>
                <w:bCs/>
                <w:szCs w:val="24"/>
              </w:rPr>
            </w:pPr>
            <w:r w:rsidRPr="00496760">
              <w:rPr>
                <w:rFonts w:asciiTheme="majorBidi" w:hAnsiTheme="majorBidi" w:cstheme="majorBidi"/>
                <w:bCs/>
                <w:szCs w:val="24"/>
              </w:rPr>
              <w:t>Multi-stage versions → size classification</w:t>
            </w:r>
          </w:p>
        </w:tc>
        <w:tc>
          <w:tcPr>
            <w:tcW w:w="4395" w:type="dxa"/>
          </w:tcPr>
          <w:p w14:paraId="3B583A34"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 xml:space="preserve">Collection efficiency curves less sharp than most impactors </w:t>
            </w:r>
          </w:p>
          <w:p w14:paraId="42BDAFE9"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Subject to collection/viability losses via shear forces, liquid carry-over, evaporation, adherence to cyclone walls</w:t>
            </w:r>
          </w:p>
        </w:tc>
        <w:tc>
          <w:tcPr>
            <w:tcW w:w="1559" w:type="dxa"/>
          </w:tcPr>
          <w:p w14:paraId="02126161"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Wet cyclone</w:t>
            </w:r>
          </w:p>
          <w:p w14:paraId="162E70A7"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Dry cyclone</w:t>
            </w:r>
          </w:p>
        </w:tc>
        <w:tc>
          <w:tcPr>
            <w:tcW w:w="1843" w:type="dxa"/>
          </w:tcPr>
          <w:p w14:paraId="0EA462CE"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NIOSH one stage</w:t>
            </w:r>
          </w:p>
          <w:p w14:paraId="536F42CA"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NIOSH two -stage</w:t>
            </w:r>
          </w:p>
          <w:p w14:paraId="6E6223EF"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Coriolis</w:t>
            </w:r>
          </w:p>
          <w:p w14:paraId="46097EE3"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PAS-5</w:t>
            </w:r>
          </w:p>
        </w:tc>
      </w:tr>
      <w:tr w:rsidR="00635D15" w:rsidRPr="00496760" w14:paraId="36F517CE" w14:textId="77777777" w:rsidTr="00D1523D">
        <w:trPr>
          <w:trHeight w:val="70"/>
        </w:trPr>
        <w:tc>
          <w:tcPr>
            <w:tcW w:w="1696" w:type="dxa"/>
          </w:tcPr>
          <w:p w14:paraId="6F6AEE94" w14:textId="77777777" w:rsidR="00635D15" w:rsidRPr="00496760" w:rsidRDefault="00635D15" w:rsidP="00D1523D">
            <w:pPr>
              <w:spacing w:after="100"/>
              <w:rPr>
                <w:rFonts w:asciiTheme="majorBidi" w:hAnsiTheme="majorBidi" w:cstheme="majorBidi"/>
                <w:szCs w:val="24"/>
              </w:rPr>
            </w:pPr>
            <w:proofErr w:type="spellStart"/>
            <w:r w:rsidRPr="00496760">
              <w:rPr>
                <w:rFonts w:asciiTheme="majorBidi" w:hAnsiTheme="majorBidi" w:cstheme="majorBidi"/>
                <w:szCs w:val="24"/>
              </w:rPr>
              <w:t>Impingers</w:t>
            </w:r>
            <w:r w:rsidRPr="00496760">
              <w:rPr>
                <w:rFonts w:asciiTheme="majorBidi" w:hAnsiTheme="majorBidi" w:cstheme="majorBidi"/>
                <w:szCs w:val="24"/>
                <w:vertAlign w:val="superscript"/>
              </w:rPr>
              <w:t>FBV</w:t>
            </w:r>
            <w:proofErr w:type="spellEnd"/>
          </w:p>
        </w:tc>
        <w:tc>
          <w:tcPr>
            <w:tcW w:w="4536" w:type="dxa"/>
          </w:tcPr>
          <w:p w14:paraId="744F8CE3" w14:textId="77777777" w:rsidR="00635D15" w:rsidRPr="00496760" w:rsidRDefault="00635D15" w:rsidP="00D1523D">
            <w:pPr>
              <w:autoSpaceDE w:val="0"/>
              <w:autoSpaceDN w:val="0"/>
              <w:adjustRightInd w:val="0"/>
              <w:spacing w:after="100"/>
              <w:rPr>
                <w:rFonts w:asciiTheme="majorBidi" w:hAnsiTheme="majorBidi" w:cstheme="majorBidi"/>
                <w:bCs/>
                <w:szCs w:val="24"/>
              </w:rPr>
            </w:pPr>
            <w:proofErr w:type="spellStart"/>
            <w:r w:rsidRPr="00496760">
              <w:rPr>
                <w:rFonts w:asciiTheme="majorBidi" w:hAnsiTheme="majorBidi" w:cstheme="majorBidi"/>
                <w:bCs/>
                <w:szCs w:val="24"/>
              </w:rPr>
              <w:t>Minimises</w:t>
            </w:r>
            <w:proofErr w:type="spellEnd"/>
            <w:r w:rsidRPr="00496760">
              <w:rPr>
                <w:rFonts w:asciiTheme="majorBidi" w:hAnsiTheme="majorBidi" w:cstheme="majorBidi"/>
                <w:bCs/>
                <w:szCs w:val="24"/>
              </w:rPr>
              <w:t xml:space="preserve"> desiccation → suitable where viability is important</w:t>
            </w:r>
          </w:p>
          <w:p w14:paraId="2ADCDAAD" w14:textId="77777777" w:rsidR="00635D15" w:rsidRPr="00496760" w:rsidRDefault="00635D15" w:rsidP="00D1523D">
            <w:pPr>
              <w:autoSpaceDE w:val="0"/>
              <w:autoSpaceDN w:val="0"/>
              <w:adjustRightInd w:val="0"/>
              <w:spacing w:after="100"/>
              <w:rPr>
                <w:rFonts w:asciiTheme="majorBidi" w:hAnsiTheme="majorBidi" w:cstheme="majorBidi"/>
                <w:bCs/>
                <w:szCs w:val="24"/>
              </w:rPr>
            </w:pPr>
            <w:r w:rsidRPr="00496760">
              <w:rPr>
                <w:rFonts w:asciiTheme="majorBidi" w:hAnsiTheme="majorBidi" w:cstheme="majorBidi"/>
                <w:bCs/>
                <w:szCs w:val="24"/>
              </w:rPr>
              <w:t>Widely used → good info. on collection efficiency</w:t>
            </w:r>
          </w:p>
        </w:tc>
        <w:tc>
          <w:tcPr>
            <w:tcW w:w="4395" w:type="dxa"/>
          </w:tcPr>
          <w:p w14:paraId="75BDDC36"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 xml:space="preserve">Collection/viability losses due to shear forces, re-aerosolization, evaporation, wall adherence </w:t>
            </w:r>
          </w:p>
          <w:p w14:paraId="0FB5FAC2" w14:textId="77777777" w:rsidR="00635D15" w:rsidRPr="00496760" w:rsidRDefault="00635D15" w:rsidP="00D1523D">
            <w:pPr>
              <w:autoSpaceDE w:val="0"/>
              <w:autoSpaceDN w:val="0"/>
              <w:adjustRightInd w:val="0"/>
              <w:spacing w:after="100"/>
              <w:rPr>
                <w:rFonts w:asciiTheme="majorBidi" w:hAnsiTheme="majorBidi" w:cstheme="majorBidi"/>
                <w:bCs/>
                <w:szCs w:val="24"/>
              </w:rPr>
            </w:pPr>
            <w:r w:rsidRPr="00496760">
              <w:rPr>
                <w:rFonts w:asciiTheme="majorBidi" w:hAnsiTheme="majorBidi" w:cstheme="majorBidi"/>
                <w:bCs/>
                <w:szCs w:val="24"/>
              </w:rPr>
              <w:t>Requires post-processing for analysis</w:t>
            </w:r>
          </w:p>
          <w:p w14:paraId="536190C2" w14:textId="77777777" w:rsidR="00635D15" w:rsidRPr="00496760" w:rsidRDefault="00635D15" w:rsidP="00D1523D">
            <w:pPr>
              <w:autoSpaceDE w:val="0"/>
              <w:autoSpaceDN w:val="0"/>
              <w:adjustRightInd w:val="0"/>
              <w:spacing w:after="100"/>
              <w:rPr>
                <w:rFonts w:asciiTheme="majorBidi" w:hAnsiTheme="majorBidi" w:cstheme="majorBidi"/>
                <w:bCs/>
                <w:szCs w:val="24"/>
              </w:rPr>
            </w:pPr>
            <w:r w:rsidRPr="00496760">
              <w:rPr>
                <w:rFonts w:asciiTheme="majorBidi" w:hAnsiTheme="majorBidi" w:cstheme="majorBidi"/>
                <w:bCs/>
                <w:szCs w:val="24"/>
              </w:rPr>
              <w:t>Evaporation limits collection time</w:t>
            </w:r>
          </w:p>
          <w:p w14:paraId="60FB49BA"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bCs/>
                <w:szCs w:val="24"/>
              </w:rPr>
              <w:t>Relatively expensive and fragile</w:t>
            </w:r>
          </w:p>
        </w:tc>
        <w:tc>
          <w:tcPr>
            <w:tcW w:w="1559" w:type="dxa"/>
          </w:tcPr>
          <w:p w14:paraId="234849F3" w14:textId="77777777" w:rsidR="00635D15" w:rsidRPr="00496760" w:rsidRDefault="00635D15" w:rsidP="00D1523D">
            <w:pPr>
              <w:spacing w:after="100"/>
              <w:rPr>
                <w:rFonts w:asciiTheme="majorBidi" w:hAnsiTheme="majorBidi" w:cstheme="majorBidi"/>
                <w:szCs w:val="24"/>
              </w:rPr>
            </w:pPr>
            <w:proofErr w:type="gramStart"/>
            <w:r w:rsidRPr="00496760">
              <w:rPr>
                <w:rFonts w:asciiTheme="majorBidi" w:hAnsiTheme="majorBidi" w:cstheme="majorBidi"/>
                <w:szCs w:val="24"/>
              </w:rPr>
              <w:t>Single-stage</w:t>
            </w:r>
            <w:proofErr w:type="gramEnd"/>
          </w:p>
          <w:p w14:paraId="2749BFE7"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Multi-stage</w:t>
            </w:r>
          </w:p>
        </w:tc>
        <w:tc>
          <w:tcPr>
            <w:tcW w:w="1843" w:type="dxa"/>
          </w:tcPr>
          <w:p w14:paraId="5353C57A"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 xml:space="preserve">Burkard Multi-stage </w:t>
            </w:r>
          </w:p>
          <w:p w14:paraId="4FCBBAE0"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AGI-30 Impinger</w:t>
            </w:r>
          </w:p>
          <w:p w14:paraId="55CD103F"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Midget Impinger</w:t>
            </w:r>
          </w:p>
        </w:tc>
      </w:tr>
      <w:tr w:rsidR="00635D15" w:rsidRPr="00496760" w14:paraId="416D6CF9" w14:textId="77777777" w:rsidTr="00D1523D">
        <w:tc>
          <w:tcPr>
            <w:tcW w:w="1696" w:type="dxa"/>
          </w:tcPr>
          <w:p w14:paraId="739F0848" w14:textId="77777777" w:rsidR="00635D15" w:rsidRPr="00496760" w:rsidRDefault="00635D15" w:rsidP="00D1523D">
            <w:pPr>
              <w:spacing w:after="100"/>
              <w:rPr>
                <w:rFonts w:asciiTheme="majorBidi" w:hAnsiTheme="majorBidi" w:cstheme="majorBidi"/>
                <w:szCs w:val="24"/>
              </w:rPr>
            </w:pPr>
            <w:proofErr w:type="spellStart"/>
            <w:r w:rsidRPr="00496760">
              <w:rPr>
                <w:rFonts w:asciiTheme="majorBidi" w:hAnsiTheme="majorBidi" w:cstheme="majorBidi"/>
                <w:szCs w:val="24"/>
              </w:rPr>
              <w:t>Electrokinetic</w:t>
            </w:r>
            <w:r w:rsidRPr="00496760">
              <w:rPr>
                <w:rFonts w:asciiTheme="majorBidi" w:hAnsiTheme="majorBidi" w:cstheme="majorBidi"/>
                <w:szCs w:val="24"/>
                <w:vertAlign w:val="superscript"/>
              </w:rPr>
              <w:t>PFBV</w:t>
            </w:r>
            <w:proofErr w:type="spellEnd"/>
          </w:p>
        </w:tc>
        <w:tc>
          <w:tcPr>
            <w:tcW w:w="4536" w:type="dxa"/>
          </w:tcPr>
          <w:p w14:paraId="370DB92E"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Cheap and simple to deploy</w:t>
            </w:r>
          </w:p>
          <w:p w14:paraId="2485D97A"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Much higher collection efficiency than passive samplers</w:t>
            </w:r>
          </w:p>
          <w:p w14:paraId="3DF4E6E6"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 xml:space="preserve">Low desiccation/impaction stress </w:t>
            </w:r>
          </w:p>
          <w:p w14:paraId="774AEDA1"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lastRenderedPageBreak/>
              <w:t xml:space="preserve">Lack of pump/low power requirement </w:t>
            </w:r>
            <w:r w:rsidRPr="00496760">
              <w:rPr>
                <w:rFonts w:asciiTheme="majorBidi" w:hAnsiTheme="majorBidi" w:cstheme="majorBidi"/>
                <w:bCs/>
                <w:szCs w:val="24"/>
              </w:rPr>
              <w:t>→ flexible field deployment, can be unattended long-term</w:t>
            </w:r>
          </w:p>
        </w:tc>
        <w:tc>
          <w:tcPr>
            <w:tcW w:w="4395" w:type="dxa"/>
          </w:tcPr>
          <w:p w14:paraId="108B1ECB"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lastRenderedPageBreak/>
              <w:t>Lower collection efficiency than most pump-based samplers (e.g. filters)</w:t>
            </w:r>
          </w:p>
          <w:p w14:paraId="44291B67"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 xml:space="preserve">Electrical charge may affect bacterial viability </w:t>
            </w:r>
          </w:p>
          <w:p w14:paraId="780D0718" w14:textId="77777777" w:rsidR="00635D15" w:rsidRPr="00496760" w:rsidRDefault="00635D15" w:rsidP="00D1523D">
            <w:pPr>
              <w:autoSpaceDE w:val="0"/>
              <w:autoSpaceDN w:val="0"/>
              <w:adjustRightInd w:val="0"/>
              <w:spacing w:after="100"/>
              <w:rPr>
                <w:rFonts w:asciiTheme="majorBidi" w:hAnsiTheme="majorBidi" w:cstheme="majorBidi"/>
                <w:bCs/>
                <w:szCs w:val="24"/>
              </w:rPr>
            </w:pPr>
            <w:r w:rsidRPr="00496760">
              <w:rPr>
                <w:rFonts w:asciiTheme="majorBidi" w:hAnsiTheme="majorBidi" w:cstheme="majorBidi"/>
                <w:szCs w:val="24"/>
              </w:rPr>
              <w:t xml:space="preserve">Limited studies to date </w:t>
            </w:r>
            <w:r w:rsidRPr="00496760">
              <w:rPr>
                <w:rFonts w:asciiTheme="majorBidi" w:hAnsiTheme="majorBidi" w:cstheme="majorBidi"/>
                <w:bCs/>
                <w:szCs w:val="24"/>
              </w:rPr>
              <w:t xml:space="preserve">→ relative lack of information on sampling performance </w:t>
            </w:r>
          </w:p>
        </w:tc>
        <w:tc>
          <w:tcPr>
            <w:tcW w:w="1559" w:type="dxa"/>
          </w:tcPr>
          <w:p w14:paraId="26D62B44"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n/a</w:t>
            </w:r>
          </w:p>
        </w:tc>
        <w:tc>
          <w:tcPr>
            <w:tcW w:w="1843" w:type="dxa"/>
          </w:tcPr>
          <w:p w14:paraId="014699D0"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Rutgers Electrostatic Passive Sampler</w:t>
            </w:r>
          </w:p>
          <w:p w14:paraId="0C876654" w14:textId="77777777" w:rsidR="00635D15" w:rsidRPr="00496760" w:rsidRDefault="00635D15" w:rsidP="00D1523D">
            <w:pPr>
              <w:spacing w:after="100"/>
              <w:rPr>
                <w:rFonts w:asciiTheme="majorBidi" w:hAnsiTheme="majorBidi" w:cstheme="majorBidi"/>
                <w:szCs w:val="24"/>
              </w:rPr>
            </w:pPr>
            <w:proofErr w:type="spellStart"/>
            <w:r w:rsidRPr="00496760">
              <w:rPr>
                <w:rFonts w:asciiTheme="majorBidi" w:hAnsiTheme="majorBidi" w:cstheme="majorBidi"/>
                <w:szCs w:val="24"/>
              </w:rPr>
              <w:t>Inspirotek</w:t>
            </w:r>
            <w:proofErr w:type="spellEnd"/>
            <w:r w:rsidRPr="00496760">
              <w:rPr>
                <w:rFonts w:asciiTheme="majorBidi" w:hAnsiTheme="majorBidi" w:cstheme="majorBidi"/>
                <w:szCs w:val="24"/>
              </w:rPr>
              <w:t xml:space="preserve"> Sampler</w:t>
            </w:r>
          </w:p>
        </w:tc>
      </w:tr>
      <w:tr w:rsidR="00635D15" w:rsidRPr="00496760" w14:paraId="5952922D" w14:textId="77777777" w:rsidTr="00D1523D">
        <w:tc>
          <w:tcPr>
            <w:tcW w:w="1696" w:type="dxa"/>
          </w:tcPr>
          <w:p w14:paraId="1DFA643D" w14:textId="77777777" w:rsidR="00635D15" w:rsidRPr="00496760" w:rsidRDefault="00635D15" w:rsidP="00D1523D">
            <w:pPr>
              <w:spacing w:after="100"/>
              <w:rPr>
                <w:rFonts w:asciiTheme="majorBidi" w:hAnsiTheme="majorBidi" w:cstheme="majorBidi"/>
                <w:szCs w:val="24"/>
              </w:rPr>
            </w:pPr>
            <w:proofErr w:type="spellStart"/>
            <w:r w:rsidRPr="00496760">
              <w:rPr>
                <w:rFonts w:asciiTheme="majorBidi" w:hAnsiTheme="majorBidi" w:cstheme="majorBidi"/>
                <w:szCs w:val="24"/>
              </w:rPr>
              <w:t>Condensation</w:t>
            </w:r>
            <w:r w:rsidRPr="00496760">
              <w:rPr>
                <w:rFonts w:asciiTheme="majorBidi" w:hAnsiTheme="majorBidi" w:cstheme="majorBidi"/>
                <w:szCs w:val="24"/>
                <w:vertAlign w:val="superscript"/>
              </w:rPr>
              <w:t>PFBV</w:t>
            </w:r>
            <w:proofErr w:type="spellEnd"/>
          </w:p>
        </w:tc>
        <w:tc>
          <w:tcPr>
            <w:tcW w:w="4536" w:type="dxa"/>
          </w:tcPr>
          <w:p w14:paraId="29E436CD"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 xml:space="preserve">Can collect ultrafine bioaerosol particles </w:t>
            </w:r>
          </w:p>
          <w:p w14:paraId="33172A9E"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Maintains microorganism viability</w:t>
            </w:r>
          </w:p>
        </w:tc>
        <w:tc>
          <w:tcPr>
            <w:tcW w:w="4395" w:type="dxa"/>
          </w:tcPr>
          <w:p w14:paraId="1ACAC891"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Complex, multi-component and expensive</w:t>
            </w:r>
          </w:p>
        </w:tc>
        <w:tc>
          <w:tcPr>
            <w:tcW w:w="1559" w:type="dxa"/>
          </w:tcPr>
          <w:p w14:paraId="707D1BFE"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n/a</w:t>
            </w:r>
          </w:p>
        </w:tc>
        <w:tc>
          <w:tcPr>
            <w:tcW w:w="1843" w:type="dxa"/>
          </w:tcPr>
          <w:p w14:paraId="0AA7DDC2" w14:textId="77777777" w:rsidR="00635D15" w:rsidRPr="00496760" w:rsidRDefault="00635D15" w:rsidP="00D1523D">
            <w:pPr>
              <w:pStyle w:val="Default"/>
              <w:spacing w:after="100"/>
              <w:rPr>
                <w:rFonts w:asciiTheme="majorBidi" w:hAnsiTheme="majorBidi" w:cstheme="majorBidi"/>
                <w:color w:val="auto"/>
              </w:rPr>
            </w:pPr>
            <w:r w:rsidRPr="00496760">
              <w:rPr>
                <w:rFonts w:asciiTheme="majorBidi" w:hAnsiTheme="majorBidi" w:cstheme="majorBidi"/>
                <w:color w:val="auto"/>
              </w:rPr>
              <w:t xml:space="preserve">LSS100 </w:t>
            </w:r>
          </w:p>
          <w:p w14:paraId="64F2FFF7" w14:textId="77777777" w:rsidR="00635D15" w:rsidRPr="00496760" w:rsidRDefault="00635D15" w:rsidP="00D1523D">
            <w:pPr>
              <w:spacing w:after="100"/>
              <w:rPr>
                <w:rFonts w:asciiTheme="majorBidi" w:hAnsiTheme="majorBidi" w:cstheme="majorBidi"/>
                <w:szCs w:val="24"/>
              </w:rPr>
            </w:pPr>
          </w:p>
        </w:tc>
      </w:tr>
      <w:tr w:rsidR="00635D15" w:rsidRPr="00496760" w14:paraId="5F089CF5" w14:textId="77777777" w:rsidTr="00D1523D">
        <w:tc>
          <w:tcPr>
            <w:tcW w:w="1696" w:type="dxa"/>
          </w:tcPr>
          <w:p w14:paraId="4FBEB452" w14:textId="77777777" w:rsidR="00635D15" w:rsidRPr="00496760" w:rsidRDefault="00635D15" w:rsidP="00D1523D">
            <w:pPr>
              <w:spacing w:afterLines="100"/>
              <w:rPr>
                <w:rFonts w:asciiTheme="majorBidi" w:hAnsiTheme="majorBidi" w:cstheme="majorBidi"/>
                <w:szCs w:val="24"/>
              </w:rPr>
            </w:pPr>
            <w:r w:rsidRPr="00496760">
              <w:rPr>
                <w:rFonts w:asciiTheme="majorBidi" w:hAnsiTheme="majorBidi" w:cstheme="majorBidi"/>
                <w:szCs w:val="24"/>
              </w:rPr>
              <w:t>Real-</w:t>
            </w:r>
            <w:proofErr w:type="spellStart"/>
            <w:r w:rsidRPr="00496760">
              <w:rPr>
                <w:rFonts w:asciiTheme="majorBidi" w:hAnsiTheme="majorBidi" w:cstheme="majorBidi"/>
                <w:szCs w:val="24"/>
              </w:rPr>
              <w:t>time</w:t>
            </w:r>
            <w:r w:rsidRPr="00496760">
              <w:rPr>
                <w:rFonts w:asciiTheme="majorBidi" w:hAnsiTheme="majorBidi" w:cstheme="majorBidi"/>
                <w:szCs w:val="24"/>
                <w:vertAlign w:val="superscript"/>
              </w:rPr>
              <w:t>PFB</w:t>
            </w:r>
            <w:proofErr w:type="spellEnd"/>
          </w:p>
        </w:tc>
        <w:tc>
          <w:tcPr>
            <w:tcW w:w="4536" w:type="dxa"/>
          </w:tcPr>
          <w:p w14:paraId="62187DD0"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Capable of real-time and large-scale surveillance</w:t>
            </w:r>
          </w:p>
          <w:p w14:paraId="609F6E1A"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Strong potential for greater technological development</w:t>
            </w:r>
          </w:p>
        </w:tc>
        <w:tc>
          <w:tcPr>
            <w:tcW w:w="4395" w:type="dxa"/>
          </w:tcPr>
          <w:p w14:paraId="5F4FB79B"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 xml:space="preserve">Lower precision than other methods, possible interference from non-biological material </w:t>
            </w:r>
          </w:p>
          <w:p w14:paraId="10439F2F"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ID affected by fragmentation &amp; orientation</w:t>
            </w:r>
          </w:p>
          <w:p w14:paraId="0D3E9ACE"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 xml:space="preserve">Limited studies to date </w:t>
            </w:r>
            <w:r w:rsidRPr="00496760">
              <w:rPr>
                <w:rFonts w:asciiTheme="majorBidi" w:hAnsiTheme="majorBidi" w:cstheme="majorBidi"/>
                <w:bCs/>
                <w:szCs w:val="24"/>
              </w:rPr>
              <w:t xml:space="preserve">→ relative lack of information on sampling efficiency, precision </w:t>
            </w:r>
          </w:p>
        </w:tc>
        <w:tc>
          <w:tcPr>
            <w:tcW w:w="1559" w:type="dxa"/>
          </w:tcPr>
          <w:p w14:paraId="35C58450"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Fluorescence &amp; light scattering</w:t>
            </w:r>
          </w:p>
          <w:p w14:paraId="7571C2BB"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Flow cytometry</w:t>
            </w:r>
          </w:p>
          <w:p w14:paraId="28487FB0" w14:textId="77777777" w:rsidR="00635D15" w:rsidRPr="00496760" w:rsidRDefault="00635D15" w:rsidP="00D1523D">
            <w:pPr>
              <w:spacing w:after="100"/>
              <w:rPr>
                <w:rFonts w:asciiTheme="majorBidi" w:hAnsiTheme="majorBidi" w:cstheme="majorBidi"/>
                <w:szCs w:val="24"/>
              </w:rPr>
            </w:pPr>
          </w:p>
        </w:tc>
        <w:tc>
          <w:tcPr>
            <w:tcW w:w="1843" w:type="dxa"/>
          </w:tcPr>
          <w:p w14:paraId="0057513E"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 xml:space="preserve">WIBS </w:t>
            </w:r>
          </w:p>
          <w:p w14:paraId="30D463E2"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 xml:space="preserve">Plair2000 </w:t>
            </w:r>
          </w:p>
        </w:tc>
      </w:tr>
      <w:tr w:rsidR="00635D15" w:rsidRPr="00496760" w14:paraId="45120327" w14:textId="77777777" w:rsidTr="00D1523D">
        <w:trPr>
          <w:trHeight w:val="2157"/>
        </w:trPr>
        <w:tc>
          <w:tcPr>
            <w:tcW w:w="1696" w:type="dxa"/>
            <w:tcBorders>
              <w:bottom w:val="single" w:sz="4" w:space="0" w:color="auto"/>
            </w:tcBorders>
          </w:tcPr>
          <w:p w14:paraId="687A52A5" w14:textId="77777777" w:rsidR="00635D15" w:rsidRPr="00496760" w:rsidRDefault="00635D15" w:rsidP="00D1523D">
            <w:pPr>
              <w:autoSpaceDE w:val="0"/>
              <w:autoSpaceDN w:val="0"/>
              <w:adjustRightInd w:val="0"/>
              <w:spacing w:afterLines="100"/>
              <w:rPr>
                <w:rFonts w:asciiTheme="majorBidi" w:hAnsiTheme="majorBidi" w:cstheme="majorBidi"/>
                <w:bCs/>
                <w:szCs w:val="24"/>
              </w:rPr>
            </w:pPr>
            <w:proofErr w:type="spellStart"/>
            <w:r w:rsidRPr="00496760">
              <w:rPr>
                <w:rFonts w:asciiTheme="majorBidi" w:hAnsiTheme="majorBidi" w:cstheme="majorBidi"/>
                <w:szCs w:val="24"/>
              </w:rPr>
              <w:t>Passive</w:t>
            </w:r>
            <w:r w:rsidRPr="00496760">
              <w:rPr>
                <w:rFonts w:asciiTheme="majorBidi" w:hAnsiTheme="majorBidi" w:cstheme="majorBidi"/>
                <w:szCs w:val="24"/>
                <w:vertAlign w:val="superscript"/>
              </w:rPr>
              <w:t>PFB</w:t>
            </w:r>
            <w:proofErr w:type="spellEnd"/>
            <w:r w:rsidRPr="00496760">
              <w:rPr>
                <w:rFonts w:asciiTheme="majorBidi" w:hAnsiTheme="majorBidi" w:cstheme="majorBidi"/>
                <w:szCs w:val="24"/>
              </w:rPr>
              <w:t xml:space="preserve">  </w:t>
            </w:r>
          </w:p>
        </w:tc>
        <w:tc>
          <w:tcPr>
            <w:tcW w:w="4536" w:type="dxa"/>
            <w:tcBorders>
              <w:bottom w:val="single" w:sz="4" w:space="0" w:color="auto"/>
            </w:tcBorders>
          </w:tcPr>
          <w:p w14:paraId="37C17682"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Extremely cheap and simple to deploy</w:t>
            </w:r>
          </w:p>
          <w:p w14:paraId="13EC28A7"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Efficient means of obtaining preliminary/qualitative information</w:t>
            </w:r>
          </w:p>
          <w:p w14:paraId="65E056D2"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Suitable for culturing without post-processing</w:t>
            </w:r>
          </w:p>
          <w:p w14:paraId="6A6FB36B"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Does not disturb airflow</w:t>
            </w:r>
          </w:p>
          <w:p w14:paraId="5A42F6BF"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Reproduces real conditions</w:t>
            </w:r>
          </w:p>
        </w:tc>
        <w:tc>
          <w:tcPr>
            <w:tcW w:w="4395" w:type="dxa"/>
            <w:tcBorders>
              <w:bottom w:val="single" w:sz="4" w:space="0" w:color="auto"/>
            </w:tcBorders>
          </w:tcPr>
          <w:p w14:paraId="5600E649"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 xml:space="preserve">Volume of air unknown </w:t>
            </w:r>
            <w:r w:rsidRPr="00496760">
              <w:rPr>
                <w:rFonts w:asciiTheme="majorBidi" w:hAnsiTheme="majorBidi" w:cstheme="majorBidi"/>
                <w:bCs/>
                <w:szCs w:val="24"/>
              </w:rPr>
              <w:t>→</w:t>
            </w:r>
            <w:r w:rsidRPr="00496760">
              <w:rPr>
                <w:rFonts w:asciiTheme="majorBidi" w:hAnsiTheme="majorBidi" w:cstheme="majorBidi"/>
                <w:szCs w:val="24"/>
              </w:rPr>
              <w:t xml:space="preserve"> cannot quantify micro-organism concentrations, not comparable with active sampling methods</w:t>
            </w:r>
          </w:p>
          <w:p w14:paraId="7B8F63BF" w14:textId="77777777" w:rsidR="00635D15" w:rsidRPr="00496760" w:rsidRDefault="00635D15" w:rsidP="00D1523D">
            <w:pPr>
              <w:autoSpaceDE w:val="0"/>
              <w:autoSpaceDN w:val="0"/>
              <w:adjustRightInd w:val="0"/>
              <w:spacing w:after="100"/>
              <w:rPr>
                <w:rFonts w:asciiTheme="majorBidi" w:hAnsiTheme="majorBidi" w:cstheme="majorBidi"/>
                <w:szCs w:val="24"/>
              </w:rPr>
            </w:pPr>
            <w:r w:rsidRPr="00496760">
              <w:rPr>
                <w:rFonts w:asciiTheme="majorBidi" w:hAnsiTheme="majorBidi" w:cstheme="majorBidi"/>
                <w:szCs w:val="24"/>
              </w:rPr>
              <w:t xml:space="preserve">Reliance on settling </w:t>
            </w:r>
            <w:r w:rsidRPr="00496760">
              <w:rPr>
                <w:rFonts w:asciiTheme="majorBidi" w:hAnsiTheme="majorBidi" w:cstheme="majorBidi"/>
                <w:bCs/>
                <w:szCs w:val="24"/>
              </w:rPr>
              <w:t>→</w:t>
            </w:r>
            <w:r w:rsidRPr="00496760">
              <w:rPr>
                <w:rFonts w:asciiTheme="majorBidi" w:hAnsiTheme="majorBidi" w:cstheme="majorBidi"/>
                <w:szCs w:val="24"/>
              </w:rPr>
              <w:t xml:space="preserve"> collection bias towards larger particles</w:t>
            </w:r>
          </w:p>
          <w:p w14:paraId="46F27F70" w14:textId="77777777" w:rsidR="00635D15" w:rsidRPr="00496760" w:rsidRDefault="00635D15" w:rsidP="00D1523D">
            <w:pPr>
              <w:spacing w:after="100"/>
              <w:rPr>
                <w:rFonts w:asciiTheme="majorBidi" w:hAnsiTheme="majorBidi" w:cstheme="majorBidi"/>
                <w:szCs w:val="24"/>
              </w:rPr>
            </w:pPr>
            <w:proofErr w:type="gramStart"/>
            <w:r w:rsidRPr="00496760">
              <w:rPr>
                <w:rFonts w:asciiTheme="majorBidi" w:hAnsiTheme="majorBidi" w:cstheme="majorBidi"/>
                <w:bCs/>
                <w:szCs w:val="24"/>
              </w:rPr>
              <w:t>Generally</w:t>
            </w:r>
            <w:proofErr w:type="gramEnd"/>
            <w:r w:rsidRPr="00496760">
              <w:rPr>
                <w:rFonts w:asciiTheme="majorBidi" w:hAnsiTheme="majorBidi" w:cstheme="majorBidi"/>
                <w:bCs/>
                <w:szCs w:val="24"/>
              </w:rPr>
              <w:t xml:space="preserve"> not suitable for long term continuous sampling (e.g. agar dries out after 4 </w:t>
            </w:r>
            <w:proofErr w:type="spellStart"/>
            <w:r w:rsidRPr="00496760">
              <w:rPr>
                <w:rFonts w:asciiTheme="majorBidi" w:hAnsiTheme="majorBidi" w:cstheme="majorBidi"/>
                <w:bCs/>
                <w:szCs w:val="24"/>
              </w:rPr>
              <w:t>hrs</w:t>
            </w:r>
            <w:proofErr w:type="spellEnd"/>
            <w:r w:rsidRPr="00496760">
              <w:rPr>
                <w:rFonts w:asciiTheme="majorBidi" w:hAnsiTheme="majorBidi" w:cstheme="majorBidi"/>
                <w:bCs/>
                <w:szCs w:val="24"/>
              </w:rPr>
              <w:t>)</w:t>
            </w:r>
          </w:p>
        </w:tc>
        <w:tc>
          <w:tcPr>
            <w:tcW w:w="1559" w:type="dxa"/>
            <w:tcBorders>
              <w:bottom w:val="single" w:sz="4" w:space="0" w:color="auto"/>
            </w:tcBorders>
          </w:tcPr>
          <w:p w14:paraId="600FB8A3"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Agar settling plates</w:t>
            </w:r>
          </w:p>
          <w:p w14:paraId="562B33F5"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PTFE filter settling plates</w:t>
            </w:r>
          </w:p>
          <w:p w14:paraId="527529AD" w14:textId="77777777" w:rsidR="00635D15" w:rsidRPr="00496760" w:rsidRDefault="00635D15" w:rsidP="00D1523D">
            <w:pPr>
              <w:spacing w:after="100"/>
              <w:rPr>
                <w:rFonts w:asciiTheme="majorBidi" w:hAnsiTheme="majorBidi" w:cstheme="majorBidi"/>
                <w:szCs w:val="24"/>
              </w:rPr>
            </w:pPr>
            <w:r w:rsidRPr="00496760">
              <w:rPr>
                <w:rFonts w:asciiTheme="majorBidi" w:hAnsiTheme="majorBidi" w:cstheme="majorBidi"/>
                <w:szCs w:val="24"/>
              </w:rPr>
              <w:t>Electret cloth</w:t>
            </w:r>
          </w:p>
          <w:p w14:paraId="73CCAC5C" w14:textId="77777777" w:rsidR="00635D15" w:rsidRPr="00496760" w:rsidRDefault="00635D15" w:rsidP="00D1523D">
            <w:pPr>
              <w:spacing w:after="100"/>
              <w:rPr>
                <w:rFonts w:asciiTheme="majorBidi" w:hAnsiTheme="majorBidi" w:cstheme="majorBidi"/>
                <w:szCs w:val="24"/>
              </w:rPr>
            </w:pPr>
          </w:p>
        </w:tc>
        <w:tc>
          <w:tcPr>
            <w:tcW w:w="1843" w:type="dxa"/>
            <w:tcBorders>
              <w:bottom w:val="single" w:sz="4" w:space="0" w:color="auto"/>
            </w:tcBorders>
          </w:tcPr>
          <w:p w14:paraId="0DFD2F73" w14:textId="77777777" w:rsidR="00635D15" w:rsidRPr="00496760" w:rsidRDefault="00635D15" w:rsidP="00D1523D">
            <w:pPr>
              <w:spacing w:after="100"/>
              <w:rPr>
                <w:rFonts w:asciiTheme="majorBidi" w:hAnsiTheme="majorBidi" w:cstheme="majorBidi"/>
                <w:szCs w:val="24"/>
              </w:rPr>
            </w:pPr>
          </w:p>
        </w:tc>
      </w:tr>
    </w:tbl>
    <w:p w14:paraId="5F0FC7BB" w14:textId="77777777" w:rsidR="00635D15" w:rsidRPr="00496760" w:rsidRDefault="00635D15" w:rsidP="00635D15">
      <w:pPr>
        <w:pStyle w:val="ListParagraph"/>
        <w:numPr>
          <w:ilvl w:val="0"/>
          <w:numId w:val="20"/>
        </w:numPr>
        <w:spacing w:before="0" w:afterLines="100" w:line="259" w:lineRule="auto"/>
        <w:ind w:left="1080"/>
        <w:rPr>
          <w:rFonts w:asciiTheme="majorBidi" w:hAnsiTheme="majorBidi" w:cstheme="majorBidi"/>
        </w:rPr>
      </w:pPr>
      <w:r w:rsidRPr="00496760">
        <w:rPr>
          <w:rFonts w:asciiTheme="majorBidi" w:hAnsiTheme="majorBidi" w:cstheme="majorBidi"/>
          <w:vertAlign w:val="superscript"/>
        </w:rPr>
        <w:t>1</w:t>
      </w:r>
      <w:r w:rsidRPr="00496760">
        <w:rPr>
          <w:rFonts w:asciiTheme="majorBidi" w:hAnsiTheme="majorBidi" w:cstheme="majorBidi"/>
        </w:rPr>
        <w:t>P=Pollen, F=Fungi, B=Bacteria/Archaea, V=Viruses</w:t>
      </w:r>
    </w:p>
    <w:p w14:paraId="7B6E4598" w14:textId="24BD9703" w:rsidR="00635D15" w:rsidRDefault="00635D15" w:rsidP="00635D15">
      <w:pPr>
        <w:rPr>
          <w:rFonts w:asciiTheme="majorBidi" w:hAnsiTheme="majorBidi" w:cstheme="majorBidi"/>
          <w:szCs w:val="24"/>
        </w:rPr>
      </w:pPr>
    </w:p>
    <w:p w14:paraId="18570D55" w14:textId="77777777" w:rsidR="00F67ED4" w:rsidRDefault="00F67ED4" w:rsidP="00635D15">
      <w:pPr>
        <w:rPr>
          <w:rFonts w:asciiTheme="majorBidi" w:hAnsiTheme="majorBidi" w:cstheme="majorBidi"/>
          <w:szCs w:val="24"/>
        </w:rPr>
      </w:pPr>
    </w:p>
    <w:p w14:paraId="03722C23" w14:textId="4E13EFB0" w:rsidR="00635D15" w:rsidRPr="00635D15" w:rsidRDefault="00635D15" w:rsidP="00635D15"/>
    <w:p w14:paraId="6DDF1CE2" w14:textId="66757FA2" w:rsidR="00635D15" w:rsidRPr="00635D15" w:rsidRDefault="00635D15" w:rsidP="00635D15">
      <w:pPr>
        <w:rPr>
          <w:b/>
          <w:bCs/>
          <w:u w:val="single"/>
        </w:rPr>
      </w:pPr>
      <w:r w:rsidRPr="00635D15">
        <w:rPr>
          <w:b/>
          <w:bCs/>
          <w:u w:val="single"/>
        </w:rPr>
        <w:t>Works Cited</w:t>
      </w:r>
    </w:p>
    <w:p w14:paraId="3FAFEA95" w14:textId="38150000" w:rsidR="00690D9A" w:rsidRPr="00690D9A" w:rsidRDefault="00635D15" w:rsidP="00690D9A">
      <w:pPr>
        <w:widowControl w:val="0"/>
        <w:autoSpaceDE w:val="0"/>
        <w:autoSpaceDN w:val="0"/>
        <w:adjustRightInd w:val="0"/>
        <w:ind w:left="480" w:hanging="480"/>
        <w:rPr>
          <w:rFonts w:cs="Times New Roman"/>
          <w:noProof/>
          <w:szCs w:val="24"/>
        </w:rPr>
      </w:pPr>
      <w:r>
        <w:lastRenderedPageBreak/>
        <w:fldChar w:fldCharType="begin" w:fldLock="1"/>
      </w:r>
      <w:r>
        <w:instrText xml:space="preserve">ADDIN Mendeley Bibliography CSL_BIBLIOGRAPHY </w:instrText>
      </w:r>
      <w:r>
        <w:fldChar w:fldCharType="separate"/>
      </w:r>
      <w:r w:rsidR="00690D9A" w:rsidRPr="00690D9A">
        <w:rPr>
          <w:rFonts w:cs="Times New Roman"/>
          <w:noProof/>
          <w:szCs w:val="24"/>
        </w:rPr>
        <w:t>Ghosh, B., Lal, H., Srivastava, A., 2015. Review of bioaerosols in indoor environment with special reference to sampling, analysis and control mechanisms. Environ. Int. 85, 254–272. https://doi.org/10.1016/j.envint.2015.09.018</w:t>
      </w:r>
    </w:p>
    <w:p w14:paraId="5AC73D4E" w14:textId="77777777" w:rsidR="00690D9A" w:rsidRPr="00690D9A" w:rsidRDefault="00690D9A" w:rsidP="00690D9A">
      <w:pPr>
        <w:widowControl w:val="0"/>
        <w:autoSpaceDE w:val="0"/>
        <w:autoSpaceDN w:val="0"/>
        <w:adjustRightInd w:val="0"/>
        <w:ind w:left="480" w:hanging="480"/>
        <w:rPr>
          <w:rFonts w:cs="Times New Roman"/>
          <w:noProof/>
          <w:szCs w:val="24"/>
        </w:rPr>
      </w:pPr>
      <w:r w:rsidRPr="00690D9A">
        <w:rPr>
          <w:rFonts w:cs="Times New Roman"/>
          <w:noProof/>
          <w:szCs w:val="24"/>
        </w:rPr>
        <w:t>Haig, C.W., Mackay, W.G., Walker, J.T., Williams, C., 2016. Bioaerosol sampling: Sampling mechanisms, bioefficiency and field studies. J. Hosp. Infect. 93, 242–255. https://doi.org/10.1016/j.jhin.2016.03.017</w:t>
      </w:r>
    </w:p>
    <w:p w14:paraId="2887B7BF" w14:textId="77777777" w:rsidR="00690D9A" w:rsidRPr="00690D9A" w:rsidRDefault="00690D9A" w:rsidP="00690D9A">
      <w:pPr>
        <w:widowControl w:val="0"/>
        <w:autoSpaceDE w:val="0"/>
        <w:autoSpaceDN w:val="0"/>
        <w:adjustRightInd w:val="0"/>
        <w:ind w:left="480" w:hanging="480"/>
        <w:rPr>
          <w:rFonts w:cs="Times New Roman"/>
          <w:noProof/>
          <w:szCs w:val="24"/>
        </w:rPr>
      </w:pPr>
      <w:r w:rsidRPr="00690D9A">
        <w:rPr>
          <w:rFonts w:cs="Times New Roman"/>
          <w:noProof/>
          <w:szCs w:val="24"/>
        </w:rPr>
        <w:t>Kesavan, J., Sagripanti, J.L., 2015. Evaluation criteria for bioaerosol samplers. Environ. Sci. Process. Impacts 17, 638–645. https://doi.org/10.1039/c4em00510d</w:t>
      </w:r>
    </w:p>
    <w:p w14:paraId="79A0EF21" w14:textId="77777777" w:rsidR="00690D9A" w:rsidRPr="00690D9A" w:rsidRDefault="00690D9A" w:rsidP="00690D9A">
      <w:pPr>
        <w:widowControl w:val="0"/>
        <w:autoSpaceDE w:val="0"/>
        <w:autoSpaceDN w:val="0"/>
        <w:adjustRightInd w:val="0"/>
        <w:ind w:left="480" w:hanging="480"/>
        <w:rPr>
          <w:rFonts w:cs="Times New Roman"/>
          <w:noProof/>
          <w:szCs w:val="24"/>
        </w:rPr>
      </w:pPr>
      <w:r w:rsidRPr="00690D9A">
        <w:rPr>
          <w:rFonts w:cs="Times New Roman"/>
          <w:noProof/>
          <w:szCs w:val="24"/>
        </w:rPr>
        <w:t>Lindsley, W.G., Green, B.J., Blachere, F.M., Martin, S.B., Law, B.F., Jensen, P.A., Schafer, M.P., 2017. Sampling and Characterization of Bioaerosols, in: Ashley, K., O’Connor, P.F. (Eds.), NIOSH Manual of Analytical Methods. National Institute for Occupational Health and Safety, Washington DC, pp. 82–112. https://doi.org/10.1103/PhysRevB.71.165307</w:t>
      </w:r>
    </w:p>
    <w:p w14:paraId="2E02AF8A" w14:textId="77777777" w:rsidR="00690D9A" w:rsidRPr="00690D9A" w:rsidRDefault="00690D9A" w:rsidP="00690D9A">
      <w:pPr>
        <w:widowControl w:val="0"/>
        <w:autoSpaceDE w:val="0"/>
        <w:autoSpaceDN w:val="0"/>
        <w:adjustRightInd w:val="0"/>
        <w:ind w:left="480" w:hanging="480"/>
        <w:rPr>
          <w:rFonts w:cs="Times New Roman"/>
          <w:noProof/>
        </w:rPr>
      </w:pPr>
      <w:r w:rsidRPr="00690D9A">
        <w:rPr>
          <w:rFonts w:cs="Times New Roman"/>
          <w:noProof/>
          <w:szCs w:val="24"/>
        </w:rPr>
        <w:t>Wang, C.H., Chen, B.T., Han, B.C., Liu, A.C.Y., Hung, P.C., Chen, C.Y., Chao, H.J., 2015. Field evaluation of personal sampling methods for multiple bioaerosols. PLoS One 10, 1–19. https://doi.org/10.1371/journal.pone.0120308</w:t>
      </w:r>
    </w:p>
    <w:p w14:paraId="4F006EB0" w14:textId="036921F6" w:rsidR="00635D15" w:rsidRPr="00635D15" w:rsidRDefault="00635D15" w:rsidP="00635D15">
      <w:pPr>
        <w:tabs>
          <w:tab w:val="left" w:pos="4694"/>
        </w:tabs>
      </w:pPr>
      <w:r>
        <w:fldChar w:fldCharType="end"/>
      </w:r>
    </w:p>
    <w:sectPr w:rsidR="00635D15" w:rsidRPr="00635D15" w:rsidSect="00635D15">
      <w:headerReference w:type="even" r:id="rId9"/>
      <w:footerReference w:type="even" r:id="rId10"/>
      <w:footerReference w:type="default" r:id="rId11"/>
      <w:headerReference w:type="first" r:id="rId12"/>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917386" w14:textId="77777777" w:rsidR="000E15C3" w:rsidRDefault="000E15C3" w:rsidP="00117666">
      <w:pPr>
        <w:spacing w:after="0"/>
      </w:pPr>
      <w:r>
        <w:separator/>
      </w:r>
    </w:p>
  </w:endnote>
  <w:endnote w:type="continuationSeparator" w:id="0">
    <w:p w14:paraId="3C0FA64B" w14:textId="77777777" w:rsidR="000E15C3" w:rsidRDefault="000E15C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F2CD49" w14:textId="77777777" w:rsidR="000E15C3" w:rsidRDefault="000E15C3" w:rsidP="00117666">
      <w:pPr>
        <w:spacing w:after="0"/>
      </w:pPr>
      <w:r>
        <w:separator/>
      </w:r>
    </w:p>
  </w:footnote>
  <w:footnote w:type="continuationSeparator" w:id="0">
    <w:p w14:paraId="4D1B0B1D" w14:textId="77777777" w:rsidR="000E15C3" w:rsidRDefault="000E15C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C0452A"/>
    <w:multiLevelType w:val="hybridMultilevel"/>
    <w:tmpl w:val="DBD29B80"/>
    <w:lvl w:ilvl="0" w:tplc="93C4682C">
      <w:start w:val="3"/>
      <w:numFmt w:val="bullet"/>
      <w:lvlText w:val="-"/>
      <w:lvlJc w:val="left"/>
      <w:pPr>
        <w:ind w:left="1069" w:hanging="360"/>
      </w:pPr>
      <w:rPr>
        <w:rFonts w:ascii="Calibri" w:eastAsiaTheme="minorHAnsi" w:hAnsi="Calibri" w:cs="Calibri" w:hint="default"/>
      </w:rPr>
    </w:lvl>
    <w:lvl w:ilvl="1" w:tplc="0C090003">
      <w:start w:val="1"/>
      <w:numFmt w:val="bullet"/>
      <w:lvlText w:val="o"/>
      <w:lvlJc w:val="left"/>
      <w:pPr>
        <w:ind w:left="1789" w:hanging="360"/>
      </w:pPr>
      <w:rPr>
        <w:rFonts w:ascii="Courier New" w:hAnsi="Courier New" w:cs="Courier New" w:hint="default"/>
      </w:rPr>
    </w:lvl>
    <w:lvl w:ilvl="2" w:tplc="0C090005">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E15C3"/>
    <w:rsid w:val="00105FD9"/>
    <w:rsid w:val="00117666"/>
    <w:rsid w:val="001549D3"/>
    <w:rsid w:val="00160065"/>
    <w:rsid w:val="00177D84"/>
    <w:rsid w:val="002201DA"/>
    <w:rsid w:val="00226B2F"/>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5D15"/>
    <w:rsid w:val="006375C7"/>
    <w:rsid w:val="00654E8F"/>
    <w:rsid w:val="00660D05"/>
    <w:rsid w:val="006820B1"/>
    <w:rsid w:val="00690D9A"/>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0314C"/>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 w:val="00F67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Default">
    <w:name w:val="Default"/>
    <w:rsid w:val="00635D15"/>
    <w:pPr>
      <w:autoSpaceDE w:val="0"/>
      <w:autoSpaceDN w:val="0"/>
      <w:adjustRightInd w:val="0"/>
      <w:spacing w:after="0" w:line="240" w:lineRule="auto"/>
    </w:pPr>
    <w:rPr>
      <w:rFonts w:ascii="Calibri" w:hAnsi="Calibri" w:cs="Calibri"/>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C5877BE-DEA5-4A1C-A947-A0A78A9C9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5</Pages>
  <Words>5128</Words>
  <Characters>29236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Emily Flies</cp:lastModifiedBy>
  <cp:revision>2</cp:revision>
  <cp:lastPrinted>2013-10-03T12:51:00Z</cp:lastPrinted>
  <dcterms:created xsi:type="dcterms:W3CDTF">2020-09-16T05:42:00Z</dcterms:created>
  <dcterms:modified xsi:type="dcterms:W3CDTF">2020-09-16T05:42:00Z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http://www.zotero.org/styles/environmental-health-perspectives</vt:lpwstr>
  </property>
  <property fmtid="{D5CDD505-2E9C-101B-9397-08002B2CF9AE}" pid="9" name="Mendeley Recent Style Name 3_1">
    <vt:lpwstr>Environmental Health Perspectives</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https://csl.mendeley.com/styles/489160021/ieee-NHMRC</vt:lpwstr>
  </property>
  <property fmtid="{D5CDD505-2E9C-101B-9397-08002B2CF9AE}" pid="13" name="Mendeley Recent Style Name 5_1">
    <vt:lpwstr>NHMRC_2019</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http://www.zotero.org/styles/science</vt:lpwstr>
  </property>
  <property fmtid="{D5CDD505-2E9C-101B-9397-08002B2CF9AE}" pid="17" name="Mendeley Recent Style Name 7_1">
    <vt:lpwstr>Science</vt:lpwstr>
  </property>
  <property fmtid="{D5CDD505-2E9C-101B-9397-08002B2CF9AE}" pid="18" name="Mendeley Recent Style Id 8_1">
    <vt:lpwstr>http://www.zotero.org/styles/science-of-the-total-environment</vt:lpwstr>
  </property>
  <property fmtid="{D5CDD505-2E9C-101B-9397-08002B2CF9AE}" pid="19" name="Mendeley Recent Style Name 8_1">
    <vt:lpwstr>Science of the Total Environment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00e3592d-739a-3cf5-bb59-8eac1a6b05f0</vt:lpwstr>
  </property>
  <property fmtid="{D5CDD505-2E9C-101B-9397-08002B2CF9AE}" pid="24" name="Mendeley Citation Style_1">
    <vt:lpwstr>http://www.zotero.org/styles/science-of-the-total-environment</vt:lpwstr>
  </property>
</Properties>
</file>