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b/>
          <w:bCs/>
          <w:sz w:val="24"/>
        </w:rPr>
      </w:pPr>
      <w:r>
        <w:rPr>
          <w:rFonts w:ascii="Times New Roman" w:hAnsi="Times New Roman" w:cs="Times New Roman"/>
          <w:b/>
          <w:bCs/>
          <w:sz w:val="24"/>
        </w:rPr>
        <w:t>M</w:t>
      </w:r>
      <w:r>
        <w:rPr>
          <w:rFonts w:hint="eastAsia" w:ascii="Times New Roman" w:hAnsi="Times New Roman" w:cs="Times New Roman"/>
          <w:b/>
          <w:bCs/>
          <w:sz w:val="24"/>
        </w:rPr>
        <w:t>aterial and methods</w:t>
      </w:r>
    </w:p>
    <w:p>
      <w:pPr>
        <w:rPr>
          <w:rFonts w:ascii="Times New Roman" w:hAnsi="Times New Roman" w:cs="Times New Roman"/>
          <w:b/>
          <w:bCs/>
          <w:sz w:val="24"/>
        </w:rPr>
      </w:pPr>
      <w:r>
        <w:rPr>
          <w:rFonts w:hint="eastAsia" w:ascii="Times New Roman" w:hAnsi="Times New Roman" w:cs="Times New Roman"/>
          <w:b/>
          <w:bCs/>
          <w:sz w:val="24"/>
        </w:rPr>
        <w:t>D</w:t>
      </w:r>
      <w:r>
        <w:rPr>
          <w:rFonts w:ascii="Times New Roman" w:hAnsi="Times New Roman" w:cs="Times New Roman"/>
          <w:b/>
          <w:bCs/>
          <w:sz w:val="24"/>
        </w:rPr>
        <w:t>etail</w:t>
      </w:r>
      <w:r>
        <w:rPr>
          <w:rFonts w:hint="eastAsia" w:ascii="Times New Roman" w:hAnsi="Times New Roman" w:cs="Times New Roman"/>
          <w:b/>
          <w:bCs/>
          <w:sz w:val="24"/>
        </w:rPr>
        <w:t>s</w:t>
      </w:r>
      <w:r>
        <w:rPr>
          <w:rFonts w:ascii="Times New Roman" w:hAnsi="Times New Roman" w:cs="Times New Roman"/>
          <w:b/>
          <w:bCs/>
          <w:sz w:val="24"/>
        </w:rPr>
        <w:t xml:space="preserve"> on the immunohistochemistry (IHC) staining of NapsinA, TG, TTF-1 and PAX8</w:t>
      </w:r>
    </w:p>
    <w:p>
      <w:pPr>
        <w:spacing w:line="480" w:lineRule="auto"/>
        <w:ind w:firstLine="420"/>
        <w:rPr>
          <w:rFonts w:ascii="Times New Roman" w:hAnsi="Times New Roman" w:cs="Times New Roman"/>
          <w:sz w:val="24"/>
        </w:rPr>
      </w:pPr>
      <w:r>
        <w:rPr>
          <w:rFonts w:ascii="Times New Roman" w:hAnsi="Times New Roman" w:cs="Times New Roman"/>
          <w:sz w:val="24"/>
        </w:rPr>
        <w:t>At our center, IHC staining of NapsinA, TG, TTF-1 and PAX8 were performed on paraffin embedded tumor tissue sections and negative control samples using a Ventana BenchMark XT automated slide-processing system (Ventana Medical Systems, Basel, Switzerland), and using commercially available antibodies, as follows: napsin A (mouse monoclonal, clone MX015, Item No</w:t>
      </w:r>
      <w:r>
        <w:rPr>
          <w:rFonts w:hint="eastAsia" w:ascii="Times New Roman" w:hAnsi="Times New Roman" w:cs="Times New Roman"/>
          <w:sz w:val="24"/>
        </w:rPr>
        <w:t>.</w:t>
      </w:r>
      <w:r>
        <w:rPr>
          <w:rFonts w:ascii="Times New Roman" w:hAnsi="Times New Roman" w:cs="Times New Roman"/>
          <w:sz w:val="24"/>
        </w:rPr>
        <w:t xml:space="preserve"> MAB-0704, MXB, FuZhou), TTF-1 (mouse monoclonal, clone SPT24, Item No</w:t>
      </w:r>
      <w:r>
        <w:rPr>
          <w:rFonts w:hint="eastAsia" w:ascii="Times New Roman" w:hAnsi="Times New Roman" w:cs="Times New Roman"/>
          <w:sz w:val="24"/>
        </w:rPr>
        <w:t>.</w:t>
      </w:r>
      <w:r>
        <w:rPr>
          <w:rFonts w:ascii="Times New Roman" w:hAnsi="Times New Roman" w:cs="Times New Roman"/>
          <w:sz w:val="24"/>
        </w:rPr>
        <w:t xml:space="preserve"> MAB-0599, MXB, FuZhou), </w:t>
      </w:r>
      <w:bookmarkStart w:id="0" w:name="OLE_LINK2"/>
      <w:r>
        <w:rPr>
          <w:rFonts w:ascii="Times New Roman" w:hAnsi="Times New Roman" w:cs="Times New Roman"/>
          <w:sz w:val="24"/>
        </w:rPr>
        <w:t>Thyroglobulin</w:t>
      </w:r>
      <w:bookmarkEnd w:id="0"/>
      <w:r>
        <w:rPr>
          <w:rFonts w:ascii="Times New Roman" w:hAnsi="Times New Roman" w:cs="Times New Roman"/>
          <w:sz w:val="24"/>
        </w:rPr>
        <w:t xml:space="preserve"> (TG) (rabbit monoclonal, clone OTI8F2, Item No</w:t>
      </w:r>
      <w:r>
        <w:rPr>
          <w:rFonts w:hint="eastAsia" w:ascii="Times New Roman" w:hAnsi="Times New Roman" w:cs="Times New Roman"/>
          <w:sz w:val="24"/>
        </w:rPr>
        <w:t>.</w:t>
      </w:r>
      <w:r>
        <w:rPr>
          <w:rFonts w:ascii="Times New Roman" w:hAnsi="Times New Roman" w:cs="Times New Roman"/>
          <w:sz w:val="24"/>
        </w:rPr>
        <w:t xml:space="preserve"> ZM-0241, ZSGB-BIO, Beijing), and PAX-8 (rabbit monoclonal, clone GR002, Item No</w:t>
      </w:r>
      <w:r>
        <w:rPr>
          <w:rFonts w:hint="eastAsia" w:ascii="Times New Roman" w:hAnsi="Times New Roman" w:cs="Times New Roman"/>
          <w:sz w:val="24"/>
        </w:rPr>
        <w:t>.</w:t>
      </w:r>
      <w:r>
        <w:rPr>
          <w:rFonts w:ascii="Times New Roman" w:hAnsi="Times New Roman" w:cs="Times New Roman"/>
          <w:sz w:val="24"/>
        </w:rPr>
        <w:t xml:space="preserve"> GT210207, GeneTech, Shanghai). For Napsin A, granular cytoplasmic staining of tumor cells was classified as positive, and the absence of strong granular cytoplasmic staining was classified as negative. For TTF-1 and PAX-8, strong nuclear staining of tumor cells was classified as positive, while cytoplasmic staining for TG were classified as positive. More than 1% expression of these markers within tumor cells observed was considered positive.</w:t>
      </w:r>
    </w:p>
    <w:p>
      <w:pPr>
        <w:rPr>
          <w:rFonts w:ascii="Times New Roman" w:hAnsi="Times New Roman" w:cs="Times New Roman"/>
          <w:b/>
          <w:bCs/>
          <w:sz w:val="24"/>
        </w:rPr>
      </w:pPr>
      <w:r>
        <w:rPr>
          <w:rFonts w:hint="eastAsia" w:ascii="Times New Roman" w:hAnsi="Times New Roman" w:cs="Times New Roman"/>
          <w:b/>
          <w:bCs/>
          <w:sz w:val="24"/>
        </w:rPr>
        <w:t>D</w:t>
      </w:r>
      <w:r>
        <w:rPr>
          <w:rFonts w:ascii="Times New Roman" w:hAnsi="Times New Roman" w:cs="Times New Roman"/>
          <w:b/>
          <w:bCs/>
          <w:sz w:val="24"/>
        </w:rPr>
        <w:t>etail</w:t>
      </w:r>
      <w:r>
        <w:rPr>
          <w:rFonts w:hint="eastAsia" w:ascii="Times New Roman" w:hAnsi="Times New Roman" w:cs="Times New Roman"/>
          <w:b/>
          <w:bCs/>
          <w:sz w:val="24"/>
        </w:rPr>
        <w:t>s</w:t>
      </w:r>
      <w:r>
        <w:rPr>
          <w:rFonts w:ascii="Times New Roman" w:hAnsi="Times New Roman" w:cs="Times New Roman"/>
          <w:b/>
          <w:bCs/>
          <w:sz w:val="24"/>
        </w:rPr>
        <w:t xml:space="preserve"> on the </w:t>
      </w:r>
      <w:r>
        <w:rPr>
          <w:rFonts w:hint="eastAsia" w:ascii="Times New Roman" w:hAnsi="Times New Roman" w:cs="Times New Roman"/>
          <w:b/>
          <w:bCs/>
          <w:sz w:val="24"/>
        </w:rPr>
        <w:t xml:space="preserve">genetic analysis </w:t>
      </w:r>
    </w:p>
    <w:p>
      <w:pPr>
        <w:spacing w:line="480" w:lineRule="auto"/>
        <w:ind w:firstLine="420"/>
        <w:rPr>
          <w:rFonts w:ascii="Times New Roman" w:hAnsi="Times New Roman" w:cs="Times New Roman"/>
          <w:sz w:val="24"/>
        </w:rPr>
      </w:pPr>
      <w:r>
        <w:rPr>
          <w:rFonts w:hint="eastAsia" w:ascii="Times New Roman" w:hAnsi="Times New Roman" w:cs="Times New Roman"/>
          <w:sz w:val="24"/>
        </w:rPr>
        <w:t>The molecular analysis was similar as previous report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XyS3GVPK","properties":{"formattedCitation":"(1)","plainCitation":"(1)","noteIndex":0},"citationItems":[{"id":6572,"uris":["http://zotero.org/users/1324301/items/85NASFR3"],"uri":["http://zotero.org/users/1324301/items/85NASFR3"],"itemData":{"id":6572,"type":"article-journal","container-title":"Cancer Medicine","DOI":"10.1002/cam4.3450","ISSN":"2045-7634, 2045-7634","issue":"22","journalAbbreviation":"Cancer Med","language":"en","page":"8397-8405","source":"DOI.org (Crossref)","title":"Utility of a multigene testing for preoperative evaluation of indeterminate thyroid nodules: A prospective blinded single center study in China","title-short":"Utility of a multigene testing for preoperative evaluation of indeterminate thyroid nodules","volume":"9","author":[{"family":"Song","given":"Yuntao"},{"family":"Xu","given":"Guohui"},{"family":"Ma","given":"Tonghui"},{"family":"Zhu","given":"Yanli"},{"family":"Yu","given":"Hao"},{"family":"Yu","given":"Wenbin"},{"family":"Wei","given":"Wei"},{"family":"Wang","given":"Tianxiao"},{"family":"Zhang","given":"Bin"}],"issued":{"date-parts":[["2020",11]]}}}],"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r>
        <w:rPr>
          <w:rFonts w:ascii="Times New Roman" w:hAnsi="Times New Roman" w:cs="Times New Roman"/>
          <w:sz w:val="24"/>
        </w:rPr>
        <w:t xml:space="preserve">Briefly, DNA and total RNA were </w:t>
      </w:r>
      <w:r>
        <w:rPr>
          <w:rFonts w:hint="eastAsia" w:ascii="Times New Roman" w:hAnsi="Times New Roman" w:cs="Times New Roman"/>
          <w:sz w:val="24"/>
        </w:rPr>
        <w:t>extracted</w:t>
      </w:r>
      <w:r>
        <w:rPr>
          <w:rFonts w:ascii="Times New Roman" w:hAnsi="Times New Roman" w:cs="Times New Roman"/>
          <w:sz w:val="24"/>
        </w:rPr>
        <w:t xml:space="preserve"> from </w:t>
      </w:r>
      <w:r>
        <w:rPr>
          <w:rFonts w:hint="eastAsia" w:ascii="Times New Roman" w:hAnsi="Times New Roman" w:cs="Times New Roman"/>
          <w:sz w:val="24"/>
        </w:rPr>
        <w:t>resected</w:t>
      </w:r>
      <w:r>
        <w:rPr>
          <w:rFonts w:ascii="Times New Roman" w:hAnsi="Times New Roman" w:cs="Times New Roman"/>
          <w:sz w:val="24"/>
        </w:rPr>
        <w:t xml:space="preserve"> </w:t>
      </w:r>
      <w:r>
        <w:rPr>
          <w:rFonts w:hint="eastAsia" w:ascii="Times New Roman" w:hAnsi="Times New Roman" w:cs="Times New Roman"/>
          <w:sz w:val="24"/>
        </w:rPr>
        <w:t>tumor</w:t>
      </w:r>
      <w:r>
        <w:rPr>
          <w:rFonts w:ascii="Times New Roman" w:hAnsi="Times New Roman" w:cs="Times New Roman"/>
          <w:sz w:val="24"/>
        </w:rPr>
        <w:t xml:space="preserve"> samples </w:t>
      </w:r>
      <w:r>
        <w:rPr>
          <w:rFonts w:ascii="Times New Roman" w:hAnsi="Times New Roman" w:cs="Times New Roman"/>
          <w:color w:val="000000" w:themeColor="text1"/>
          <w:sz w:val="24"/>
          <w14:textFill>
            <w14:solidFill>
              <w14:schemeClr w14:val="tx1"/>
            </w14:solidFill>
          </w14:textFill>
        </w:rPr>
        <w:t>and negative control samples</w:t>
      </w:r>
      <w:r>
        <w:rPr>
          <w:rFonts w:ascii="Times New Roman" w:hAnsi="Times New Roman" w:cs="Times New Roman"/>
          <w:color w:val="FF0000"/>
          <w:sz w:val="24"/>
        </w:rPr>
        <w:t xml:space="preserve"> </w:t>
      </w:r>
      <w:bookmarkStart w:id="1" w:name="_GoBack"/>
      <w:bookmarkEnd w:id="1"/>
      <w:r>
        <w:rPr>
          <w:rFonts w:ascii="Times New Roman" w:hAnsi="Times New Roman" w:cs="Times New Roman"/>
          <w:sz w:val="24"/>
        </w:rPr>
        <w:t xml:space="preserve">using the AllPrep DNA/RNA Mini Kit (QIAGEN), and their concentrations determined using a Qubit 3.0 Fluorometer（Thermo Fisher Scientific). NGS </w:t>
      </w:r>
      <w:r>
        <w:rPr>
          <w:rFonts w:hint="eastAsia" w:ascii="Times New Roman" w:hAnsi="Times New Roman" w:cs="Times New Roman"/>
          <w:sz w:val="24"/>
        </w:rPr>
        <w:t>libraries,</w:t>
      </w:r>
      <w:r>
        <w:rPr>
          <w:rFonts w:ascii="Times New Roman" w:hAnsi="Times New Roman" w:cs="Times New Roman"/>
          <w:sz w:val="24"/>
        </w:rPr>
        <w:t xml:space="preserve"> which were started with 10 ng of DNA and 10 ng of RNA, were prepared </w:t>
      </w:r>
      <w:r>
        <w:rPr>
          <w:rFonts w:hint="eastAsia" w:ascii="Times New Roman" w:hAnsi="Times New Roman" w:cs="Times New Roman"/>
          <w:sz w:val="24"/>
        </w:rPr>
        <w:t>by</w:t>
      </w:r>
      <w:r>
        <w:rPr>
          <w:rFonts w:ascii="Times New Roman" w:hAnsi="Times New Roman" w:cs="Times New Roman"/>
          <w:sz w:val="24"/>
        </w:rPr>
        <w:t xml:space="preserve"> the FSZ-Thyroid NGS Panel V1, a panel for the detection of more 1000 hotspots of 16 thyroid cancer-related genes (</w:t>
      </w:r>
      <w:r>
        <w:rPr>
          <w:rFonts w:ascii="Times New Roman" w:hAnsi="Times New Roman" w:cs="Times New Roman"/>
          <w:i/>
          <w:iCs/>
          <w:sz w:val="24"/>
        </w:rPr>
        <w:t>AKT1, BRAF, CTNNB1, EIF1AX, EZH1, GNAS, HRAS, KRAS, NRAS, PIK3CA, RET, SPOP, TERT, TP53, TSHR, and ZNF148</w:t>
      </w:r>
      <w:r>
        <w:rPr>
          <w:rFonts w:ascii="Times New Roman" w:hAnsi="Times New Roman" w:cs="Times New Roman"/>
          <w:sz w:val="24"/>
        </w:rPr>
        <w:t>) and 46 types of gene fusions occurring in thyroid cancer (</w:t>
      </w:r>
      <w:r>
        <w:rPr>
          <w:rFonts w:ascii="Times New Roman" w:hAnsi="Times New Roman" w:cs="Times New Roman"/>
          <w:i/>
          <w:iCs/>
          <w:sz w:val="24"/>
        </w:rPr>
        <w:t>RET, PPARG, NTRK1, NTRK3, BRAF, ALK, THADA</w:t>
      </w:r>
      <w:r>
        <w:rPr>
          <w:rFonts w:ascii="Times New Roman" w:hAnsi="Times New Roman" w:cs="Times New Roman"/>
          <w:sz w:val="24"/>
        </w:rPr>
        <w:t xml:space="preserve">, and others in RNA). After normalization on the Ion Chef, the libraries were then sequenced on the Ion Proton (Thermo Fisher Scientific) platform. Data analysis were performed using the Torrent Suite (version 5.2.2; Thermo Fisher Scientific). </w:t>
      </w:r>
    </w:p>
    <w:p>
      <w:pPr>
        <w:spacing w:line="480" w:lineRule="auto"/>
        <w:rPr>
          <w:rFonts w:ascii="Times New Roman" w:hAnsi="Times New Roman" w:cs="Times New Roman"/>
          <w:b/>
          <w:bCs/>
          <w:sz w:val="24"/>
        </w:rPr>
      </w:pPr>
      <w:r>
        <w:rPr>
          <w:rFonts w:hint="eastAsia" w:ascii="Times New Roman" w:hAnsi="Times New Roman" w:cs="Times New Roman"/>
          <w:b/>
          <w:bCs/>
          <w:sz w:val="24"/>
        </w:rPr>
        <w:t>Reference</w:t>
      </w:r>
    </w:p>
    <w:p>
      <w:pPr>
        <w:pStyle w:val="4"/>
        <w:spacing w:after="0" w:line="48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1. </w:t>
      </w:r>
      <w:r>
        <w:rPr>
          <w:rFonts w:ascii="Times New Roman" w:hAnsi="Times New Roman" w:cs="Times New Roman"/>
          <w:sz w:val="24"/>
        </w:rPr>
        <w:tab/>
      </w:r>
      <w:r>
        <w:rPr>
          <w:rFonts w:ascii="Times New Roman" w:hAnsi="Times New Roman" w:cs="Times New Roman"/>
          <w:sz w:val="24"/>
        </w:rPr>
        <w:t>Song Y, Xu G, Ma T, Zhu Y, Yu H, Yu W, Wei W, Wang T, Zhang B. Utility of a multigene testing for preoperative evaluation of indeterminate thyroid nodules: A prospective blinded single center study in China. Cancer Med (2020) 9:8397–8405. doi:10.1002/cam4.3450</w:t>
      </w:r>
    </w:p>
    <w:p>
      <w:pPr>
        <w:spacing w:line="480" w:lineRule="auto"/>
        <w:rPr>
          <w:rFonts w:ascii="Trebuchet MS" w:hAnsi="Trebuchet MS" w:eastAsia="宋体" w:cs="Trebuchet MS"/>
          <w:b/>
          <w:bCs/>
          <w:color w:val="FF0000"/>
          <w:sz w:val="18"/>
          <w:szCs w:val="18"/>
          <w:shd w:val="clear" w:color="auto" w:fill="FFFFFF"/>
        </w:rPr>
      </w:pPr>
      <w:r>
        <w:rPr>
          <w:rFonts w:ascii="Times New Roman" w:hAnsi="Times New Roman" w:cs="Times New Roman"/>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F3D11"/>
    <w:rsid w:val="00066DF6"/>
    <w:rsid w:val="00131FDD"/>
    <w:rsid w:val="00155936"/>
    <w:rsid w:val="00185E54"/>
    <w:rsid w:val="001D2823"/>
    <w:rsid w:val="004466C5"/>
    <w:rsid w:val="004D3DD4"/>
    <w:rsid w:val="004E7673"/>
    <w:rsid w:val="00535751"/>
    <w:rsid w:val="00563005"/>
    <w:rsid w:val="005C7154"/>
    <w:rsid w:val="0062486A"/>
    <w:rsid w:val="00671087"/>
    <w:rsid w:val="006A05C2"/>
    <w:rsid w:val="00746FC3"/>
    <w:rsid w:val="00850AC5"/>
    <w:rsid w:val="00975E89"/>
    <w:rsid w:val="00977611"/>
    <w:rsid w:val="009A23FF"/>
    <w:rsid w:val="009F310C"/>
    <w:rsid w:val="00AB64B7"/>
    <w:rsid w:val="00B6158E"/>
    <w:rsid w:val="00C35AD8"/>
    <w:rsid w:val="00D15F54"/>
    <w:rsid w:val="00D56D10"/>
    <w:rsid w:val="00D6230A"/>
    <w:rsid w:val="00D9341C"/>
    <w:rsid w:val="00E75D89"/>
    <w:rsid w:val="00E956AB"/>
    <w:rsid w:val="00EB60E3"/>
    <w:rsid w:val="00EC0686"/>
    <w:rsid w:val="00EE28B3"/>
    <w:rsid w:val="00F14943"/>
    <w:rsid w:val="00F5510E"/>
    <w:rsid w:val="011932F7"/>
    <w:rsid w:val="0D0B173D"/>
    <w:rsid w:val="117E1332"/>
    <w:rsid w:val="11A6778A"/>
    <w:rsid w:val="139E40CF"/>
    <w:rsid w:val="146F3D11"/>
    <w:rsid w:val="1C3B2009"/>
    <w:rsid w:val="1E923465"/>
    <w:rsid w:val="20B23C19"/>
    <w:rsid w:val="21112200"/>
    <w:rsid w:val="3EA23311"/>
    <w:rsid w:val="3F0D654B"/>
    <w:rsid w:val="44287D4B"/>
    <w:rsid w:val="50C749A3"/>
    <w:rsid w:val="5A12716E"/>
    <w:rsid w:val="6B52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ibliography"/>
    <w:basedOn w:val="1"/>
    <w:next w:val="1"/>
    <w:unhideWhenUsed/>
    <w:qFormat/>
    <w:uiPriority w:val="37"/>
    <w:pPr>
      <w:tabs>
        <w:tab w:val="left" w:pos="384"/>
      </w:tabs>
      <w:spacing w:after="240"/>
      <w:ind w:left="384" w:hanging="38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560</Words>
  <Characters>3197</Characters>
  <Lines>26</Lines>
  <Paragraphs>7</Paragraphs>
  <TotalTime>64</TotalTime>
  <ScaleCrop>false</ScaleCrop>
  <LinksUpToDate>false</LinksUpToDate>
  <CharactersWithSpaces>3750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2021-02-28T03:38:00Z</dcterms:created>
  <dc:creator>张晓燕</dc:creator>
  <cp:lastModifiedBy>张晓燕</cp:lastModifiedBy>
  <dcterms:modified xsi:type="dcterms:W3CDTF">2021-03-08T14:24:18Z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ZOTERO_PREF_1">
    <vt:lpwstr>&lt;data data-version="3" zotero-version="5.0.96"&gt;&lt;session id="mAqRsC0d"/&gt;&lt;style id="http://www.zotero.org/styles/frontiers-in-oncology" hasBibliography="1" bibliographyStyleHasBeenSet="1"/&gt;&lt;prefs&gt;&lt;pref name="fieldType" value="Field"/&gt;&lt;/prefs&gt;&lt;/data&gt;</vt:lpwstr>
  </property>
</Properties>
</file>