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0A2E6" w14:textId="77777777" w:rsidR="0030575B" w:rsidRPr="001D6919" w:rsidRDefault="0030575B" w:rsidP="0030575B">
      <w:pPr>
        <w:pStyle w:val="Sangra2detindependiente"/>
        <w:ind w:firstLine="0"/>
        <w:jc w:val="left"/>
        <w:rPr>
          <w:b/>
          <w:caps/>
          <w:color w:val="auto"/>
          <w:u w:val="single"/>
        </w:rPr>
      </w:pPr>
      <w:r w:rsidRPr="001D6919">
        <w:rPr>
          <w:b/>
          <w:caps/>
          <w:color w:val="auto"/>
          <w:u w:val="single"/>
        </w:rPr>
        <w:t>Supplementary material</w:t>
      </w:r>
    </w:p>
    <w:p w14:paraId="36F62A58" w14:textId="5238B21B" w:rsidR="0030575B" w:rsidRPr="0021144D" w:rsidRDefault="006B3F3E" w:rsidP="0021144D">
      <w:pPr>
        <w:spacing w:line="360" w:lineRule="auto"/>
        <w:ind w:right="-34"/>
        <w:jc w:val="center"/>
        <w:rPr>
          <w:rFonts w:ascii="Times New Roman" w:hAnsi="Times New Roman" w:cs="Times New Roman"/>
          <w:b/>
          <w:sz w:val="28"/>
          <w:szCs w:val="28"/>
          <w:lang w:val="en-GB"/>
        </w:rPr>
      </w:pPr>
      <w:r w:rsidRPr="0021144D">
        <w:rPr>
          <w:rFonts w:ascii="Times New Roman" w:hAnsi="Times New Roman" w:cs="Times New Roman"/>
          <w:b/>
          <w:sz w:val="28"/>
          <w:szCs w:val="28"/>
          <w:lang w:val="en-GB"/>
        </w:rPr>
        <w:t xml:space="preserve">Age-dependent shift of AMPA receptors from synapses to intracellular compartments in Alzheimer´s disease: </w:t>
      </w:r>
      <w:proofErr w:type="spellStart"/>
      <w:r w:rsidRPr="0021144D">
        <w:rPr>
          <w:rFonts w:ascii="Times New Roman" w:hAnsi="Times New Roman" w:cs="Times New Roman"/>
          <w:b/>
          <w:sz w:val="28"/>
          <w:szCs w:val="28"/>
          <w:lang w:val="en-GB"/>
        </w:rPr>
        <w:t>Immunocytochemical</w:t>
      </w:r>
      <w:proofErr w:type="spellEnd"/>
      <w:r w:rsidRPr="0021144D">
        <w:rPr>
          <w:rFonts w:ascii="Times New Roman" w:hAnsi="Times New Roman" w:cs="Times New Roman"/>
          <w:b/>
          <w:sz w:val="28"/>
          <w:szCs w:val="28"/>
          <w:lang w:val="en-GB"/>
        </w:rPr>
        <w:t xml:space="preserve"> analysis of the CA1 hippocampal region in APP/PS1 transgenic mouse model</w:t>
      </w:r>
    </w:p>
    <w:p w14:paraId="4E0D7567" w14:textId="77777777" w:rsidR="0021144D" w:rsidRDefault="0021144D" w:rsidP="0021144D">
      <w:pPr>
        <w:pStyle w:val="Sangra2detindependiente"/>
        <w:ind w:right="-285" w:firstLine="0"/>
        <w:jc w:val="left"/>
        <w:rPr>
          <w:lang w:val="es-ES"/>
        </w:rPr>
      </w:pPr>
    </w:p>
    <w:p w14:paraId="0CA765B5" w14:textId="38F65A65" w:rsidR="0030575B" w:rsidRDefault="0021144D" w:rsidP="0021144D">
      <w:pPr>
        <w:pStyle w:val="Sangra2detindependiente"/>
        <w:ind w:right="-285" w:firstLine="0"/>
        <w:jc w:val="left"/>
        <w:rPr>
          <w:lang w:val="es-ES"/>
        </w:rPr>
      </w:pPr>
      <w:r w:rsidRPr="00021A27">
        <w:rPr>
          <w:lang w:val="es-ES"/>
        </w:rPr>
        <w:t xml:space="preserve">Alejandro Martín-Belmonte, Carolina Aguado, Rocío Alfaro-Ruíz, </w:t>
      </w:r>
      <w:proofErr w:type="spellStart"/>
      <w:r w:rsidRPr="00021A27">
        <w:rPr>
          <w:lang w:val="es-ES"/>
        </w:rPr>
        <w:t>Makoto</w:t>
      </w:r>
      <w:proofErr w:type="spellEnd"/>
      <w:r w:rsidRPr="00021A27">
        <w:rPr>
          <w:lang w:val="es-ES"/>
        </w:rPr>
        <w:t xml:space="preserve"> </w:t>
      </w:r>
      <w:proofErr w:type="spellStart"/>
      <w:r w:rsidRPr="00021A27">
        <w:rPr>
          <w:lang w:val="es-ES"/>
        </w:rPr>
        <w:t>Itakura</w:t>
      </w:r>
      <w:proofErr w:type="spellEnd"/>
      <w:r w:rsidRPr="00021A27">
        <w:rPr>
          <w:lang w:val="es-ES"/>
        </w:rPr>
        <w:t xml:space="preserve">, Ana Esther Moreno-Martínez, Luis de la Ossa, </w:t>
      </w:r>
      <w:proofErr w:type="spellStart"/>
      <w:r w:rsidRPr="00021A27">
        <w:rPr>
          <w:lang w:val="es-ES"/>
        </w:rPr>
        <w:t>Elek</w:t>
      </w:r>
      <w:proofErr w:type="spellEnd"/>
      <w:r w:rsidRPr="00021A27">
        <w:rPr>
          <w:lang w:val="es-ES"/>
        </w:rPr>
        <w:t xml:space="preserve"> </w:t>
      </w:r>
      <w:proofErr w:type="spellStart"/>
      <w:r w:rsidRPr="00021A27">
        <w:rPr>
          <w:lang w:val="es-ES"/>
        </w:rPr>
        <w:t>Molnár</w:t>
      </w:r>
      <w:proofErr w:type="spellEnd"/>
      <w:r w:rsidRPr="00021A27">
        <w:rPr>
          <w:lang w:val="es-ES"/>
        </w:rPr>
        <w:t xml:space="preserve">, Yugo </w:t>
      </w:r>
      <w:proofErr w:type="spellStart"/>
      <w:r w:rsidRPr="00021A27">
        <w:rPr>
          <w:lang w:val="es-ES"/>
        </w:rPr>
        <w:t>Fukazawa</w:t>
      </w:r>
      <w:proofErr w:type="spellEnd"/>
      <w:r w:rsidRPr="00021A27">
        <w:rPr>
          <w:lang w:val="es-ES"/>
        </w:rPr>
        <w:t xml:space="preserve"> and Rafael Luján</w:t>
      </w:r>
    </w:p>
    <w:p w14:paraId="360DC5D0" w14:textId="77777777" w:rsidR="0021144D" w:rsidRPr="0021144D" w:rsidRDefault="0021144D" w:rsidP="0030575B">
      <w:pPr>
        <w:pStyle w:val="Sangra2detindependiente"/>
        <w:ind w:firstLine="0"/>
        <w:jc w:val="left"/>
        <w:rPr>
          <w:b/>
          <w:color w:val="auto"/>
          <w:lang w:val="es-ES"/>
        </w:rPr>
      </w:pPr>
    </w:p>
    <w:p w14:paraId="0CF599BD" w14:textId="77777777" w:rsidR="0030575B" w:rsidRPr="0030575B" w:rsidRDefault="0030575B" w:rsidP="0030575B">
      <w:pPr>
        <w:pStyle w:val="Sangra2detindependiente"/>
        <w:ind w:firstLine="0"/>
        <w:jc w:val="left"/>
        <w:rPr>
          <w:b/>
          <w:color w:val="auto"/>
        </w:rPr>
      </w:pPr>
      <w:r w:rsidRPr="0030575B">
        <w:rPr>
          <w:b/>
          <w:color w:val="auto"/>
        </w:rPr>
        <w:t>Supplementary Material &amp; Methods</w:t>
      </w:r>
    </w:p>
    <w:p w14:paraId="451797FD" w14:textId="279B7738" w:rsidR="00716C6D" w:rsidRPr="0030575B" w:rsidRDefault="00716C6D" w:rsidP="00716C6D">
      <w:pPr>
        <w:autoSpaceDE w:val="0"/>
        <w:autoSpaceDN w:val="0"/>
        <w:adjustRightInd w:val="0"/>
        <w:spacing w:line="480" w:lineRule="auto"/>
        <w:rPr>
          <w:rFonts w:ascii="Times New Roman" w:eastAsia="AdvTT5843c571" w:hAnsi="Times New Roman" w:cs="Times New Roman"/>
          <w:i/>
          <w:sz w:val="24"/>
          <w:szCs w:val="24"/>
          <w:lang w:val="en-GB"/>
        </w:rPr>
      </w:pPr>
      <w:r w:rsidRPr="0030575B">
        <w:rPr>
          <w:rFonts w:ascii="Times New Roman" w:eastAsia="MS Mincho" w:hAnsi="Times New Roman" w:cs="Times New Roman"/>
          <w:b/>
          <w:bCs/>
          <w:i/>
          <w:sz w:val="24"/>
          <w:szCs w:val="24"/>
          <w:lang w:val="en-GB"/>
        </w:rPr>
        <w:t>Production and characterisation of the pan-AMPA</w:t>
      </w:r>
      <w:r w:rsidR="00BE2593">
        <w:rPr>
          <w:rFonts w:ascii="Times New Roman" w:eastAsia="MS Mincho" w:hAnsi="Times New Roman" w:cs="Times New Roman"/>
          <w:b/>
          <w:bCs/>
          <w:i/>
          <w:sz w:val="24"/>
          <w:szCs w:val="24"/>
          <w:lang w:val="en-GB"/>
        </w:rPr>
        <w:t>R</w:t>
      </w:r>
      <w:r w:rsidRPr="0030575B">
        <w:rPr>
          <w:rFonts w:ascii="Times New Roman" w:eastAsia="MS Mincho" w:hAnsi="Times New Roman" w:cs="Times New Roman"/>
          <w:b/>
          <w:bCs/>
          <w:i/>
          <w:sz w:val="24"/>
          <w:szCs w:val="24"/>
          <w:lang w:val="en-GB"/>
        </w:rPr>
        <w:t xml:space="preserve"> </w:t>
      </w:r>
      <w:r w:rsidR="00BE2593">
        <w:rPr>
          <w:rFonts w:ascii="Times New Roman" w:eastAsia="MS Mincho" w:hAnsi="Times New Roman" w:cs="Times New Roman"/>
          <w:b/>
          <w:bCs/>
          <w:i/>
          <w:sz w:val="24"/>
          <w:szCs w:val="24"/>
          <w:lang w:val="en-GB"/>
        </w:rPr>
        <w:t>a</w:t>
      </w:r>
      <w:r w:rsidRPr="0030575B">
        <w:rPr>
          <w:rFonts w:ascii="Times New Roman" w:eastAsia="MS Mincho" w:hAnsi="Times New Roman" w:cs="Times New Roman"/>
          <w:b/>
          <w:bCs/>
          <w:i/>
          <w:sz w:val="24"/>
          <w:szCs w:val="24"/>
          <w:lang w:val="en-GB"/>
        </w:rPr>
        <w:t>ntibody</w:t>
      </w:r>
    </w:p>
    <w:p w14:paraId="352EA4D2" w14:textId="77777777" w:rsidR="00716C6D" w:rsidRPr="0030575B" w:rsidRDefault="00716C6D" w:rsidP="00716C6D">
      <w:pPr>
        <w:spacing w:line="480" w:lineRule="auto"/>
        <w:rPr>
          <w:rFonts w:ascii="Times New Roman" w:hAnsi="Times New Roman" w:cs="Times New Roman"/>
          <w:sz w:val="24"/>
          <w:szCs w:val="24"/>
          <w:lang w:val="en-GB"/>
        </w:rPr>
      </w:pPr>
      <w:r w:rsidRPr="0030575B">
        <w:rPr>
          <w:rFonts w:ascii="Times New Roman" w:hAnsi="Times New Roman" w:cs="Times New Roman"/>
          <w:b/>
          <w:sz w:val="24"/>
          <w:szCs w:val="24"/>
          <w:lang w:val="en-GB"/>
        </w:rPr>
        <w:t xml:space="preserve">Plasmids. </w:t>
      </w:r>
      <w:r w:rsidRPr="0030575B">
        <w:rPr>
          <w:rFonts w:ascii="Times New Roman" w:hAnsi="Times New Roman" w:cs="Times New Roman"/>
          <w:sz w:val="24"/>
          <w:szCs w:val="24"/>
          <w:lang w:val="en-GB"/>
        </w:rPr>
        <w:t>Full-length rat GluA1, GluA2 and GluA4 cDNAs were subcloned into pcDNA3 (plasmid vector, Invitrogen) to generate pc3-GluA1, pc3-GluA2 and pc3-GluA4, respectively. In addition, full-length murine GluA3 cDNAs was subcloned into pRK5 (plasmid vector) to generate pRK5-GluA3.</w:t>
      </w:r>
    </w:p>
    <w:p w14:paraId="5975D2F2" w14:textId="2E5FA5D2" w:rsidR="00716C6D" w:rsidRPr="0030575B" w:rsidRDefault="00716C6D" w:rsidP="00716C6D">
      <w:pPr>
        <w:spacing w:line="480" w:lineRule="auto"/>
        <w:rPr>
          <w:rFonts w:ascii="Times New Roman" w:hAnsi="Times New Roman" w:cs="Times New Roman"/>
          <w:sz w:val="24"/>
          <w:szCs w:val="24"/>
          <w:lang w:val="en-GB"/>
        </w:rPr>
      </w:pPr>
      <w:r w:rsidRPr="0030575B">
        <w:rPr>
          <w:rFonts w:ascii="Times New Roman" w:hAnsi="Times New Roman" w:cs="Times New Roman"/>
          <w:b/>
          <w:sz w:val="24"/>
          <w:szCs w:val="24"/>
          <w:lang w:val="en-GB"/>
        </w:rPr>
        <w:t xml:space="preserve">Transfection, immunoprecipitation and immunoblot analysis. </w:t>
      </w:r>
      <w:r w:rsidRPr="0030575B">
        <w:rPr>
          <w:rFonts w:ascii="Times New Roman" w:hAnsi="Times New Roman" w:cs="Times New Roman"/>
          <w:sz w:val="24"/>
          <w:szCs w:val="24"/>
          <w:lang w:val="en-GB"/>
        </w:rPr>
        <w:t xml:space="preserve">HeLa cells were maintained in Dulbecco's modified Eagle's medium (DMEM) with 10% fetal bovine serum (FBS) and were transiently transfected with GluA1-4 expression plasmids using </w:t>
      </w:r>
      <w:proofErr w:type="spellStart"/>
      <w:r w:rsidRPr="0030575B">
        <w:rPr>
          <w:rFonts w:ascii="Times New Roman" w:hAnsi="Times New Roman" w:cs="Times New Roman"/>
          <w:sz w:val="24"/>
          <w:szCs w:val="24"/>
          <w:lang w:val="en-GB"/>
        </w:rPr>
        <w:t>Lipofectoamine</w:t>
      </w:r>
      <w:proofErr w:type="spellEnd"/>
      <w:r w:rsidRPr="0030575B">
        <w:rPr>
          <w:rFonts w:ascii="Times New Roman" w:hAnsi="Times New Roman" w:cs="Times New Roman"/>
          <w:sz w:val="24"/>
          <w:szCs w:val="24"/>
          <w:lang w:val="en-GB"/>
        </w:rPr>
        <w:t xml:space="preserve"> 2000 (Invitrogen). After 48 h of transfection, the cultured cells were harvested and lysed in </w:t>
      </w:r>
      <w:r w:rsidRPr="0030575B">
        <w:rPr>
          <w:rFonts w:ascii="Times New Roman" w:hAnsi="Times New Roman" w:cs="Times New Roman"/>
          <w:color w:val="1C1D1E"/>
          <w:sz w:val="24"/>
          <w:szCs w:val="24"/>
          <w:lang w:val="en-GB"/>
        </w:rPr>
        <w:t xml:space="preserve">0.5% Triton X‐100 </w:t>
      </w:r>
      <w:r w:rsidRPr="0030575B">
        <w:rPr>
          <w:rFonts w:ascii="Times New Roman" w:hAnsi="Times New Roman" w:cs="Times New Roman"/>
          <w:sz w:val="24"/>
          <w:szCs w:val="24"/>
          <w:lang w:val="en-GB"/>
        </w:rPr>
        <w:t>in 20 m</w:t>
      </w:r>
      <w:r w:rsidRPr="0030575B">
        <w:rPr>
          <w:rStyle w:val="smallcaps1"/>
          <w:rFonts w:ascii="Times New Roman" w:hAnsi="Times New Roman" w:cs="Times New Roman"/>
          <w:sz w:val="24"/>
          <w:szCs w:val="24"/>
          <w:lang w:val="en-GB"/>
        </w:rPr>
        <w:t xml:space="preserve">M </w:t>
      </w:r>
      <w:r w:rsidRPr="0030575B">
        <w:rPr>
          <w:rFonts w:ascii="Times New Roman" w:hAnsi="Times New Roman" w:cs="Times New Roman"/>
          <w:sz w:val="24"/>
          <w:szCs w:val="24"/>
          <w:lang w:val="en-GB"/>
        </w:rPr>
        <w:t>Tris/HCl and 50 m</w:t>
      </w:r>
      <w:r w:rsidRPr="0030575B">
        <w:rPr>
          <w:rStyle w:val="smallcaps1"/>
          <w:rFonts w:ascii="Times New Roman" w:hAnsi="Times New Roman" w:cs="Times New Roman"/>
          <w:sz w:val="24"/>
          <w:szCs w:val="24"/>
          <w:lang w:val="en-GB"/>
        </w:rPr>
        <w:t xml:space="preserve">M </w:t>
      </w:r>
      <w:r w:rsidRPr="0030575B">
        <w:rPr>
          <w:rFonts w:ascii="Times New Roman" w:hAnsi="Times New Roman" w:cs="Times New Roman"/>
          <w:sz w:val="24"/>
          <w:szCs w:val="24"/>
          <w:lang w:val="en-GB"/>
        </w:rPr>
        <w:t xml:space="preserve">NaCl (pH 7.5). For immunoprecipitation experiments, anti‐AMPAR antibodies (0.75 </w:t>
      </w:r>
      <w:proofErr w:type="spellStart"/>
      <w:r w:rsidRPr="0030575B">
        <w:rPr>
          <w:rFonts w:ascii="Times New Roman" w:hAnsi="Times New Roman" w:cs="Times New Roman"/>
          <w:sz w:val="24"/>
          <w:szCs w:val="24"/>
          <w:lang w:val="en-GB"/>
        </w:rPr>
        <w:t>μg</w:t>
      </w:r>
      <w:proofErr w:type="spellEnd"/>
      <w:r w:rsidRPr="0030575B">
        <w:rPr>
          <w:rFonts w:ascii="Times New Roman" w:hAnsi="Times New Roman" w:cs="Times New Roman"/>
          <w:sz w:val="24"/>
          <w:szCs w:val="24"/>
          <w:lang w:val="en-GB"/>
        </w:rPr>
        <w:t xml:space="preserve"> protein) were bound to 5 </w:t>
      </w:r>
      <w:proofErr w:type="spellStart"/>
      <w:r w:rsidRPr="0030575B">
        <w:rPr>
          <w:rFonts w:ascii="Times New Roman" w:hAnsi="Times New Roman" w:cs="Times New Roman"/>
          <w:sz w:val="24"/>
          <w:szCs w:val="24"/>
          <w:lang w:val="en-GB"/>
        </w:rPr>
        <w:t>μL</w:t>
      </w:r>
      <w:proofErr w:type="spellEnd"/>
      <w:r w:rsidRPr="0030575B">
        <w:rPr>
          <w:rFonts w:ascii="Times New Roman" w:hAnsi="Times New Roman" w:cs="Times New Roman"/>
          <w:sz w:val="24"/>
          <w:szCs w:val="24"/>
          <w:lang w:val="en-GB"/>
        </w:rPr>
        <w:t xml:space="preserve"> of Protein G </w:t>
      </w:r>
      <w:proofErr w:type="spellStart"/>
      <w:r w:rsidRPr="0030575B">
        <w:rPr>
          <w:rFonts w:ascii="Times New Roman" w:hAnsi="Times New Roman" w:cs="Times New Roman"/>
          <w:sz w:val="24"/>
          <w:szCs w:val="24"/>
          <w:lang w:val="en-GB"/>
        </w:rPr>
        <w:t>Dynabeads</w:t>
      </w:r>
      <w:proofErr w:type="spellEnd"/>
      <w:r w:rsidRPr="0030575B">
        <w:rPr>
          <w:rFonts w:ascii="Times New Roman" w:hAnsi="Times New Roman" w:cs="Times New Roman"/>
          <w:sz w:val="24"/>
          <w:szCs w:val="24"/>
          <w:lang w:val="en-GB"/>
        </w:rPr>
        <w:t xml:space="preserve">. The transfected </w:t>
      </w:r>
      <w:r w:rsidRPr="0030575B">
        <w:rPr>
          <w:rFonts w:ascii="Times New Roman" w:hAnsi="Times New Roman" w:cs="Times New Roman"/>
          <w:color w:val="1C1D1E"/>
          <w:sz w:val="24"/>
          <w:szCs w:val="24"/>
          <w:lang w:val="en-GB"/>
        </w:rPr>
        <w:t xml:space="preserve">HeLa cell lysates were incubated with the antibody‐conjugated Protein G </w:t>
      </w:r>
      <w:proofErr w:type="spellStart"/>
      <w:r w:rsidRPr="0030575B">
        <w:rPr>
          <w:rFonts w:ascii="Times New Roman" w:hAnsi="Times New Roman" w:cs="Times New Roman"/>
          <w:color w:val="1C1D1E"/>
          <w:sz w:val="24"/>
          <w:szCs w:val="24"/>
          <w:lang w:val="en-GB"/>
        </w:rPr>
        <w:t>Dynabeads</w:t>
      </w:r>
      <w:proofErr w:type="spellEnd"/>
      <w:r w:rsidRPr="0030575B">
        <w:rPr>
          <w:rFonts w:ascii="Times New Roman" w:hAnsi="Times New Roman" w:cs="Times New Roman"/>
          <w:color w:val="1C1D1E"/>
          <w:sz w:val="24"/>
          <w:szCs w:val="24"/>
          <w:lang w:val="en-GB"/>
        </w:rPr>
        <w:t>. Beads were washed three times with 0.5% Triton X‐100 in 20 m</w:t>
      </w:r>
      <w:r w:rsidRPr="0030575B">
        <w:rPr>
          <w:rStyle w:val="smallcaps1"/>
          <w:rFonts w:ascii="Times New Roman" w:hAnsi="Times New Roman" w:cs="Times New Roman"/>
          <w:color w:val="1C1D1E"/>
          <w:sz w:val="24"/>
          <w:szCs w:val="24"/>
          <w:lang w:val="en-GB"/>
        </w:rPr>
        <w:t xml:space="preserve">m </w:t>
      </w:r>
      <w:r w:rsidRPr="0030575B">
        <w:rPr>
          <w:rFonts w:ascii="Times New Roman" w:hAnsi="Times New Roman" w:cs="Times New Roman"/>
          <w:color w:val="1C1D1E"/>
          <w:sz w:val="24"/>
          <w:szCs w:val="24"/>
          <w:lang w:val="en-GB"/>
        </w:rPr>
        <w:t>Tris/HCl and 50 m</w:t>
      </w:r>
      <w:r w:rsidRPr="0030575B">
        <w:rPr>
          <w:rStyle w:val="smallcaps1"/>
          <w:rFonts w:ascii="Times New Roman" w:hAnsi="Times New Roman" w:cs="Times New Roman"/>
          <w:color w:val="1C1D1E"/>
          <w:sz w:val="24"/>
          <w:szCs w:val="24"/>
          <w:lang w:val="en-GB"/>
        </w:rPr>
        <w:t xml:space="preserve">m </w:t>
      </w:r>
      <w:r w:rsidRPr="0030575B">
        <w:rPr>
          <w:rFonts w:ascii="Times New Roman" w:hAnsi="Times New Roman" w:cs="Times New Roman"/>
          <w:color w:val="1C1D1E"/>
          <w:sz w:val="24"/>
          <w:szCs w:val="24"/>
          <w:lang w:val="en-GB"/>
        </w:rPr>
        <w:t>NaCl (pH 7.5), and the immunoprecipitated materials were recovered in SDS sample buffer (2% SDS, 3.3% glycerol, 125 m</w:t>
      </w:r>
      <w:r w:rsidRPr="0030575B">
        <w:rPr>
          <w:rStyle w:val="smallcaps1"/>
          <w:rFonts w:ascii="Times New Roman" w:hAnsi="Times New Roman" w:cs="Times New Roman"/>
          <w:color w:val="1C1D1E"/>
          <w:sz w:val="24"/>
          <w:szCs w:val="24"/>
          <w:lang w:val="en-GB"/>
        </w:rPr>
        <w:t xml:space="preserve">m </w:t>
      </w:r>
      <w:r w:rsidRPr="0030575B">
        <w:rPr>
          <w:rFonts w:ascii="Times New Roman" w:hAnsi="Times New Roman" w:cs="Times New Roman"/>
          <w:color w:val="1C1D1E"/>
          <w:sz w:val="24"/>
          <w:szCs w:val="24"/>
          <w:lang w:val="en-GB"/>
        </w:rPr>
        <w:t xml:space="preserve">Tris/HCl, pH 7.4) heated at 90 °C for 5 min. </w:t>
      </w:r>
      <w:r w:rsidRPr="0030575B">
        <w:rPr>
          <w:rFonts w:ascii="Times New Roman" w:hAnsi="Times New Roman" w:cs="Times New Roman"/>
          <w:sz w:val="24"/>
          <w:szCs w:val="24"/>
          <w:lang w:val="en-GB"/>
        </w:rPr>
        <w:t xml:space="preserve">The samples were </w:t>
      </w:r>
      <w:r w:rsidRPr="0030575B">
        <w:rPr>
          <w:rFonts w:ascii="Times New Roman" w:hAnsi="Times New Roman" w:cs="Times New Roman"/>
          <w:sz w:val="24"/>
          <w:szCs w:val="24"/>
          <w:lang w:val="en-GB"/>
        </w:rPr>
        <w:lastRenderedPageBreak/>
        <w:t xml:space="preserve">separated by SDS-PAGE, followed by </w:t>
      </w:r>
      <w:proofErr w:type="spellStart"/>
      <w:r w:rsidRPr="0030575B">
        <w:rPr>
          <w:rFonts w:ascii="Times New Roman" w:hAnsi="Times New Roman" w:cs="Times New Roman"/>
          <w:sz w:val="24"/>
          <w:szCs w:val="24"/>
          <w:lang w:val="en-GB"/>
        </w:rPr>
        <w:t>electrotransfer</w:t>
      </w:r>
      <w:proofErr w:type="spellEnd"/>
      <w:r w:rsidRPr="0030575B">
        <w:rPr>
          <w:rFonts w:ascii="Times New Roman" w:hAnsi="Times New Roman" w:cs="Times New Roman"/>
          <w:sz w:val="24"/>
          <w:szCs w:val="24"/>
          <w:lang w:val="en-GB"/>
        </w:rPr>
        <w:t xml:space="preserve"> into PDVF membrane and incubated with pan</w:t>
      </w:r>
      <w:r w:rsidR="00BC46C1">
        <w:rPr>
          <w:rFonts w:ascii="Times New Roman" w:hAnsi="Times New Roman" w:cs="Times New Roman"/>
          <w:sz w:val="24"/>
          <w:szCs w:val="24"/>
          <w:lang w:val="en-GB"/>
        </w:rPr>
        <w:t xml:space="preserve">-GluA1-4 </w:t>
      </w:r>
      <w:r w:rsidRPr="0030575B">
        <w:rPr>
          <w:rFonts w:ascii="Times New Roman" w:hAnsi="Times New Roman" w:cs="Times New Roman"/>
          <w:sz w:val="24"/>
          <w:szCs w:val="24"/>
          <w:lang w:val="en-GB"/>
        </w:rPr>
        <w:t xml:space="preserve">AMPA receptor antibody (D160) and (C095). </w:t>
      </w:r>
      <w:r w:rsidR="00BC46C1">
        <w:rPr>
          <w:rFonts w:ascii="Times New Roman" w:hAnsi="Times New Roman" w:cs="Times New Roman"/>
          <w:sz w:val="24"/>
          <w:szCs w:val="24"/>
          <w:lang w:val="en-GB"/>
        </w:rPr>
        <w:t xml:space="preserve">Following labelling with HRP-conjugated secondary antibody, </w:t>
      </w:r>
      <w:proofErr w:type="spellStart"/>
      <w:r w:rsidR="00BC46C1">
        <w:rPr>
          <w:rFonts w:ascii="Times New Roman" w:hAnsi="Times New Roman" w:cs="Times New Roman"/>
          <w:sz w:val="24"/>
          <w:szCs w:val="24"/>
          <w:lang w:val="en-GB"/>
        </w:rPr>
        <w:t>immunopositive</w:t>
      </w:r>
      <w:proofErr w:type="spellEnd"/>
      <w:r w:rsidR="00BC46C1">
        <w:rPr>
          <w:rFonts w:ascii="Times New Roman" w:hAnsi="Times New Roman" w:cs="Times New Roman"/>
          <w:sz w:val="24"/>
          <w:szCs w:val="24"/>
          <w:lang w:val="en-GB"/>
        </w:rPr>
        <w:t xml:space="preserve"> </w:t>
      </w:r>
      <w:r w:rsidRPr="0030575B">
        <w:rPr>
          <w:rFonts w:ascii="Times New Roman" w:hAnsi="Times New Roman" w:cs="Times New Roman"/>
          <w:sz w:val="24"/>
          <w:szCs w:val="24"/>
          <w:lang w:val="en-GB"/>
        </w:rPr>
        <w:t xml:space="preserve">bands were </w:t>
      </w:r>
      <w:r w:rsidR="00BC46C1">
        <w:rPr>
          <w:rFonts w:ascii="Times New Roman" w:hAnsi="Times New Roman" w:cs="Times New Roman"/>
          <w:sz w:val="24"/>
          <w:szCs w:val="24"/>
          <w:lang w:val="en-GB"/>
        </w:rPr>
        <w:t>detected</w:t>
      </w:r>
      <w:r w:rsidRPr="0030575B">
        <w:rPr>
          <w:rFonts w:ascii="Times New Roman" w:hAnsi="Times New Roman" w:cs="Times New Roman"/>
          <w:sz w:val="24"/>
          <w:szCs w:val="24"/>
          <w:lang w:val="en-GB"/>
        </w:rPr>
        <w:t xml:space="preserve"> by the enhanced </w:t>
      </w:r>
      <w:proofErr w:type="spellStart"/>
      <w:r w:rsidRPr="0030575B">
        <w:rPr>
          <w:rFonts w:ascii="Times New Roman" w:hAnsi="Times New Roman" w:cs="Times New Roman"/>
          <w:sz w:val="24"/>
          <w:szCs w:val="24"/>
          <w:lang w:val="en-GB"/>
        </w:rPr>
        <w:t>chemiluminiscence</w:t>
      </w:r>
      <w:proofErr w:type="spellEnd"/>
      <w:r w:rsidRPr="0030575B">
        <w:rPr>
          <w:rFonts w:ascii="Times New Roman" w:hAnsi="Times New Roman" w:cs="Times New Roman"/>
          <w:sz w:val="24"/>
          <w:szCs w:val="24"/>
          <w:lang w:val="en-GB"/>
        </w:rPr>
        <w:t xml:space="preserve"> method using a commercially available kit (</w:t>
      </w:r>
      <w:proofErr w:type="spellStart"/>
      <w:r w:rsidRPr="0030575B">
        <w:rPr>
          <w:rFonts w:ascii="Times New Roman" w:hAnsi="Times New Roman" w:cs="Times New Roman"/>
          <w:sz w:val="24"/>
          <w:szCs w:val="24"/>
          <w:lang w:val="en-GB"/>
        </w:rPr>
        <w:t>Nakarai</w:t>
      </w:r>
      <w:proofErr w:type="spellEnd"/>
      <w:r w:rsidRPr="0030575B">
        <w:rPr>
          <w:rFonts w:ascii="Times New Roman" w:hAnsi="Times New Roman" w:cs="Times New Roman"/>
          <w:sz w:val="24"/>
          <w:szCs w:val="24"/>
          <w:lang w:val="en-GB"/>
        </w:rPr>
        <w:t xml:space="preserve"> Chemicals).</w:t>
      </w:r>
    </w:p>
    <w:p w14:paraId="182A72C5" w14:textId="77777777" w:rsidR="00936124" w:rsidRPr="0030575B" w:rsidRDefault="00936124" w:rsidP="00936124">
      <w:pPr>
        <w:pStyle w:val="Sangra2detindependiente"/>
        <w:ind w:firstLine="0"/>
        <w:jc w:val="left"/>
        <w:rPr>
          <w:rFonts w:eastAsiaTheme="minorHAnsi"/>
        </w:rPr>
      </w:pPr>
      <w:r w:rsidRPr="0030575B">
        <w:rPr>
          <w:b/>
          <w:i/>
        </w:rPr>
        <w:t>Human samples</w:t>
      </w:r>
    </w:p>
    <w:p w14:paraId="2F81B5C7" w14:textId="26692C47" w:rsidR="00936124" w:rsidRPr="007D0616" w:rsidRDefault="00936124" w:rsidP="00936124">
      <w:pPr>
        <w:pStyle w:val="Sangra2detindependiente"/>
        <w:ind w:firstLine="708"/>
        <w:jc w:val="left"/>
        <w:rPr>
          <w:color w:val="auto"/>
        </w:rPr>
      </w:pPr>
      <w:r w:rsidRPr="0030575B">
        <w:rPr>
          <w:color w:val="auto"/>
        </w:rPr>
        <w:t>Human brain tissue was obtained at autopsy from</w:t>
      </w:r>
      <w:r w:rsidRPr="0030575B">
        <w:t xml:space="preserve"> the Pathologic Anatomy Service of </w:t>
      </w:r>
      <w:proofErr w:type="spellStart"/>
      <w:r w:rsidRPr="0030575B">
        <w:t>Bellvitge</w:t>
      </w:r>
      <w:proofErr w:type="spellEnd"/>
      <w:r w:rsidRPr="0030575B">
        <w:t xml:space="preserve"> University Hospital (Barcelona, Spain), following national laws and international ethical and technical guidelines on the use of human samples for biomedical research purposes. Tissue blocks obtained from the hippocampal formation of eight individuals were studied (</w:t>
      </w:r>
      <w:r w:rsidRPr="000D29D0">
        <w:rPr>
          <w:b/>
        </w:rPr>
        <w:t>Table 1</w:t>
      </w:r>
      <w:r w:rsidRPr="0030575B">
        <w:t xml:space="preserve">). Four had clinical and </w:t>
      </w:r>
      <w:r w:rsidRPr="0030575B">
        <w:rPr>
          <w:i/>
          <w:iCs/>
        </w:rPr>
        <w:t xml:space="preserve">post mortem </w:t>
      </w:r>
      <w:r w:rsidRPr="0030575B">
        <w:t xml:space="preserve">neuropathological diagnoses of </w:t>
      </w:r>
      <w:r w:rsidRPr="0030575B">
        <w:rPr>
          <w:color w:val="auto"/>
        </w:rPr>
        <w:t xml:space="preserve">AD defined according to </w:t>
      </w:r>
      <w:r w:rsidRPr="0030575B">
        <w:rPr>
          <w:color w:val="auto"/>
        </w:rPr>
        <w:fldChar w:fldCharType="begin" w:fldLock="1"/>
      </w:r>
      <w:r w:rsidRPr="0030575B">
        <w:rPr>
          <w:color w:val="auto"/>
        </w:rPr>
        <w:instrText>ADDIN CSL_CITATION {"citationItems":[{"id":"ITEM-1","itemData":{"DOI":"10.1007/BF00308809","ISSN":"00016322","PMID":"1759558","abstract":"Eighty-three brains obtained at autopsy from nondemented and demented individuals were examined for extracellular amyloid deposits and intraneuronal neurofibrillary changes. The distribution pattern and packing density of amyloid deposits turned out to be of limited significance for differentiation of neuropathological stages. Neurofibrillary changes occurred in the form of neuritic plaques, neurofibrillary tangles and neuropil threads. The distribution of neuritic plaques varied widely not only within architectonic units but also from one individual to another. Neurofibrillary tangles and neuropil threads, in contrast, exhibited a characteristic distribution pattern permitting the differentiation of six stages. The first two stages were characterized by an either mild or severe alteration of the transentorhinal layer Pre-α (transentorhinal stages I-II). The two forms of limbic stages (stages III-IV) were marked by a conspicuous affection of layer Pre-α in both transentorhinal region and proper entorhinal cortex. In addition, there was mild involvement of the first Ammon's horn sector. The hallmark of the two isocortical stages (stages V-VI) was the destruction of virtually all isocortical association areas. The investigation showed that recognition of the six stages required qualitative evaluation of only a few key preparations. © 1991 Springer-Verlag.","author":[{"dropping-particle":"","family":"Braak","given":"H.","non-dropping-particle":"","parse-names":false,"suffix":""},{"dropping-particle":"","family":"Braak","given":"E","non-dropping-particle":"","parse-names":false,"suffix":""}],"container-title":"Acta Neuropathologica","id":"ITEM-1","issue":"4","issued":{"date-parts":[["1991"]]},"page":"239-259","title":"Neuropathological stageing of Alzheimer-related changes","type":"article","volume":"82"},"uris":["http://www.mendeley.com/documents/?uuid=fa53acc7-1213-467e-bf9f-f5b7fa7a889c"]}],"mendeley":{"formattedCitation":"(Braak y Braak, 1991)"},"properties":{"noteIndex":0},"schema":"https://github.com/citation-style-language/schema/raw/master/csl-citation.json"}</w:instrText>
      </w:r>
      <w:r w:rsidRPr="0030575B">
        <w:rPr>
          <w:color w:val="auto"/>
        </w:rPr>
        <w:fldChar w:fldCharType="separate"/>
      </w:r>
      <w:r w:rsidRPr="0030575B">
        <w:rPr>
          <w:noProof/>
          <w:color w:val="auto"/>
        </w:rPr>
        <w:t>(Braak and Braak, 1991)</w:t>
      </w:r>
      <w:r w:rsidRPr="0030575B">
        <w:rPr>
          <w:color w:val="auto"/>
        </w:rPr>
        <w:fldChar w:fldCharType="end"/>
      </w:r>
      <w:r w:rsidRPr="0030575B">
        <w:rPr>
          <w:color w:val="auto"/>
        </w:rPr>
        <w:t xml:space="preserve"> (</w:t>
      </w:r>
      <w:r w:rsidRPr="000D29D0">
        <w:rPr>
          <w:b/>
          <w:color w:val="auto"/>
        </w:rPr>
        <w:t>Table 1</w:t>
      </w:r>
      <w:r w:rsidRPr="0030575B">
        <w:rPr>
          <w:color w:val="auto"/>
        </w:rPr>
        <w:t>)</w:t>
      </w:r>
      <w:r w:rsidRPr="0030575B">
        <w:t xml:space="preserve">. </w:t>
      </w:r>
      <w:r w:rsidRPr="0030575B">
        <w:rPr>
          <w:color w:val="auto"/>
        </w:rPr>
        <w:t xml:space="preserve">Four were non-demented subjects who did not meet the neuropathological criteria of AD and were </w:t>
      </w:r>
      <w:r w:rsidRPr="007D0616">
        <w:rPr>
          <w:color w:val="auto"/>
        </w:rPr>
        <w:t>therefore classified as control cases (</w:t>
      </w:r>
      <w:r w:rsidRPr="000D29D0">
        <w:rPr>
          <w:b/>
          <w:color w:val="auto"/>
        </w:rPr>
        <w:t>Table 1</w:t>
      </w:r>
      <w:r w:rsidRPr="007D0616">
        <w:rPr>
          <w:color w:val="auto"/>
        </w:rPr>
        <w:t xml:space="preserve">). All hippocampal samples were obtained from 3 to 8.5 h after death and were immediately prepared for biochemical studies using immunoblots, and coded for blinded experiments. All tissue samples were frozen on dry ice or in liquid nitrogen at time of autopsy and stored at </w:t>
      </w:r>
      <w:r w:rsidRPr="007D0616">
        <w:rPr>
          <w:rFonts w:eastAsia="MTSY"/>
          <w:color w:val="auto"/>
        </w:rPr>
        <w:t>−</w:t>
      </w:r>
      <w:r w:rsidRPr="007D0616">
        <w:rPr>
          <w:color w:val="auto"/>
        </w:rPr>
        <w:t xml:space="preserve">80 </w:t>
      </w:r>
      <w:r w:rsidRPr="007D0616">
        <w:rPr>
          <w:rFonts w:eastAsia="MTSY"/>
          <w:color w:val="auto"/>
        </w:rPr>
        <w:t>º</w:t>
      </w:r>
      <w:r w:rsidRPr="007D0616">
        <w:rPr>
          <w:color w:val="auto"/>
        </w:rPr>
        <w:t xml:space="preserve">C until used for analysis. Samples were decoded following </w:t>
      </w:r>
      <w:r w:rsidR="00BC46C1" w:rsidRPr="007D0616">
        <w:rPr>
          <w:color w:val="auto"/>
        </w:rPr>
        <w:t xml:space="preserve">the completion </w:t>
      </w:r>
      <w:r w:rsidRPr="007D0616">
        <w:rPr>
          <w:color w:val="auto"/>
        </w:rPr>
        <w:t xml:space="preserve">of experiments and prior to data analysis. Additional clinical data for the </w:t>
      </w:r>
      <w:r w:rsidRPr="007D0616">
        <w:rPr>
          <w:i/>
          <w:color w:val="auto"/>
        </w:rPr>
        <w:t>post-mortem</w:t>
      </w:r>
      <w:r w:rsidRPr="007D0616">
        <w:rPr>
          <w:color w:val="auto"/>
        </w:rPr>
        <w:t xml:space="preserve"> brains used were not available from the brain bank.</w:t>
      </w:r>
    </w:p>
    <w:p w14:paraId="1E274E57" w14:textId="77777777" w:rsidR="00936124" w:rsidRPr="0030575B" w:rsidRDefault="00936124" w:rsidP="00716C6D">
      <w:pPr>
        <w:spacing w:line="480" w:lineRule="auto"/>
        <w:rPr>
          <w:rFonts w:ascii="Times New Roman" w:hAnsi="Times New Roman" w:cs="Times New Roman"/>
          <w:color w:val="1C1D1E"/>
          <w:sz w:val="24"/>
          <w:szCs w:val="24"/>
          <w:lang w:val="en-GB"/>
        </w:rPr>
      </w:pPr>
    </w:p>
    <w:p w14:paraId="64F5182D" w14:textId="77777777" w:rsidR="00FA4DEA" w:rsidRPr="0030575B" w:rsidRDefault="004B6B5A" w:rsidP="004B6B5A">
      <w:pPr>
        <w:autoSpaceDE w:val="0"/>
        <w:autoSpaceDN w:val="0"/>
        <w:adjustRightInd w:val="0"/>
        <w:spacing w:line="480" w:lineRule="auto"/>
        <w:rPr>
          <w:rFonts w:ascii="Times New Roman" w:hAnsi="Times New Roman" w:cs="Times New Roman"/>
          <w:b/>
          <w:bCs/>
          <w:sz w:val="24"/>
          <w:szCs w:val="24"/>
          <w:lang w:val="en-GB"/>
        </w:rPr>
      </w:pPr>
      <w:r w:rsidRPr="00234E26">
        <w:rPr>
          <w:rFonts w:ascii="Times New Roman" w:hAnsi="Times New Roman" w:cs="Times New Roman"/>
          <w:b/>
          <w:sz w:val="24"/>
          <w:szCs w:val="24"/>
          <w:lang w:val="en-GB"/>
        </w:rPr>
        <w:t>Supplementary Results</w:t>
      </w:r>
    </w:p>
    <w:p w14:paraId="29AD5582" w14:textId="12395598" w:rsidR="00FA4DEA" w:rsidRPr="0030575B" w:rsidRDefault="00FA4DEA" w:rsidP="004B6B5A">
      <w:pPr>
        <w:autoSpaceDE w:val="0"/>
        <w:autoSpaceDN w:val="0"/>
        <w:adjustRightInd w:val="0"/>
        <w:spacing w:line="480" w:lineRule="auto"/>
        <w:rPr>
          <w:rFonts w:ascii="Times New Roman" w:eastAsia="MS Mincho" w:hAnsi="Times New Roman" w:cs="Times New Roman"/>
          <w:b/>
          <w:i/>
          <w:sz w:val="24"/>
          <w:szCs w:val="24"/>
          <w:lang w:val="en-GB" w:eastAsia="ja-JP"/>
        </w:rPr>
      </w:pPr>
      <w:r w:rsidRPr="0030575B">
        <w:rPr>
          <w:rFonts w:ascii="Times New Roman" w:eastAsia="MS Mincho" w:hAnsi="Times New Roman" w:cs="Times New Roman"/>
          <w:b/>
          <w:i/>
          <w:sz w:val="24"/>
          <w:szCs w:val="24"/>
          <w:lang w:val="en-GB" w:eastAsia="ja-JP"/>
        </w:rPr>
        <w:t xml:space="preserve">Production and specificity of a new rabbit </w:t>
      </w:r>
      <w:r w:rsidRPr="0030575B">
        <w:rPr>
          <w:rFonts w:ascii="Times New Roman" w:hAnsi="Times New Roman" w:cs="Times New Roman"/>
          <w:b/>
          <w:i/>
          <w:sz w:val="24"/>
          <w:szCs w:val="24"/>
          <w:lang w:val="en-GB"/>
        </w:rPr>
        <w:t>anti-</w:t>
      </w:r>
      <w:r w:rsidR="00BC46C1">
        <w:rPr>
          <w:rFonts w:ascii="Times New Roman" w:hAnsi="Times New Roman" w:cs="Times New Roman"/>
          <w:b/>
          <w:i/>
          <w:sz w:val="24"/>
          <w:szCs w:val="24"/>
          <w:lang w:val="en-GB"/>
        </w:rPr>
        <w:t>GluA1-4 (</w:t>
      </w:r>
      <w:r w:rsidRPr="0030575B">
        <w:rPr>
          <w:rFonts w:ascii="Times New Roman" w:hAnsi="Times New Roman" w:cs="Times New Roman"/>
          <w:b/>
          <w:i/>
          <w:sz w:val="24"/>
          <w:szCs w:val="24"/>
          <w:lang w:val="en-GB"/>
        </w:rPr>
        <w:t>pan</w:t>
      </w:r>
      <w:r w:rsidR="00BE2593">
        <w:rPr>
          <w:rFonts w:ascii="Times New Roman" w:hAnsi="Times New Roman" w:cs="Times New Roman"/>
          <w:b/>
          <w:i/>
          <w:sz w:val="24"/>
          <w:szCs w:val="24"/>
          <w:lang w:val="en-GB"/>
        </w:rPr>
        <w:t>-</w:t>
      </w:r>
      <w:r w:rsidRPr="0030575B">
        <w:rPr>
          <w:rFonts w:ascii="Times New Roman" w:hAnsi="Times New Roman" w:cs="Times New Roman"/>
          <w:b/>
          <w:i/>
          <w:sz w:val="24"/>
          <w:szCs w:val="24"/>
          <w:lang w:val="en-GB"/>
        </w:rPr>
        <w:t>AMPAR</w:t>
      </w:r>
      <w:r w:rsidR="00BC46C1">
        <w:rPr>
          <w:rFonts w:ascii="Times New Roman" w:hAnsi="Times New Roman" w:cs="Times New Roman"/>
          <w:b/>
          <w:i/>
          <w:sz w:val="24"/>
          <w:szCs w:val="24"/>
          <w:lang w:val="en-GB"/>
        </w:rPr>
        <w:t>)</w:t>
      </w:r>
      <w:r w:rsidRPr="0030575B">
        <w:rPr>
          <w:rFonts w:ascii="Times New Roman" w:hAnsi="Times New Roman" w:cs="Times New Roman"/>
          <w:b/>
          <w:i/>
          <w:sz w:val="24"/>
          <w:szCs w:val="24"/>
          <w:lang w:val="en-GB"/>
        </w:rPr>
        <w:t xml:space="preserve"> antibody</w:t>
      </w:r>
    </w:p>
    <w:p w14:paraId="79B629ED" w14:textId="3D11CAA4" w:rsidR="00716C6D" w:rsidRPr="0030575B" w:rsidRDefault="00FA4DEA" w:rsidP="004B6B5A">
      <w:pPr>
        <w:spacing w:line="480" w:lineRule="auto"/>
        <w:rPr>
          <w:rFonts w:ascii="Times New Roman" w:eastAsia="MS Mincho" w:hAnsi="Times New Roman" w:cs="Times New Roman"/>
          <w:sz w:val="24"/>
          <w:szCs w:val="24"/>
          <w:lang w:val="en-GB"/>
        </w:rPr>
      </w:pPr>
      <w:r w:rsidRPr="0030575B">
        <w:rPr>
          <w:rFonts w:ascii="Times New Roman" w:eastAsia="MS Mincho" w:hAnsi="Times New Roman" w:cs="Times New Roman"/>
          <w:sz w:val="24"/>
          <w:szCs w:val="24"/>
          <w:lang w:val="en-GB"/>
        </w:rPr>
        <w:lastRenderedPageBreak/>
        <w:t>The rabbit polyclonal antibody against GluA1-4 (pan-AMPAR, D160) was newly developed in this study by following</w:t>
      </w:r>
      <w:r w:rsidR="00BC46C1">
        <w:rPr>
          <w:rFonts w:ascii="Times New Roman" w:eastAsia="MS Mincho" w:hAnsi="Times New Roman" w:cs="Times New Roman"/>
          <w:sz w:val="24"/>
          <w:szCs w:val="24"/>
          <w:lang w:val="en-GB"/>
        </w:rPr>
        <w:t xml:space="preserve"> previously established </w:t>
      </w:r>
      <w:r w:rsidRPr="0030575B">
        <w:rPr>
          <w:rFonts w:ascii="Times New Roman" w:eastAsia="MS Mincho" w:hAnsi="Times New Roman" w:cs="Times New Roman"/>
          <w:sz w:val="24"/>
          <w:szCs w:val="24"/>
          <w:lang w:val="en-GB"/>
        </w:rPr>
        <w:t xml:space="preserve">protocol </w:t>
      </w:r>
      <w:r w:rsidR="00BC46C1">
        <w:rPr>
          <w:rFonts w:ascii="Times New Roman" w:eastAsia="MS Mincho" w:hAnsi="Times New Roman" w:cs="Times New Roman"/>
          <w:sz w:val="24"/>
          <w:szCs w:val="24"/>
          <w:lang w:val="en-GB"/>
        </w:rPr>
        <w:t>(</w:t>
      </w:r>
      <w:proofErr w:type="spellStart"/>
      <w:r w:rsidRPr="0030575B">
        <w:rPr>
          <w:rFonts w:ascii="Times New Roman" w:eastAsia="MS Mincho" w:hAnsi="Times New Roman" w:cs="Times New Roman"/>
          <w:sz w:val="24"/>
          <w:szCs w:val="24"/>
          <w:lang w:val="en-GB"/>
        </w:rPr>
        <w:t>Nusser</w:t>
      </w:r>
      <w:proofErr w:type="spellEnd"/>
      <w:r w:rsidRPr="0030575B">
        <w:rPr>
          <w:rFonts w:ascii="Times New Roman" w:eastAsia="MS Mincho" w:hAnsi="Times New Roman" w:cs="Times New Roman"/>
          <w:sz w:val="24"/>
          <w:szCs w:val="24"/>
          <w:lang w:val="en-GB"/>
        </w:rPr>
        <w:t xml:space="preserve"> et al., 1998</w:t>
      </w:r>
      <w:r w:rsidR="00BC46C1">
        <w:rPr>
          <w:rFonts w:ascii="Times New Roman" w:eastAsia="MS Mincho" w:hAnsi="Times New Roman" w:cs="Times New Roman"/>
          <w:sz w:val="24"/>
          <w:szCs w:val="24"/>
          <w:lang w:val="en-GB"/>
        </w:rPr>
        <w:t>; Pickard et al., 2000)</w:t>
      </w:r>
      <w:r w:rsidRPr="0030575B">
        <w:rPr>
          <w:rFonts w:ascii="Times New Roman" w:eastAsia="MS Mincho" w:hAnsi="Times New Roman" w:cs="Times New Roman"/>
          <w:sz w:val="24"/>
          <w:szCs w:val="24"/>
          <w:lang w:val="en-GB"/>
        </w:rPr>
        <w:t xml:space="preserve"> and this antibody was used for SDS-FRL experiments. The reactivity of this antibody for AMPAR subunits was examined by immunoblot analysis with </w:t>
      </w:r>
      <w:proofErr w:type="spellStart"/>
      <w:r w:rsidRPr="0030575B">
        <w:rPr>
          <w:rFonts w:ascii="Times New Roman" w:eastAsia="MS Mincho" w:hAnsi="Times New Roman" w:cs="Times New Roman"/>
          <w:sz w:val="24"/>
          <w:szCs w:val="24"/>
          <w:lang w:val="en-GB"/>
        </w:rPr>
        <w:t>heterologously</w:t>
      </w:r>
      <w:proofErr w:type="spellEnd"/>
      <w:r w:rsidRPr="0030575B">
        <w:rPr>
          <w:rFonts w:ascii="Times New Roman" w:eastAsia="MS Mincho" w:hAnsi="Times New Roman" w:cs="Times New Roman"/>
          <w:sz w:val="24"/>
          <w:szCs w:val="24"/>
          <w:lang w:val="en-GB"/>
        </w:rPr>
        <w:t xml:space="preserve"> expressed GluA1-4 subunit proteins. This new pan-AMPAR antibody recognized all four AMPA receptor subunits (</w:t>
      </w:r>
      <w:r w:rsidR="0040507C" w:rsidRPr="000D29D0">
        <w:rPr>
          <w:rFonts w:ascii="Times New Roman" w:eastAsia="MS Mincho" w:hAnsi="Times New Roman" w:cs="Times New Roman"/>
          <w:b/>
          <w:sz w:val="24"/>
          <w:szCs w:val="24"/>
          <w:lang w:val="en-GB"/>
        </w:rPr>
        <w:t xml:space="preserve">Supplementary </w:t>
      </w:r>
      <w:r w:rsidRPr="000D29D0">
        <w:rPr>
          <w:rFonts w:ascii="Times New Roman" w:eastAsia="MS Mincho" w:hAnsi="Times New Roman" w:cs="Times New Roman"/>
          <w:b/>
          <w:sz w:val="24"/>
          <w:szCs w:val="24"/>
          <w:lang w:val="en-GB"/>
        </w:rPr>
        <w:t>Fig. 1</w:t>
      </w:r>
      <w:r w:rsidRPr="0030575B">
        <w:rPr>
          <w:rFonts w:ascii="Times New Roman" w:eastAsia="MS Mincho" w:hAnsi="Times New Roman" w:cs="Times New Roman"/>
          <w:sz w:val="24"/>
          <w:szCs w:val="24"/>
          <w:lang w:val="en-GB"/>
        </w:rPr>
        <w:t>). In this experiment, we also confirmed the reactivity of guinea pig anti-</w:t>
      </w:r>
      <w:r w:rsidR="009C071E">
        <w:rPr>
          <w:rFonts w:ascii="Times New Roman" w:eastAsia="MS Mincho" w:hAnsi="Times New Roman" w:cs="Times New Roman"/>
          <w:sz w:val="24"/>
          <w:szCs w:val="24"/>
          <w:lang w:val="en-GB"/>
        </w:rPr>
        <w:t>AMPAR</w:t>
      </w:r>
      <w:bookmarkStart w:id="0" w:name="_GoBack"/>
      <w:bookmarkEnd w:id="0"/>
      <w:r w:rsidRPr="0030575B">
        <w:rPr>
          <w:rFonts w:ascii="Times New Roman" w:eastAsia="MS Mincho" w:hAnsi="Times New Roman" w:cs="Times New Roman"/>
          <w:sz w:val="24"/>
          <w:szCs w:val="24"/>
          <w:lang w:val="en-GB"/>
        </w:rPr>
        <w:t xml:space="preserve"> antibody (C095) against GluA1-4 subunit proteins.</w:t>
      </w:r>
    </w:p>
    <w:p w14:paraId="5C7350CC" w14:textId="77777777" w:rsidR="009B22E0" w:rsidRPr="00101401" w:rsidRDefault="009B22E0" w:rsidP="004B6B5A">
      <w:pPr>
        <w:spacing w:line="480" w:lineRule="auto"/>
        <w:rPr>
          <w:rFonts w:ascii="Times New Roman" w:eastAsia="MS Mincho" w:hAnsi="Times New Roman" w:cs="Times New Roman"/>
          <w:sz w:val="24"/>
          <w:szCs w:val="24"/>
          <w:lang w:val="en-GB"/>
        </w:rPr>
      </w:pPr>
    </w:p>
    <w:p w14:paraId="4EEF8AEF" w14:textId="77777777" w:rsidR="009B22E0" w:rsidRPr="0030575B" w:rsidRDefault="009B22E0" w:rsidP="004B6B5A">
      <w:pPr>
        <w:autoSpaceDE w:val="0"/>
        <w:autoSpaceDN w:val="0"/>
        <w:adjustRightInd w:val="0"/>
        <w:spacing w:line="480" w:lineRule="auto"/>
        <w:rPr>
          <w:rFonts w:ascii="Times New Roman" w:eastAsia="MS Mincho" w:hAnsi="Times New Roman" w:cs="Times New Roman"/>
          <w:b/>
          <w:i/>
          <w:sz w:val="24"/>
          <w:szCs w:val="24"/>
          <w:lang w:val="en-GB" w:eastAsia="ja-JP"/>
        </w:rPr>
      </w:pPr>
      <w:r w:rsidRPr="0030575B">
        <w:rPr>
          <w:rFonts w:ascii="Times New Roman" w:eastAsia="MS Mincho" w:hAnsi="Times New Roman" w:cs="Times New Roman"/>
          <w:b/>
          <w:i/>
          <w:sz w:val="24"/>
          <w:szCs w:val="24"/>
          <w:lang w:val="en-GB" w:eastAsia="ja-JP"/>
        </w:rPr>
        <w:t xml:space="preserve">There is a reduction in AMPARs expression in patients with Alzheimer´s disease </w:t>
      </w:r>
    </w:p>
    <w:p w14:paraId="56B1D115" w14:textId="79B3A016" w:rsidR="009B22E0" w:rsidRPr="0030575B" w:rsidRDefault="009B22E0" w:rsidP="004B6B5A">
      <w:pPr>
        <w:autoSpaceDE w:val="0"/>
        <w:autoSpaceDN w:val="0"/>
        <w:adjustRightInd w:val="0"/>
        <w:spacing w:line="480" w:lineRule="auto"/>
        <w:ind w:firstLine="708"/>
        <w:rPr>
          <w:rFonts w:ascii="Times New Roman" w:eastAsia="MS Mincho" w:hAnsi="Times New Roman" w:cs="Times New Roman"/>
          <w:sz w:val="24"/>
          <w:szCs w:val="24"/>
          <w:lang w:val="en-GB"/>
        </w:rPr>
      </w:pPr>
      <w:proofErr w:type="spellStart"/>
      <w:r w:rsidRPr="0030575B">
        <w:rPr>
          <w:rFonts w:ascii="Times New Roman" w:eastAsia="MS Mincho" w:hAnsi="Times New Roman" w:cs="Times New Roman"/>
          <w:sz w:val="24"/>
          <w:szCs w:val="24"/>
        </w:rPr>
        <w:t>Because</w:t>
      </w:r>
      <w:proofErr w:type="spellEnd"/>
      <w:r w:rsidRPr="0030575B">
        <w:rPr>
          <w:rFonts w:ascii="Times New Roman" w:eastAsia="MS Mincho" w:hAnsi="Times New Roman" w:cs="Times New Roman"/>
          <w:sz w:val="24"/>
          <w:szCs w:val="24"/>
        </w:rPr>
        <w:t xml:space="preserve"> </w:t>
      </w:r>
      <w:proofErr w:type="spellStart"/>
      <w:r w:rsidRPr="0030575B">
        <w:rPr>
          <w:rFonts w:ascii="Times New Roman" w:eastAsia="MS Mincho" w:hAnsi="Times New Roman" w:cs="Times New Roman"/>
          <w:sz w:val="24"/>
          <w:szCs w:val="24"/>
        </w:rPr>
        <w:t>previous</w:t>
      </w:r>
      <w:proofErr w:type="spellEnd"/>
      <w:r w:rsidRPr="0030575B">
        <w:rPr>
          <w:rFonts w:ascii="Times New Roman" w:eastAsia="MS Mincho" w:hAnsi="Times New Roman" w:cs="Times New Roman"/>
          <w:sz w:val="24"/>
          <w:szCs w:val="24"/>
        </w:rPr>
        <w:t xml:space="preserve"> </w:t>
      </w:r>
      <w:proofErr w:type="spellStart"/>
      <w:r w:rsidRPr="0030575B">
        <w:rPr>
          <w:rFonts w:ascii="Times New Roman" w:eastAsia="MS Mincho" w:hAnsi="Times New Roman" w:cs="Times New Roman"/>
          <w:sz w:val="24"/>
          <w:szCs w:val="24"/>
        </w:rPr>
        <w:t>studies</w:t>
      </w:r>
      <w:proofErr w:type="spellEnd"/>
      <w:r w:rsidRPr="0030575B">
        <w:rPr>
          <w:rFonts w:ascii="Times New Roman" w:eastAsia="MS Mincho" w:hAnsi="Times New Roman" w:cs="Times New Roman"/>
          <w:sz w:val="24"/>
          <w:szCs w:val="24"/>
        </w:rPr>
        <w:t xml:space="preserve"> </w:t>
      </w:r>
      <w:r w:rsidRPr="0030575B">
        <w:rPr>
          <w:rFonts w:ascii="Times New Roman" w:eastAsia="MS Mincho" w:hAnsi="Times New Roman" w:cs="Times New Roman"/>
          <w:sz w:val="24"/>
          <w:szCs w:val="24"/>
        </w:rPr>
        <w:fldChar w:fldCharType="begin" w:fldLock="1"/>
      </w:r>
      <w:r w:rsidRPr="0030575B">
        <w:rPr>
          <w:rFonts w:ascii="Times New Roman" w:eastAsia="MS Mincho" w:hAnsi="Times New Roman" w:cs="Times New Roman"/>
          <w:sz w:val="24"/>
          <w:szCs w:val="24"/>
        </w:rPr>
        <w:instrText>ADDIN CSL_CITATION {"citationItems":[{"id":"ITEM-1","itemData":{"DOI":"10.1007/BF02815205","ISSN":"1044-7393","abstract":"Immunocytochemical techniques were employed in order to examine the distribution and relative intensity of immunolabeling of the α-amino-3- hydroxy-5-methyl-4-isoaxolepropionate (AMPA) receptor subunits GluR1 and GluR2/3 within the hippocampal formation of patients with Alzheimer disease (AD). Within sectors of the hippocampus that are particularly vulnerable to AD pathology (i.e., CA1, subiculum), we observed a variable loss of GluR1 and GluR2/3 immunolabeling correlating with the extent of cell loss and neurofibrillary pathology. In contrast, in less vulnerable sectors of the hippocampus (i.e., CA2/3, dentate gyrus), the intensity of immunolabeling was markedly increased in AD cases, particularly in the molecular and polymorphic layers of the dentate gyrus. Importantly, these latter regions correspond to termination zones of glutamatergic perforant pathway axons and mossy fiber collaterals, respectively. The increase in immunolabeling within these projection fields is hypothesized to occur in response to the deafferentation of selected glutamatergic pathways, and suggests a critical role for AMPA receptor subunits in hippocampal plasticity.","author":[{"dropping-particle":"","family":"Ikonomovic","given":"Milos D.","non-dropping-particle":"","parse-names":false,"suffix":""},{"dropping-particle":"","family":"Sheffield","given":"Roxanne","non-dropping-particle":"","parse-names":false,"suffix":""},{"dropping-particle":"","family":"Armstrong","given":"David M.","non-dropping-particle":"","parse-names":false,"suffix":""}],"container-title":"Molecular and chemical neuropathology","id":"ITEM-1","issue":"1-3","issued":{"date-parts":[["1995","5","1"]]},"page":"59-64","title":"AMPA-Selective glutamate receptor subtype immunoreactivity in the hippocampal dentate gyrus of patients with Alzheimer disease","type":"article-journal","volume":"28"},"uris":["http://www.mendeley.com/documents/?uuid=189d03ed-df8a-44db-8413-a26a691d7a61"]},{"id":"ITEM-2","itemData":{"DOI":"10.1097/00005072-199709000-00007","ISSN":"0022-3069","abstract":"Double-immunolabeling techniques were employed to examine the distribution of GluR2(3) subunits and markers of early cytoskeletal changes (mab MC1) within the entorhinal cortex (EC) and hippocampus of cases with varying degrees of Alzheimer disease (AD) pathology (stages I-VI by Braak and Braak). In addition near-adjacent tissue sections were double-immunolabeled using antibodies against GluR2(3) and a marker of normal neuronal cytoskeleton (MAP2). In those cases classified as stages I-II, most layer II neurons of the EC and pyramidal neurons in the CA1/subiculum were double-labeled with GluR2(3) and MAP2. An occasional MC1-labeled cell was observed, yet in no instance were these neurons double-labeled with GluR2(3). In cases with moderate AD pathology (stages III-IV), layer II of the EC and CA1/subiculum were characterized by a substantial loss of GluR2(3)-labeled neurons, while many were still immunoreactive to MAP2. Notably, the loss of GluR2(3) immunolabeling was accompanied by an increasing number of MC1-positive neurons. In no instance were GluR2(3) and MC1 co-localized within the same neuron. In cases with severe AD pathology (stages V-VI), the EC and CA1/subiculum were almost completely devoid of GluR2(3)-positive neurons. MAP2-labeled neurons also were reduced in number. In contrast, both regions contained an abundance of MC1-positive cells. That GluR2(3) and MC1 are not observed in the same neuron, together with the observation that the number of GluR2(3)-labeled neurons decreases as the number of MC1-positive cells increases, suggest that a loss of GluR2(3) immunolabeling precedes the appearance of MC1 immunolabeling.","author":[{"dropping-particle":"","family":"Ikonomovic","given":"Milos d.","non-dropping-particle":"","parse-names":false,"suffix":""},{"dropping-particle":"","family":"Mizukami","given":"Katsuyoshi","non-dropping-particle":"","parse-names":false,"suffix":""},{"dropping-particle":"","family":"Davies","given":"Peter","non-dropping-particle":"","parse-names":false,"suffix":""},{"dropping-particle":"","family":"Hamilton","given":"Ronald","non-dropping-particle":"","parse-names":false,"suffix":""},{"dropping-particle":"","family":"Sheffield","given":"Roxanne","non-dropping-particle":"","parse-names":false,"suffix":""},{"dropping-particle":"","family":"Armstrong","given":"David M.","non-dropping-particle":"","parse-names":false,"suffix":""}],"container-title":"Journal of Neuropathology and Experimental Neurology","id":"ITEM-2","issue":"9","issued":{"date-parts":[["1997","9"]]},"page":"1018-1027","title":"The Loss of GluR2(3) Immunoreactivity Precedes Neurofibrillary Tangle Formation in the Entorhinal Cortex and Hippocampus of Alzheimer Brains","type":"article-journal","volume":"56"},"uris":["http://www.mendeley.com/documents/?uuid=8a4b2898-6dfc-4409-8d87-d002c692b2ae"]},{"id":"ITEM-3","itemData":{"DOI":"10.1016/S0197-4580(99)00035-4","ISSN":"01974580","abstract":"Glutamate receptors play crucial roles in cognition and memory. We have quantitated the protein levels of α-amino-isoxazolepropionic acid (AMPA)-type (GluR1) and N-methyl-D-aspartate-type (NMDAR1) glutamate receptors in postmortem brain tissues of patients with Alzheimer's disease and age-matched controls using western blotting. The bolts carrying fully denatured proteins were probed with antibodies specific to their carboxyl terminus of these receptors. In Alzheimer's disease, GluR1 levels were significantly decreased in the entorhinal cortex and dentate gyrus, but not in the motor cortex. In contrast, levels of NMDAR1 were not altered in the dentate gyrus, suggesting that GluR1 expression was specifically diminished in this structure that is known to be preserved histologically in patients. However, the results of immunocytochemical examination confirmed a previous controversial report: GluR1-immunoreactive structures were labeled rather intensely in the molecular layer of the dentate gyrus of Alzheimer's patients. Interestingly, levels of a postsynaptic density protein named SAP97, which recognizes and potentially masks the epitope region of GluR1, was positively correlated with those of GluR1 protein in the control group, but not in the patient group. Thus, the enhanced GluR1-like staining in Alzheimer's disease might be ascribed to the hampered interaction between SAP97 and GluR1 leading to epitope unmasking of GluR1 on tissue sections. These findings indicate that abnormal expressions of the AMPA receptor and its interacting PSD molecule are associated with Alzheimer's disease and implicated in pathophysiology of this disease. Copyright (C) 1999 Elsevier Science Inc.","author":[{"dropping-particle":"","family":"Wakabayashi","given":"Koichi","non-dropping-particle":"","parse-names":false,"suffix":""},{"dropping-particle":"","family":"Narisawa-Saito","given":"Mako","non-dropping-particle":"","parse-names":false,"suffix":""},{"dropping-particle":"","family":"Iwakura","given":"Yuriko","non-dropping-particle":"","parse-names":false,"suffix":""},{"dropping-particle":"","family":"Arai","given":"Tetsuaki","non-dropping-particle":"","parse-names":false,"suffix":""},{"dropping-particle":"","family":"Ikeda","given":"Kenji","non-dropping-particle":"","parse-names":false,"suffix":""},{"dropping-particle":"","family":"Takahashi","given":"Hitoshi","non-dropping-particle":"","parse-names":false,"suffix":""},{"dropping-particle":"","family":"Nawa","given":"Hiroyuki","non-dropping-particle":"","parse-names":false,"suffix":""}],"container-title":"Neurobiology of Aging","id":"ITEM-3","issue":"3","issued":{"date-parts":[["1999"]]},"page":"287-295","title":"Phenotypic down-regulation of glutamate receptor subunit GluR1 in Alzheimer's disease","type":"article-journal","volume":"20"},"uris":["http://www.mendeley.com/documents/?uuid=33973bb0-6334-4909-8359-a29cf291c39f"]},{"id":"ITEM-4","itemData":{"DOI":"10.1007/s004010050748","ISSN":"0001-6322","abstract":"Alterations in the processing and patterns of trophic and/or toxic factors might lead to the increased neuronal vulnerability in the entorhinal cortex in Alzheimer's disease (AD) and Lewy body variant (LBV). Therefore, patterns and levels of amyloid precursor protein (APP) and glutamate receptor (gluR) expression in the entorhinal cortex and hippocampus in relation to disease severity were investigated. Sections from the hippocampus and entorhinal cortex were single and double immunolabeled for APP, gluR2/3, and N-methyl-D-aspartate receptor (NMDA-R). Within the hippocampus and entorhinal cortex, image analysis revealed progressively decreased APP and gluR2/3 levels during the course of AD and LBV, whereas levels of NMDA-R were unaltered. Furthermore, the present study showed a positive correlation and close co-localization of APP and gluR2/3 immunoreactivity in neurons, suggesting a possible interaction between these two factors. In conclusion, these data imply that alterations in neuronal APP and gluR2/3 expression in the entorhinal cortex lead to increased susceptibility to neurodegeneration and might be markers of vulnerability.","author":[{"dropping-particle":"","family":"Thorns","given":"Veronika","non-dropping-particle":"","parse-names":false,"suffix":""},{"dropping-particle":"","family":"Mallory","given":"Margaret","non-dropping-particle":"","parse-names":false,"suffix":""},{"dropping-particle":"","family":"Hansen","given":"Lawrence","non-dropping-particle":"","parse-names":false,"suffix":""},{"dropping-particle":"","family":"Masliah","given":"Eliezer","non-dropping-particle":"","parse-names":false,"suffix":""}],"container-title":"Acta Neuropathologica","id":"ITEM-4","issue":"6","issued":{"date-parts":[["1997","12","20"]]},"page":"539-548","title":"Alterations in glutamate receptor 2/3 subunits and amyloid precursor protein expression during the course of Alzheimer's disease and Lewy body variant","type":"article-journal","volume":"94"},"uris":["http://www.mendeley.com/documents/?uuid=039fd130-8989-4ed1-b74e-31d59f7b7be4"]},{"id":"ITEM-5","itemData":{"DOI":"10.1016/S0306-4522(97)00260-1","ISSN":"03064522","abstract":"Alzheimer's disease is a progressive dementia characterized by a pronounced neurodegeneration in the entorhinal cortex, hippocampal CA1, and subiculum. Excitatory amino acid receptor-mediated excitotoxicity is postulated to play a role in the neurodegeneration in Alzheimer's disease. The present study investigated immunocytochemical localization of excitatory amino acid receptor subunits in the hippocampus of twelve Alzheimer's disease and eleven controls, matched for age, sex and post mortem interval. Immunocytochemistry with antibodies specific for glutamate receptors GluR1, GluR2(4) (α-amino-3-hydroxy-5-methylisoxazole-4-propionic acid), GluR5/6/7 (kainate) and NRI (N-methyl-D-aspartate) receptor subunits demonstrated that virtually all projection neurons in all subfields contained subunits from each receptor class. However, regional differences in immunoreactivity were apparent in Alzheimer's disease vs normal human brain. In the vulnerable due to cell loss. In contrast, GluR2(4) immunolabelling appeared to be increased in the inner portion of the molecular layer of the dentate gyrus. In addition to cellular labelling, GluR1, GluR2(4) and NR1 immunolabelling revealed a novel pathological structure in 12 of 12 Alzheimer's disease, but none of the control brains. The lesions were juxtacellular clusters of granular immunoreactivity in the neuropil of the pyramidal cell layer. Ultrastructural analysis revealed these to be cellular processes containing dense vesicles and flocculent material with immunolabelling localized to plasma and vesicular membranes. They were not specifically associated with amyloid fibrils and did not contain paired helical filaments and they were also distinct from granulovacuolar degeneration. Several structures contained Hirano body filaments indicating that the dystrophic processes were most likely dendritic in origin. Additional studies are needed to determine the pathogenesis of these lesions, which could provide an additional index of dendritic deterioration in Alzheimer's disease.","autho</w:instrText>
      </w:r>
      <w:r w:rsidRPr="0030575B">
        <w:rPr>
          <w:rFonts w:ascii="Times New Roman" w:eastAsia="MS Mincho" w:hAnsi="Times New Roman" w:cs="Times New Roman"/>
          <w:sz w:val="24"/>
          <w:szCs w:val="24"/>
          <w:lang w:val="en-GB"/>
        </w:rPr>
        <w:instrText>r":[{"dropping-particle":"","family":"Aronica","given":"E.","non-dropping-particle":"","parse-names":false,"suffix":""},{"dropping-particle":"","family":"Dickson","given":"D.W","non-dropping-particle":"","parse-names":false,"suffix":""},{"dropping-particle":"","family":"Kress","given":"Y.","non-dropping-particle":"","parse-names":false,"suffix":""},{"dropping-particle":"","family":"Morrison","given":"J.H","non-dropping-particle":"","parse-names":false,"suffix":""},{"dropping-particle":"","family":"Zukin","given":"R.S","non-dropping-particle":"","parse-names":false,"suffix":""}],"container-title":"Neuroscience","id":"ITEM-5","issue":"4","issued":{"date-parts":[["1997","11"]]},"page":"979-991","title":"Non-plaque dystrophic dendrites in Alzheimer hippocampus: a new pathological structure revealed by glutamate receptor immunocytochemistry","type":"article-journal","volume":"82"},"uris":["http://www.mendeley.com/documents/?uuid=8a6102ad-8148-4923-850d-16c9a8292877"]}],"mendeley":{"formattedCitation":"(Ikonomovic et al., 1995, 1997; Aronica et al., 1997; Thorns et al., 1997; Wakabayashi et al., 1999)","plainTextFormattedCitation":"(Ikonomovic et al., 1995, 1997; Aronica et al., 1997; Thorns et al., 1997; Wakabayashi et al., 1999)","previouslyFormattedCitation":"(Aronica et al., 1997; Ikonomovic et al., 1997, 1995; Thorns et al., 1997; Wakabayashi et al., 1999)"},"properties":{"noteIndex":0},"schema":"https://github.com/citation-style-language/schema/raw/master/csl-citation.json"}</w:instrText>
      </w:r>
      <w:r w:rsidRPr="0030575B">
        <w:rPr>
          <w:rFonts w:ascii="Times New Roman" w:eastAsia="MS Mincho" w:hAnsi="Times New Roman" w:cs="Times New Roman"/>
          <w:sz w:val="24"/>
          <w:szCs w:val="24"/>
        </w:rPr>
        <w:fldChar w:fldCharType="separate"/>
      </w:r>
      <w:r w:rsidRPr="0030575B">
        <w:rPr>
          <w:rFonts w:ascii="Times New Roman" w:eastAsia="MS Mincho" w:hAnsi="Times New Roman" w:cs="Times New Roman"/>
          <w:noProof/>
          <w:sz w:val="24"/>
          <w:szCs w:val="24"/>
          <w:lang w:val="en-GB"/>
        </w:rPr>
        <w:t>(Ikonomovic et al., 1995, 1997; Aronica et al., 1997; Thorns et al., 1997; Wakabayashi et al., 1999)</w:t>
      </w:r>
      <w:r w:rsidRPr="0030575B">
        <w:rPr>
          <w:rFonts w:ascii="Times New Roman" w:eastAsia="MS Mincho" w:hAnsi="Times New Roman" w:cs="Times New Roman"/>
          <w:sz w:val="24"/>
          <w:szCs w:val="24"/>
        </w:rPr>
        <w:fldChar w:fldCharType="end"/>
      </w:r>
      <w:r w:rsidRPr="0030575B">
        <w:rPr>
          <w:rFonts w:ascii="Times New Roman" w:eastAsia="MS Mincho" w:hAnsi="Times New Roman" w:cs="Times New Roman"/>
          <w:sz w:val="24"/>
          <w:szCs w:val="24"/>
          <w:lang w:val="en-GB"/>
        </w:rPr>
        <w:t xml:space="preserve"> reported changes in individual AMPAR subunits in AD, we assessed the total expression levels of all AMPAR proteins (GluA1-4) in whole tissue lysates of the hippocampus in control and AD cases using immunoblot (</w:t>
      </w:r>
      <w:r w:rsidR="0040507C" w:rsidRPr="000D29D0">
        <w:rPr>
          <w:rFonts w:ascii="Times New Roman" w:eastAsia="MS Mincho" w:hAnsi="Times New Roman" w:cs="Times New Roman"/>
          <w:b/>
          <w:sz w:val="24"/>
          <w:szCs w:val="24"/>
          <w:lang w:val="en-GB"/>
        </w:rPr>
        <w:t xml:space="preserve">Supplementary </w:t>
      </w:r>
      <w:r w:rsidRPr="000D29D0">
        <w:rPr>
          <w:rFonts w:ascii="Times New Roman" w:eastAsia="MS Mincho" w:hAnsi="Times New Roman" w:cs="Times New Roman"/>
          <w:b/>
          <w:sz w:val="24"/>
          <w:szCs w:val="24"/>
          <w:lang w:val="en-GB"/>
        </w:rPr>
        <w:t xml:space="preserve">Fig. </w:t>
      </w:r>
      <w:r w:rsidR="0040507C" w:rsidRPr="000D29D0">
        <w:rPr>
          <w:rFonts w:ascii="Times New Roman" w:eastAsia="MS Mincho" w:hAnsi="Times New Roman" w:cs="Times New Roman"/>
          <w:b/>
          <w:sz w:val="24"/>
          <w:szCs w:val="24"/>
          <w:lang w:val="en-GB"/>
        </w:rPr>
        <w:t>2</w:t>
      </w:r>
      <w:r w:rsidRPr="0030575B">
        <w:rPr>
          <w:rFonts w:ascii="Times New Roman" w:eastAsia="MS Mincho" w:hAnsi="Times New Roman" w:cs="Times New Roman"/>
          <w:sz w:val="24"/>
          <w:szCs w:val="24"/>
          <w:lang w:val="en-GB"/>
        </w:rPr>
        <w:t>).</w:t>
      </w:r>
      <w:r w:rsidRPr="0030575B">
        <w:rPr>
          <w:rFonts w:ascii="Times New Roman" w:hAnsi="Times New Roman" w:cs="Times New Roman"/>
          <w:sz w:val="24"/>
          <w:szCs w:val="24"/>
          <w:lang w:val="en-GB"/>
        </w:rPr>
        <w:t xml:space="preserve"> In total hippocampal homogenates of all cases, we detected GluA1-4 as a single </w:t>
      </w:r>
      <w:r w:rsidRPr="0030575B">
        <w:rPr>
          <w:rFonts w:ascii="Times New Roman" w:hAnsi="Times New Roman" w:cs="Times New Roman"/>
          <w:bCs/>
          <w:sz w:val="24"/>
          <w:szCs w:val="24"/>
          <w:lang w:val="en-GB"/>
        </w:rPr>
        <w:t xml:space="preserve">predominant band at ~105 </w:t>
      </w:r>
      <w:proofErr w:type="spellStart"/>
      <w:r w:rsidRPr="0030575B">
        <w:rPr>
          <w:rFonts w:ascii="Times New Roman" w:hAnsi="Times New Roman" w:cs="Times New Roman"/>
          <w:bCs/>
          <w:sz w:val="24"/>
          <w:szCs w:val="24"/>
          <w:lang w:val="en-GB"/>
        </w:rPr>
        <w:t>kDa</w:t>
      </w:r>
      <w:proofErr w:type="spellEnd"/>
      <w:r w:rsidRPr="0030575B">
        <w:rPr>
          <w:rFonts w:ascii="Times New Roman" w:hAnsi="Times New Roman" w:cs="Times New Roman"/>
          <w:sz w:val="24"/>
          <w:szCs w:val="24"/>
          <w:lang w:val="en-GB"/>
        </w:rPr>
        <w:t xml:space="preserve"> (</w:t>
      </w:r>
      <w:r w:rsidR="0040507C" w:rsidRPr="000D29D0">
        <w:rPr>
          <w:rFonts w:ascii="Times New Roman" w:eastAsia="MS Mincho" w:hAnsi="Times New Roman" w:cs="Times New Roman"/>
          <w:b/>
          <w:sz w:val="24"/>
          <w:szCs w:val="24"/>
          <w:lang w:val="en-GB"/>
        </w:rPr>
        <w:t xml:space="preserve">Supplementary </w:t>
      </w:r>
      <w:r w:rsidRPr="000D29D0">
        <w:rPr>
          <w:rFonts w:ascii="Times New Roman" w:eastAsia="MS Mincho" w:hAnsi="Times New Roman" w:cs="Times New Roman"/>
          <w:b/>
          <w:sz w:val="24"/>
          <w:szCs w:val="24"/>
          <w:lang w:val="en-GB" w:eastAsia="ja-JP"/>
        </w:rPr>
        <w:t xml:space="preserve">Fig. </w:t>
      </w:r>
      <w:r w:rsidR="0040507C" w:rsidRPr="000D29D0">
        <w:rPr>
          <w:rFonts w:ascii="Times New Roman" w:eastAsia="MS Mincho" w:hAnsi="Times New Roman" w:cs="Times New Roman"/>
          <w:b/>
          <w:sz w:val="24"/>
          <w:szCs w:val="24"/>
          <w:lang w:val="en-GB" w:eastAsia="ja-JP"/>
        </w:rPr>
        <w:t>2</w:t>
      </w:r>
      <w:r w:rsidRPr="000D29D0">
        <w:rPr>
          <w:rFonts w:ascii="Times New Roman" w:eastAsia="MS Mincho" w:hAnsi="Times New Roman" w:cs="Times New Roman"/>
          <w:b/>
          <w:sz w:val="24"/>
          <w:szCs w:val="24"/>
          <w:lang w:val="en-GB" w:eastAsia="ja-JP"/>
        </w:rPr>
        <w:t>A</w:t>
      </w:r>
      <w:r w:rsidRPr="0030575B">
        <w:rPr>
          <w:rFonts w:ascii="Times New Roman" w:hAnsi="Times New Roman" w:cs="Times New Roman"/>
          <w:sz w:val="24"/>
          <w:szCs w:val="24"/>
          <w:lang w:val="en-GB"/>
        </w:rPr>
        <w:t>)</w:t>
      </w:r>
      <w:r w:rsidRPr="0030575B">
        <w:rPr>
          <w:rFonts w:ascii="Times New Roman" w:hAnsi="Times New Roman" w:cs="Times New Roman"/>
          <w:bCs/>
          <w:sz w:val="24"/>
          <w:szCs w:val="24"/>
          <w:lang w:val="en-GB"/>
        </w:rPr>
        <w:t xml:space="preserve">. </w:t>
      </w:r>
      <w:r w:rsidRPr="0030575B">
        <w:rPr>
          <w:rFonts w:ascii="Times New Roman" w:hAnsi="Times New Roman" w:cs="Times New Roman"/>
          <w:sz w:val="24"/>
          <w:szCs w:val="24"/>
          <w:lang w:val="en-GB"/>
        </w:rPr>
        <w:t>Quantification of this immunoreactive band revealed that GluA1-4 proteins were significantly reduced in the hippocampus of AD subjects compared to controls (</w:t>
      </w:r>
      <w:r w:rsidR="0040507C" w:rsidRPr="000D29D0">
        <w:rPr>
          <w:rFonts w:ascii="Times New Roman" w:eastAsia="MS Mincho" w:hAnsi="Times New Roman" w:cs="Times New Roman"/>
          <w:b/>
          <w:sz w:val="24"/>
          <w:szCs w:val="24"/>
          <w:lang w:val="en-GB"/>
        </w:rPr>
        <w:t xml:space="preserve">Supplementary </w:t>
      </w:r>
      <w:r w:rsidRPr="000D29D0">
        <w:rPr>
          <w:rFonts w:ascii="Times New Roman" w:eastAsia="MS Mincho" w:hAnsi="Times New Roman" w:cs="Times New Roman"/>
          <w:b/>
          <w:sz w:val="24"/>
          <w:szCs w:val="24"/>
          <w:lang w:val="en-GB" w:eastAsia="ja-JP"/>
        </w:rPr>
        <w:t xml:space="preserve">Fig. </w:t>
      </w:r>
      <w:r w:rsidR="0040507C" w:rsidRPr="000D29D0">
        <w:rPr>
          <w:rFonts w:ascii="Times New Roman" w:eastAsia="MS Mincho" w:hAnsi="Times New Roman" w:cs="Times New Roman"/>
          <w:b/>
          <w:sz w:val="24"/>
          <w:szCs w:val="24"/>
          <w:lang w:val="en-GB" w:eastAsia="ja-JP"/>
        </w:rPr>
        <w:t>2</w:t>
      </w:r>
      <w:r w:rsidRPr="000D29D0">
        <w:rPr>
          <w:rFonts w:ascii="Times New Roman" w:eastAsia="MS Mincho" w:hAnsi="Times New Roman" w:cs="Times New Roman"/>
          <w:b/>
          <w:sz w:val="24"/>
          <w:szCs w:val="24"/>
          <w:lang w:val="en-GB" w:eastAsia="ja-JP"/>
        </w:rPr>
        <w:t>B</w:t>
      </w:r>
      <w:r w:rsidRPr="0030575B">
        <w:rPr>
          <w:rFonts w:ascii="Times New Roman" w:hAnsi="Times New Roman" w:cs="Times New Roman"/>
          <w:sz w:val="24"/>
          <w:szCs w:val="24"/>
          <w:lang w:val="en-GB"/>
        </w:rPr>
        <w:t>).</w:t>
      </w:r>
    </w:p>
    <w:p w14:paraId="7EAEFFCC" w14:textId="77777777" w:rsidR="009B22E0" w:rsidRDefault="009B22E0" w:rsidP="004B6B5A">
      <w:pPr>
        <w:spacing w:line="480" w:lineRule="auto"/>
        <w:rPr>
          <w:rFonts w:ascii="Times New Roman" w:hAnsi="Times New Roman" w:cs="Times New Roman"/>
          <w:sz w:val="24"/>
          <w:szCs w:val="24"/>
          <w:lang w:val="en-GB"/>
        </w:rPr>
      </w:pPr>
    </w:p>
    <w:p w14:paraId="5095FFDC" w14:textId="77777777" w:rsidR="00101401" w:rsidRPr="00101401" w:rsidRDefault="00101401" w:rsidP="00101401">
      <w:pPr>
        <w:autoSpaceDE w:val="0"/>
        <w:autoSpaceDN w:val="0"/>
        <w:adjustRightInd w:val="0"/>
        <w:spacing w:line="480" w:lineRule="auto"/>
        <w:rPr>
          <w:rFonts w:ascii="Times New Roman" w:eastAsia="MS Mincho" w:hAnsi="Times New Roman" w:cs="Times New Roman"/>
          <w:b/>
          <w:i/>
          <w:sz w:val="24"/>
          <w:szCs w:val="24"/>
          <w:lang w:val="en-GB" w:eastAsia="ja-JP"/>
        </w:rPr>
      </w:pPr>
      <w:r w:rsidRPr="00101401">
        <w:rPr>
          <w:rFonts w:ascii="Times New Roman" w:eastAsia="MS Mincho" w:hAnsi="Times New Roman" w:cs="Times New Roman"/>
          <w:b/>
          <w:i/>
          <w:sz w:val="24"/>
          <w:szCs w:val="24"/>
          <w:lang w:val="en-GB" w:eastAsia="ja-JP"/>
        </w:rPr>
        <w:t xml:space="preserve">Co-localization between </w:t>
      </w:r>
      <w:r w:rsidRPr="00101401">
        <w:rPr>
          <w:rFonts w:ascii="Times New Roman" w:hAnsi="Times New Roman" w:cs="Times New Roman"/>
          <w:b/>
          <w:i/>
          <w:sz w:val="24"/>
          <w:szCs w:val="24"/>
          <w:lang w:val="en-GB"/>
        </w:rPr>
        <w:t>GluA1-4</w:t>
      </w:r>
      <w:r w:rsidRPr="00101401">
        <w:rPr>
          <w:rFonts w:ascii="Times New Roman" w:eastAsia="MS Mincho" w:hAnsi="Times New Roman" w:cs="Times New Roman"/>
          <w:b/>
          <w:i/>
          <w:sz w:val="24"/>
          <w:szCs w:val="24"/>
          <w:lang w:val="en-GB" w:eastAsia="ja-JP"/>
        </w:rPr>
        <w:t xml:space="preserve"> and protein makers</w:t>
      </w:r>
    </w:p>
    <w:p w14:paraId="25857C8E" w14:textId="755FDDB1" w:rsidR="00101401" w:rsidRPr="00101401" w:rsidRDefault="00101401" w:rsidP="00101401">
      <w:pPr>
        <w:spacing w:line="480" w:lineRule="auto"/>
        <w:ind w:firstLine="708"/>
        <w:rPr>
          <w:rFonts w:ascii="Times New Roman" w:eastAsia="MS Mincho" w:hAnsi="Times New Roman" w:cs="Times New Roman"/>
          <w:sz w:val="24"/>
          <w:szCs w:val="24"/>
          <w:lang w:val="en-GB"/>
        </w:rPr>
      </w:pPr>
      <w:r w:rsidRPr="00101401">
        <w:rPr>
          <w:rFonts w:ascii="Times New Roman" w:eastAsia="MS Mincho" w:hAnsi="Times New Roman" w:cs="Times New Roman"/>
          <w:sz w:val="24"/>
          <w:szCs w:val="24"/>
          <w:lang w:val="en-GB"/>
        </w:rPr>
        <w:t>T</w:t>
      </w:r>
      <w:r w:rsidRPr="00101401">
        <w:rPr>
          <w:rFonts w:ascii="Times New Roman" w:hAnsi="Times New Roman" w:cs="Times New Roman"/>
          <w:sz w:val="24"/>
          <w:szCs w:val="24"/>
          <w:lang w:val="en-GB"/>
        </w:rPr>
        <w:t xml:space="preserve">o establish the types of intracellular compartments in which AMPARs are present, we performed double labelling immunofluorescence with different marker </w:t>
      </w:r>
      <w:r w:rsidRPr="00101401">
        <w:rPr>
          <w:rFonts w:ascii="Times New Roman" w:hAnsi="Times New Roman" w:cs="Times New Roman"/>
          <w:sz w:val="24"/>
          <w:szCs w:val="24"/>
          <w:lang w:val="en-GB"/>
        </w:rPr>
        <w:lastRenderedPageBreak/>
        <w:t xml:space="preserve">proteins:  Rab4 (small G protein), a marker of early endosomes; Rab5 (small </w:t>
      </w:r>
      <w:proofErr w:type="spellStart"/>
      <w:r w:rsidRPr="00101401">
        <w:rPr>
          <w:rFonts w:ascii="Times New Roman" w:hAnsi="Times New Roman" w:cs="Times New Roman"/>
          <w:sz w:val="24"/>
          <w:szCs w:val="24"/>
          <w:lang w:val="en-GB"/>
        </w:rPr>
        <w:t>GTPase</w:t>
      </w:r>
      <w:proofErr w:type="spellEnd"/>
      <w:r w:rsidRPr="00101401">
        <w:rPr>
          <w:rFonts w:ascii="Times New Roman" w:hAnsi="Times New Roman" w:cs="Times New Roman"/>
          <w:sz w:val="24"/>
          <w:szCs w:val="24"/>
          <w:lang w:val="en-GB"/>
        </w:rPr>
        <w:t xml:space="preserve">), a marker of </w:t>
      </w:r>
      <w:r w:rsidRPr="00101401">
        <w:rPr>
          <w:rFonts w:ascii="Times New Roman" w:hAnsi="Times New Roman" w:cs="Times New Roman"/>
          <w:sz w:val="24"/>
          <w:szCs w:val="24"/>
          <w:shd w:val="clear" w:color="auto" w:fill="FFFFFF"/>
          <w:lang w:val="en-GB"/>
        </w:rPr>
        <w:t xml:space="preserve">early endocytic pathway; and </w:t>
      </w:r>
      <w:r w:rsidRPr="00101401">
        <w:rPr>
          <w:rFonts w:ascii="Times New Roman" w:hAnsi="Times New Roman" w:cs="Times New Roman"/>
          <w:sz w:val="24"/>
          <w:szCs w:val="24"/>
          <w:lang w:val="en-GB"/>
        </w:rPr>
        <w:t xml:space="preserve">EEA1 (early endosomal antigen 1), a marker or early endosomes and </w:t>
      </w:r>
      <w:proofErr w:type="spellStart"/>
      <w:r w:rsidRPr="00101401">
        <w:rPr>
          <w:rFonts w:ascii="Times New Roman" w:hAnsi="Times New Roman" w:cs="Times New Roman"/>
          <w:sz w:val="24"/>
          <w:szCs w:val="24"/>
          <w:lang w:val="en-GB"/>
        </w:rPr>
        <w:t>amphisomes</w:t>
      </w:r>
      <w:proofErr w:type="spellEnd"/>
      <w:r w:rsidRPr="00101401">
        <w:rPr>
          <w:rFonts w:ascii="Times New Roman" w:hAnsi="Times New Roman" w:cs="Times New Roman"/>
          <w:sz w:val="24"/>
          <w:szCs w:val="24"/>
          <w:lang w:val="en-GB"/>
        </w:rPr>
        <w:t xml:space="preserve"> (</w:t>
      </w:r>
      <w:r w:rsidRPr="000D29D0">
        <w:rPr>
          <w:rFonts w:ascii="Times New Roman" w:eastAsia="MS Mincho" w:hAnsi="Times New Roman" w:cs="Times New Roman"/>
          <w:b/>
          <w:sz w:val="24"/>
          <w:szCs w:val="24"/>
          <w:lang w:val="en-GB"/>
        </w:rPr>
        <w:t>Supplementary Fig. 3</w:t>
      </w:r>
      <w:r w:rsidRPr="00101401">
        <w:rPr>
          <w:rFonts w:ascii="Times New Roman" w:hAnsi="Times New Roman" w:cs="Times New Roman"/>
          <w:sz w:val="24"/>
          <w:szCs w:val="24"/>
          <w:lang w:val="en-GB"/>
        </w:rPr>
        <w:t xml:space="preserve">). Our analysis focused in the </w:t>
      </w:r>
      <w:proofErr w:type="spellStart"/>
      <w:r w:rsidRPr="00101401">
        <w:rPr>
          <w:rFonts w:ascii="Times New Roman" w:hAnsi="Times New Roman" w:cs="Times New Roman"/>
          <w:sz w:val="24"/>
          <w:szCs w:val="24"/>
          <w:lang w:val="en-GB"/>
        </w:rPr>
        <w:t>somata</w:t>
      </w:r>
      <w:proofErr w:type="spellEnd"/>
      <w:r w:rsidRPr="00101401">
        <w:rPr>
          <w:rFonts w:ascii="Times New Roman" w:hAnsi="Times New Roman" w:cs="Times New Roman"/>
          <w:sz w:val="24"/>
          <w:szCs w:val="24"/>
          <w:lang w:val="en-GB"/>
        </w:rPr>
        <w:t xml:space="preserve"> and proximal dendrites of CA1 pyramidal cells. Immunoreactivity for GluA2/3 was detected as punctate through the cytoplasm surrounding the nuclei of pyramidal cells (</w:t>
      </w:r>
      <w:r w:rsidRPr="000D29D0">
        <w:rPr>
          <w:rFonts w:ascii="Times New Roman" w:eastAsia="MS Mincho" w:hAnsi="Times New Roman" w:cs="Times New Roman"/>
          <w:b/>
          <w:sz w:val="24"/>
          <w:szCs w:val="24"/>
          <w:lang w:val="en-GB"/>
        </w:rPr>
        <w:t>Supplementary Fig. 3</w:t>
      </w:r>
      <w:r w:rsidRPr="000D29D0">
        <w:rPr>
          <w:rFonts w:ascii="Times New Roman" w:eastAsia="MS Mincho" w:hAnsi="Times New Roman" w:cs="Times New Roman"/>
          <w:b/>
          <w:sz w:val="24"/>
          <w:szCs w:val="24"/>
          <w:lang w:val="en-GB" w:eastAsia="ja-JP"/>
        </w:rPr>
        <w:t>A1-F1</w:t>
      </w:r>
      <w:r w:rsidRPr="00101401">
        <w:rPr>
          <w:rFonts w:ascii="Times New Roman" w:hAnsi="Times New Roman" w:cs="Times New Roman"/>
          <w:sz w:val="24"/>
          <w:szCs w:val="24"/>
          <w:lang w:val="en-GB"/>
        </w:rPr>
        <w:t>). Immunoreactivity for Rab4 (</w:t>
      </w:r>
      <w:r w:rsidRPr="000D29D0">
        <w:rPr>
          <w:rFonts w:ascii="Times New Roman" w:eastAsia="MS Mincho" w:hAnsi="Times New Roman" w:cs="Times New Roman"/>
          <w:b/>
          <w:sz w:val="24"/>
          <w:szCs w:val="24"/>
          <w:lang w:val="en-GB"/>
        </w:rPr>
        <w:t>Supplementary Fig. 3</w:t>
      </w:r>
      <w:r w:rsidRPr="000D29D0">
        <w:rPr>
          <w:rFonts w:ascii="Times New Roman" w:eastAsia="MS Mincho" w:hAnsi="Times New Roman" w:cs="Times New Roman"/>
          <w:b/>
          <w:sz w:val="24"/>
          <w:szCs w:val="24"/>
          <w:lang w:val="en-GB" w:eastAsia="ja-JP"/>
        </w:rPr>
        <w:t>A2, B2</w:t>
      </w:r>
      <w:r w:rsidRPr="00101401">
        <w:rPr>
          <w:rFonts w:ascii="Times New Roman" w:hAnsi="Times New Roman" w:cs="Times New Roman"/>
          <w:sz w:val="24"/>
          <w:szCs w:val="24"/>
          <w:lang w:val="en-GB"/>
        </w:rPr>
        <w:t>), Rab5 (</w:t>
      </w:r>
      <w:r w:rsidRPr="000D29D0">
        <w:rPr>
          <w:rFonts w:ascii="Times New Roman" w:eastAsia="MS Mincho" w:hAnsi="Times New Roman" w:cs="Times New Roman"/>
          <w:b/>
          <w:sz w:val="24"/>
          <w:szCs w:val="24"/>
          <w:lang w:val="en-GB"/>
        </w:rPr>
        <w:t>Supplementary Fig. 3</w:t>
      </w:r>
      <w:r w:rsidRPr="000D29D0">
        <w:rPr>
          <w:rFonts w:ascii="Times New Roman" w:eastAsia="MS Mincho" w:hAnsi="Times New Roman" w:cs="Times New Roman"/>
          <w:b/>
          <w:sz w:val="24"/>
          <w:szCs w:val="24"/>
          <w:lang w:val="en-GB" w:eastAsia="ja-JP"/>
        </w:rPr>
        <w:t>C2, D2</w:t>
      </w:r>
      <w:r w:rsidRPr="00101401">
        <w:rPr>
          <w:rFonts w:ascii="Times New Roman" w:hAnsi="Times New Roman" w:cs="Times New Roman"/>
          <w:sz w:val="24"/>
          <w:szCs w:val="24"/>
          <w:lang w:val="en-GB"/>
        </w:rPr>
        <w:t>) and EEA1 (</w:t>
      </w:r>
      <w:r w:rsidRPr="000D29D0">
        <w:rPr>
          <w:rFonts w:ascii="Times New Roman" w:eastAsia="MS Mincho" w:hAnsi="Times New Roman" w:cs="Times New Roman"/>
          <w:b/>
          <w:sz w:val="24"/>
          <w:szCs w:val="24"/>
          <w:lang w:val="en-GB"/>
        </w:rPr>
        <w:t>Supplementary Fig. 3</w:t>
      </w:r>
      <w:r w:rsidRPr="000D29D0">
        <w:rPr>
          <w:rFonts w:ascii="Times New Roman" w:eastAsia="MS Mincho" w:hAnsi="Times New Roman" w:cs="Times New Roman"/>
          <w:b/>
          <w:sz w:val="24"/>
          <w:szCs w:val="24"/>
          <w:lang w:val="en-GB" w:eastAsia="ja-JP"/>
        </w:rPr>
        <w:t>E2, F2</w:t>
      </w:r>
      <w:r w:rsidRPr="00101401">
        <w:rPr>
          <w:rFonts w:ascii="Times New Roman" w:hAnsi="Times New Roman" w:cs="Times New Roman"/>
          <w:sz w:val="24"/>
          <w:szCs w:val="24"/>
          <w:lang w:val="en-GB"/>
        </w:rPr>
        <w:t>) were also detected as punctate labelling through the cytoplasm. We observed co-localisation between GluA2/3 and the different marker proteins (</w:t>
      </w:r>
      <w:r w:rsidRPr="000D29D0">
        <w:rPr>
          <w:rFonts w:ascii="Times New Roman" w:eastAsia="MS Mincho" w:hAnsi="Times New Roman" w:cs="Times New Roman"/>
          <w:b/>
          <w:sz w:val="24"/>
          <w:szCs w:val="24"/>
          <w:lang w:val="en-GB"/>
        </w:rPr>
        <w:t>Supplementary Fig. 3</w:t>
      </w:r>
      <w:r w:rsidRPr="000D29D0">
        <w:rPr>
          <w:rFonts w:ascii="Times New Roman" w:eastAsia="MS Mincho" w:hAnsi="Times New Roman" w:cs="Times New Roman"/>
          <w:b/>
          <w:sz w:val="24"/>
          <w:szCs w:val="24"/>
          <w:lang w:val="en-GB" w:eastAsia="ja-JP"/>
        </w:rPr>
        <w:t>A3-F3</w:t>
      </w:r>
      <w:r w:rsidRPr="00101401">
        <w:rPr>
          <w:rFonts w:ascii="Times New Roman" w:eastAsia="MS Mincho" w:hAnsi="Times New Roman" w:cs="Times New Roman"/>
          <w:sz w:val="24"/>
          <w:szCs w:val="24"/>
          <w:lang w:val="en-GB" w:eastAsia="ja-JP"/>
        </w:rPr>
        <w:t>). We then measured</w:t>
      </w:r>
      <w:r w:rsidRPr="00101401">
        <w:rPr>
          <w:rFonts w:ascii="Times New Roman" w:hAnsi="Times New Roman" w:cs="Times New Roman"/>
          <w:sz w:val="24"/>
          <w:szCs w:val="24"/>
          <w:lang w:val="en-GB"/>
        </w:rPr>
        <w:t xml:space="preserve"> the total area of labelling and area of co-localisation to obtain the percentage of co-localisation for each maker. This quantitative analysis showed no differences in the percentage of co-localisation in APP/PS1 mice compared to </w:t>
      </w:r>
      <w:r w:rsidRPr="00101401">
        <w:rPr>
          <w:rFonts w:ascii="Times New Roman" w:eastAsia="MS Mincho" w:hAnsi="Times New Roman" w:cs="Times New Roman"/>
          <w:sz w:val="24"/>
          <w:szCs w:val="24"/>
          <w:lang w:val="en-GB" w:eastAsia="ja-JP"/>
        </w:rPr>
        <w:t xml:space="preserve">age-matched wild type controls with the makers employed (Rab4: 0.0009 </w:t>
      </w:r>
      <w:r w:rsidRPr="00101401">
        <w:rPr>
          <w:rFonts w:ascii="Times New Roman" w:eastAsia="MS Mincho" w:hAnsi="Times New Roman" w:cs="Times New Roman"/>
          <w:sz w:val="24"/>
          <w:szCs w:val="24"/>
          <w:lang w:val="en-GB"/>
        </w:rPr>
        <w:t xml:space="preserve">± </w:t>
      </w:r>
      <w:r w:rsidRPr="00101401">
        <w:rPr>
          <w:rFonts w:ascii="Times New Roman" w:eastAsia="MS Mincho" w:hAnsi="Times New Roman" w:cs="Times New Roman"/>
          <w:sz w:val="24"/>
          <w:szCs w:val="24"/>
          <w:lang w:val="en-GB" w:eastAsia="ja-JP"/>
        </w:rPr>
        <w:t xml:space="preserve">0.00009% in WT and 0.0009 </w:t>
      </w:r>
      <w:r w:rsidRPr="00101401">
        <w:rPr>
          <w:rFonts w:ascii="Times New Roman" w:eastAsia="MS Mincho" w:hAnsi="Times New Roman" w:cs="Times New Roman"/>
          <w:sz w:val="24"/>
          <w:szCs w:val="24"/>
          <w:lang w:val="en-GB"/>
        </w:rPr>
        <w:t xml:space="preserve">± </w:t>
      </w:r>
      <w:r w:rsidRPr="00101401">
        <w:rPr>
          <w:rFonts w:ascii="Times New Roman" w:eastAsia="MS Mincho" w:hAnsi="Times New Roman" w:cs="Times New Roman"/>
          <w:sz w:val="24"/>
          <w:szCs w:val="24"/>
          <w:lang w:val="en-GB" w:eastAsia="ja-JP"/>
        </w:rPr>
        <w:t xml:space="preserve">0.00021% in APP/PS1; Rab5: 0.0012 </w:t>
      </w:r>
      <w:r w:rsidRPr="00101401">
        <w:rPr>
          <w:rFonts w:ascii="Times New Roman" w:eastAsia="MS Mincho" w:hAnsi="Times New Roman" w:cs="Times New Roman"/>
          <w:sz w:val="24"/>
          <w:szCs w:val="24"/>
          <w:lang w:val="en-GB"/>
        </w:rPr>
        <w:t xml:space="preserve">± </w:t>
      </w:r>
      <w:r w:rsidRPr="00101401">
        <w:rPr>
          <w:rFonts w:ascii="Times New Roman" w:eastAsia="MS Mincho" w:hAnsi="Times New Roman" w:cs="Times New Roman"/>
          <w:sz w:val="24"/>
          <w:szCs w:val="24"/>
          <w:lang w:val="en-GB" w:eastAsia="ja-JP"/>
        </w:rPr>
        <w:t xml:space="preserve">0.0001% in WT and 0.0012 </w:t>
      </w:r>
      <w:r w:rsidRPr="00101401">
        <w:rPr>
          <w:rFonts w:ascii="Times New Roman" w:eastAsia="MS Mincho" w:hAnsi="Times New Roman" w:cs="Times New Roman"/>
          <w:sz w:val="24"/>
          <w:szCs w:val="24"/>
          <w:lang w:val="en-GB"/>
        </w:rPr>
        <w:t xml:space="preserve">± </w:t>
      </w:r>
      <w:r w:rsidRPr="00101401">
        <w:rPr>
          <w:rFonts w:ascii="Times New Roman" w:eastAsia="MS Mincho" w:hAnsi="Times New Roman" w:cs="Times New Roman"/>
          <w:sz w:val="24"/>
          <w:szCs w:val="24"/>
          <w:lang w:val="en-GB" w:eastAsia="ja-JP"/>
        </w:rPr>
        <w:t xml:space="preserve">0.0002% in APP/PS1; EEA1: 0.0011 </w:t>
      </w:r>
      <w:r w:rsidRPr="00101401">
        <w:rPr>
          <w:rFonts w:ascii="Times New Roman" w:eastAsia="MS Mincho" w:hAnsi="Times New Roman" w:cs="Times New Roman"/>
          <w:sz w:val="24"/>
          <w:szCs w:val="24"/>
          <w:lang w:val="en-GB"/>
        </w:rPr>
        <w:t xml:space="preserve">± </w:t>
      </w:r>
      <w:r w:rsidRPr="00101401">
        <w:rPr>
          <w:rFonts w:ascii="Times New Roman" w:eastAsia="MS Mincho" w:hAnsi="Times New Roman" w:cs="Times New Roman"/>
          <w:sz w:val="24"/>
          <w:szCs w:val="24"/>
          <w:lang w:val="en-GB" w:eastAsia="ja-JP"/>
        </w:rPr>
        <w:t xml:space="preserve">0.0002% in WT and 0.0011 </w:t>
      </w:r>
      <w:r w:rsidRPr="00101401">
        <w:rPr>
          <w:rFonts w:ascii="Times New Roman" w:eastAsia="MS Mincho" w:hAnsi="Times New Roman" w:cs="Times New Roman"/>
          <w:sz w:val="24"/>
          <w:szCs w:val="24"/>
          <w:lang w:val="en-GB"/>
        </w:rPr>
        <w:t xml:space="preserve">± </w:t>
      </w:r>
      <w:r w:rsidRPr="00101401">
        <w:rPr>
          <w:rFonts w:ascii="Times New Roman" w:eastAsia="MS Mincho" w:hAnsi="Times New Roman" w:cs="Times New Roman"/>
          <w:sz w:val="24"/>
          <w:szCs w:val="24"/>
          <w:lang w:val="en-GB" w:eastAsia="ja-JP"/>
        </w:rPr>
        <w:t>0.0001% in APP/PS1). No statistical significance was found using the student-t test with the Holm-</w:t>
      </w:r>
      <w:proofErr w:type="spellStart"/>
      <w:r w:rsidRPr="00101401">
        <w:rPr>
          <w:rFonts w:ascii="Times New Roman" w:eastAsia="MS Mincho" w:hAnsi="Times New Roman" w:cs="Times New Roman"/>
          <w:sz w:val="24"/>
          <w:szCs w:val="24"/>
          <w:lang w:val="en-GB" w:eastAsia="ja-JP"/>
        </w:rPr>
        <w:t>Sidak</w:t>
      </w:r>
      <w:proofErr w:type="spellEnd"/>
      <w:r w:rsidRPr="00101401">
        <w:rPr>
          <w:rFonts w:ascii="Times New Roman" w:eastAsia="MS Mincho" w:hAnsi="Times New Roman" w:cs="Times New Roman"/>
          <w:sz w:val="24"/>
          <w:szCs w:val="24"/>
          <w:lang w:val="en-GB" w:eastAsia="ja-JP"/>
        </w:rPr>
        <w:t xml:space="preserve"> correction (</w:t>
      </w:r>
      <w:r w:rsidRPr="000D29D0">
        <w:rPr>
          <w:rFonts w:ascii="Times New Roman" w:eastAsia="MS Mincho" w:hAnsi="Times New Roman" w:cs="Times New Roman"/>
          <w:b/>
          <w:sz w:val="24"/>
          <w:szCs w:val="24"/>
          <w:lang w:val="en-GB"/>
        </w:rPr>
        <w:t>Supplementary Fig. 3</w:t>
      </w:r>
      <w:r w:rsidRPr="000D29D0">
        <w:rPr>
          <w:rFonts w:ascii="Times New Roman" w:eastAsia="MS Mincho" w:hAnsi="Times New Roman" w:cs="Times New Roman"/>
          <w:b/>
          <w:sz w:val="24"/>
          <w:szCs w:val="24"/>
          <w:lang w:val="en-GB" w:eastAsia="ja-JP"/>
        </w:rPr>
        <w:t>A3-F3</w:t>
      </w:r>
      <w:r w:rsidRPr="00101401">
        <w:rPr>
          <w:rFonts w:ascii="Times New Roman" w:eastAsia="MS Mincho" w:hAnsi="Times New Roman" w:cs="Times New Roman"/>
          <w:sz w:val="24"/>
          <w:szCs w:val="24"/>
          <w:lang w:val="en-GB" w:eastAsia="ja-JP"/>
        </w:rPr>
        <w:t>).</w:t>
      </w:r>
    </w:p>
    <w:p w14:paraId="6D5E2A9F" w14:textId="77777777" w:rsidR="00101401" w:rsidRPr="0030575B" w:rsidRDefault="00101401" w:rsidP="004B6B5A">
      <w:pPr>
        <w:spacing w:line="480" w:lineRule="auto"/>
        <w:rPr>
          <w:rFonts w:ascii="Times New Roman" w:hAnsi="Times New Roman" w:cs="Times New Roman"/>
          <w:sz w:val="24"/>
          <w:szCs w:val="24"/>
          <w:lang w:val="en-GB"/>
        </w:rPr>
      </w:pPr>
    </w:p>
    <w:p w14:paraId="1A9827E7" w14:textId="28685DC6" w:rsidR="00B077F1" w:rsidRDefault="00B077F1">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F7C7533" w14:textId="77777777" w:rsidR="00B077F1" w:rsidRPr="008E4CFA" w:rsidRDefault="00B077F1" w:rsidP="00B077F1">
      <w:pPr>
        <w:autoSpaceDE w:val="0"/>
        <w:autoSpaceDN w:val="0"/>
        <w:adjustRightInd w:val="0"/>
        <w:spacing w:line="480" w:lineRule="auto"/>
        <w:rPr>
          <w:rFonts w:ascii="Times New Roman" w:hAnsi="Times New Roman" w:cs="Times New Roman"/>
          <w:b/>
          <w:bCs/>
          <w:sz w:val="24"/>
          <w:szCs w:val="24"/>
          <w:lang w:val="en-GB"/>
        </w:rPr>
      </w:pPr>
      <w:r w:rsidRPr="008E4CFA">
        <w:rPr>
          <w:rFonts w:ascii="Times New Roman" w:hAnsi="Times New Roman" w:cs="Times New Roman"/>
          <w:b/>
          <w:bCs/>
          <w:sz w:val="24"/>
          <w:szCs w:val="24"/>
          <w:lang w:val="en-GB"/>
        </w:rPr>
        <w:lastRenderedPageBreak/>
        <w:t>References</w:t>
      </w:r>
    </w:p>
    <w:p w14:paraId="14A90656" w14:textId="77777777" w:rsidR="00B077F1" w:rsidRPr="008E4CFA" w:rsidRDefault="00B077F1" w:rsidP="00B077F1">
      <w:pPr>
        <w:widowControl w:val="0"/>
        <w:autoSpaceDE w:val="0"/>
        <w:autoSpaceDN w:val="0"/>
        <w:adjustRightInd w:val="0"/>
        <w:spacing w:line="360" w:lineRule="auto"/>
        <w:ind w:left="480" w:hanging="480"/>
        <w:rPr>
          <w:rFonts w:ascii="Times New Roman" w:hAnsi="Times New Roman" w:cs="Times New Roman"/>
          <w:noProof/>
          <w:sz w:val="24"/>
          <w:szCs w:val="24"/>
          <w:lang w:val="en-GB"/>
        </w:rPr>
      </w:pPr>
      <w:r w:rsidRPr="008E4CFA">
        <w:rPr>
          <w:rFonts w:ascii="Times New Roman" w:hAnsi="Times New Roman" w:cs="Times New Roman"/>
          <w:sz w:val="24"/>
          <w:szCs w:val="24"/>
        </w:rPr>
        <w:fldChar w:fldCharType="begin" w:fldLock="1"/>
      </w:r>
      <w:r w:rsidRPr="008E4CFA">
        <w:rPr>
          <w:rFonts w:ascii="Times New Roman" w:hAnsi="Times New Roman" w:cs="Times New Roman"/>
          <w:sz w:val="24"/>
          <w:szCs w:val="24"/>
          <w:lang w:val="en-GB"/>
        </w:rPr>
        <w:instrText xml:space="preserve">ADDIN Mendeley Bibliography CSL_BIBLIOGRAPHY </w:instrText>
      </w:r>
      <w:r w:rsidRPr="008E4CFA">
        <w:rPr>
          <w:rFonts w:ascii="Times New Roman" w:hAnsi="Times New Roman" w:cs="Times New Roman"/>
          <w:sz w:val="24"/>
          <w:szCs w:val="24"/>
        </w:rPr>
        <w:fldChar w:fldCharType="separate"/>
      </w:r>
      <w:r w:rsidRPr="008E4CFA">
        <w:rPr>
          <w:rFonts w:ascii="Times New Roman" w:hAnsi="Times New Roman" w:cs="Times New Roman"/>
          <w:noProof/>
          <w:sz w:val="24"/>
          <w:szCs w:val="24"/>
          <w:lang w:val="en-GB"/>
        </w:rPr>
        <w:t xml:space="preserve">Aronica, E., Dickson, D. ., Kress, Y., Morrison, J. ., and Zukin, R. . (1997). Non-plaque dystrophic dendrites in Alzheimer hippocampus: a new pathological structure revealed by glutamate receptor immunocytochemistry. </w:t>
      </w:r>
      <w:r w:rsidRPr="008E4CFA">
        <w:rPr>
          <w:rFonts w:ascii="Times New Roman" w:hAnsi="Times New Roman" w:cs="Times New Roman"/>
          <w:i/>
          <w:iCs/>
          <w:noProof/>
          <w:sz w:val="24"/>
          <w:szCs w:val="24"/>
          <w:lang w:val="en-GB"/>
        </w:rPr>
        <w:t>Neuroscience</w:t>
      </w:r>
      <w:r w:rsidRPr="008E4CFA">
        <w:rPr>
          <w:rFonts w:ascii="Times New Roman" w:hAnsi="Times New Roman" w:cs="Times New Roman"/>
          <w:noProof/>
          <w:sz w:val="24"/>
          <w:szCs w:val="24"/>
          <w:lang w:val="en-GB"/>
        </w:rPr>
        <w:t xml:space="preserve"> 82, 979–991. </w:t>
      </w:r>
    </w:p>
    <w:p w14:paraId="3364DECB" w14:textId="77777777" w:rsidR="00B077F1" w:rsidRPr="008E4CFA" w:rsidRDefault="00B077F1" w:rsidP="00B077F1">
      <w:pPr>
        <w:widowControl w:val="0"/>
        <w:autoSpaceDE w:val="0"/>
        <w:autoSpaceDN w:val="0"/>
        <w:adjustRightInd w:val="0"/>
        <w:spacing w:line="360" w:lineRule="auto"/>
        <w:ind w:left="480" w:hanging="480"/>
        <w:rPr>
          <w:rFonts w:ascii="Times New Roman" w:hAnsi="Times New Roman" w:cs="Times New Roman"/>
          <w:noProof/>
          <w:sz w:val="24"/>
          <w:szCs w:val="24"/>
          <w:lang w:val="en-GB"/>
        </w:rPr>
      </w:pPr>
      <w:r w:rsidRPr="008E4CFA">
        <w:rPr>
          <w:rFonts w:ascii="Times New Roman" w:hAnsi="Times New Roman" w:cs="Times New Roman"/>
          <w:noProof/>
          <w:sz w:val="24"/>
          <w:szCs w:val="24"/>
          <w:lang w:val="en-GB"/>
        </w:rPr>
        <w:t xml:space="preserve">Braak, H., Braak, E., 1991. Neuropathological stageing of Alzheimer-related changes. </w:t>
      </w:r>
      <w:r w:rsidRPr="008E4CFA">
        <w:rPr>
          <w:rFonts w:ascii="Times New Roman" w:hAnsi="Times New Roman" w:cs="Times New Roman"/>
          <w:noProof/>
          <w:sz w:val="24"/>
          <w:szCs w:val="24"/>
        </w:rPr>
        <w:t>Acta Neuropathol. https://doi.org/10.1007/BF00308809</w:t>
      </w:r>
    </w:p>
    <w:p w14:paraId="3FC3EB83" w14:textId="77777777" w:rsidR="00B077F1" w:rsidRPr="008E4CFA" w:rsidRDefault="00B077F1" w:rsidP="00B077F1">
      <w:pPr>
        <w:widowControl w:val="0"/>
        <w:autoSpaceDE w:val="0"/>
        <w:autoSpaceDN w:val="0"/>
        <w:adjustRightInd w:val="0"/>
        <w:spacing w:line="360" w:lineRule="auto"/>
        <w:ind w:left="480" w:hanging="480"/>
        <w:rPr>
          <w:rFonts w:ascii="Times New Roman" w:hAnsi="Times New Roman" w:cs="Times New Roman"/>
          <w:noProof/>
          <w:sz w:val="24"/>
          <w:szCs w:val="24"/>
          <w:lang w:val="en-GB"/>
        </w:rPr>
      </w:pPr>
      <w:r w:rsidRPr="008E4CFA">
        <w:rPr>
          <w:rFonts w:ascii="Times New Roman" w:hAnsi="Times New Roman" w:cs="Times New Roman"/>
          <w:noProof/>
          <w:sz w:val="24"/>
          <w:szCs w:val="24"/>
          <w:lang w:val="en-GB"/>
        </w:rPr>
        <w:t xml:space="preserve">Ikonomovic, M. d., Mizukami, K., Davies, P., Hamilton, R., Sheffield, R., and Armstrong, D. M. (1997). The Loss of GluR2(3) Immunoreactivity Precedes Neurofibrillary Tangle Formation in the Entorhinal Cortex and Hippocampus of Alzheimer Brains. </w:t>
      </w:r>
      <w:r w:rsidRPr="008E4CFA">
        <w:rPr>
          <w:rFonts w:ascii="Times New Roman" w:hAnsi="Times New Roman" w:cs="Times New Roman"/>
          <w:i/>
          <w:iCs/>
          <w:noProof/>
          <w:sz w:val="24"/>
          <w:szCs w:val="24"/>
          <w:lang w:val="en-GB"/>
        </w:rPr>
        <w:t>J. Neuropathol. Exp. Neurol.</w:t>
      </w:r>
      <w:r w:rsidRPr="008E4CFA">
        <w:rPr>
          <w:rFonts w:ascii="Times New Roman" w:hAnsi="Times New Roman" w:cs="Times New Roman"/>
          <w:noProof/>
          <w:sz w:val="24"/>
          <w:szCs w:val="24"/>
          <w:lang w:val="en-GB"/>
        </w:rPr>
        <w:t xml:space="preserve"> 56, 1018–1027. doi:10.1097/00005072-199709000-00007.</w:t>
      </w:r>
    </w:p>
    <w:p w14:paraId="5A2ECB4B" w14:textId="77777777" w:rsidR="00B077F1" w:rsidRPr="008E4CFA" w:rsidRDefault="00B077F1" w:rsidP="00B077F1">
      <w:pPr>
        <w:widowControl w:val="0"/>
        <w:autoSpaceDE w:val="0"/>
        <w:autoSpaceDN w:val="0"/>
        <w:adjustRightInd w:val="0"/>
        <w:spacing w:line="360" w:lineRule="auto"/>
        <w:ind w:left="480" w:hanging="480"/>
        <w:rPr>
          <w:rFonts w:ascii="Times New Roman" w:hAnsi="Times New Roman" w:cs="Times New Roman"/>
          <w:noProof/>
          <w:sz w:val="24"/>
          <w:szCs w:val="24"/>
          <w:lang w:val="en-GB"/>
        </w:rPr>
      </w:pPr>
      <w:r w:rsidRPr="008E4CFA">
        <w:rPr>
          <w:rFonts w:ascii="Times New Roman" w:hAnsi="Times New Roman" w:cs="Times New Roman"/>
          <w:noProof/>
          <w:sz w:val="24"/>
          <w:szCs w:val="24"/>
          <w:lang w:val="en-GB"/>
        </w:rPr>
        <w:t xml:space="preserve">Ikonomovic, M. D., Sheffield, R., and Armstrong, D. M. (1995). AMPA-Selective glutamate receptor subtype immunoreactivity in the hippocampal dentate gyrus of patients with Alzheimer disease. </w:t>
      </w:r>
      <w:r w:rsidRPr="008E4CFA">
        <w:rPr>
          <w:rFonts w:ascii="Times New Roman" w:hAnsi="Times New Roman" w:cs="Times New Roman"/>
          <w:i/>
          <w:iCs/>
          <w:noProof/>
          <w:sz w:val="24"/>
          <w:szCs w:val="24"/>
          <w:lang w:val="en-GB"/>
        </w:rPr>
        <w:t>Mol. Chem. Neuropathol.</w:t>
      </w:r>
      <w:r w:rsidRPr="008E4CFA">
        <w:rPr>
          <w:rFonts w:ascii="Times New Roman" w:hAnsi="Times New Roman" w:cs="Times New Roman"/>
          <w:noProof/>
          <w:sz w:val="24"/>
          <w:szCs w:val="24"/>
          <w:lang w:val="en-GB"/>
        </w:rPr>
        <w:t xml:space="preserve"> 28, 59–64. doi:10.1007/BF02815205.</w:t>
      </w:r>
    </w:p>
    <w:p w14:paraId="5039D9C2" w14:textId="77777777" w:rsidR="00B077F1" w:rsidRPr="008E4CFA" w:rsidRDefault="00B077F1" w:rsidP="00B077F1">
      <w:pPr>
        <w:widowControl w:val="0"/>
        <w:autoSpaceDE w:val="0"/>
        <w:autoSpaceDN w:val="0"/>
        <w:adjustRightInd w:val="0"/>
        <w:spacing w:line="360" w:lineRule="auto"/>
        <w:ind w:left="480" w:hanging="480"/>
        <w:rPr>
          <w:rFonts w:ascii="Times New Roman" w:hAnsi="Times New Roman" w:cs="Times New Roman"/>
          <w:noProof/>
          <w:sz w:val="24"/>
          <w:szCs w:val="24"/>
          <w:lang w:val="en-GB"/>
        </w:rPr>
      </w:pPr>
      <w:r w:rsidRPr="008E4CFA">
        <w:rPr>
          <w:rFonts w:ascii="Times New Roman" w:hAnsi="Times New Roman" w:cs="Times New Roman"/>
          <w:noProof/>
          <w:sz w:val="24"/>
          <w:szCs w:val="24"/>
          <w:lang w:val="en-GB"/>
        </w:rPr>
        <w:t xml:space="preserve">Nusser, Z., Lujan, R., Laube, G., Roberts, J. D. B., Molnar, E., and Somogyi, P. (1998). Cell type and pathway dependence of synaptic AMPA receptor number and variability in the hippocampus. </w:t>
      </w:r>
      <w:r w:rsidRPr="008E4CFA">
        <w:rPr>
          <w:rFonts w:ascii="Times New Roman" w:hAnsi="Times New Roman" w:cs="Times New Roman"/>
          <w:i/>
          <w:iCs/>
          <w:noProof/>
          <w:sz w:val="24"/>
          <w:szCs w:val="24"/>
          <w:lang w:val="en-GB"/>
        </w:rPr>
        <w:t>Neuron</w:t>
      </w:r>
      <w:r w:rsidRPr="008E4CFA">
        <w:rPr>
          <w:rFonts w:ascii="Times New Roman" w:hAnsi="Times New Roman" w:cs="Times New Roman"/>
          <w:noProof/>
          <w:sz w:val="24"/>
          <w:szCs w:val="24"/>
          <w:lang w:val="en-GB"/>
        </w:rPr>
        <w:t xml:space="preserve"> 21, 545–559. doi:10.1016/S0896-6273(00)80565-6.</w:t>
      </w:r>
    </w:p>
    <w:p w14:paraId="5663B553" w14:textId="77777777" w:rsidR="00B077F1" w:rsidRPr="008E4CFA" w:rsidRDefault="00B077F1" w:rsidP="00B077F1">
      <w:pPr>
        <w:widowControl w:val="0"/>
        <w:autoSpaceDE w:val="0"/>
        <w:autoSpaceDN w:val="0"/>
        <w:adjustRightInd w:val="0"/>
        <w:spacing w:line="360" w:lineRule="auto"/>
        <w:ind w:left="480" w:hanging="480"/>
        <w:rPr>
          <w:rFonts w:ascii="Times New Roman" w:hAnsi="Times New Roman" w:cs="Times New Roman"/>
          <w:noProof/>
          <w:sz w:val="24"/>
          <w:szCs w:val="24"/>
          <w:lang w:val="en-GB"/>
        </w:rPr>
      </w:pPr>
      <w:r w:rsidRPr="008E4CFA">
        <w:rPr>
          <w:rFonts w:ascii="Times New Roman" w:hAnsi="Times New Roman" w:cs="Times New Roman"/>
          <w:noProof/>
          <w:sz w:val="24"/>
          <w:szCs w:val="24"/>
          <w:lang w:val="en-GB"/>
        </w:rPr>
        <w:t xml:space="preserve">Thorns, V., Mallory, M., Hansen, L., and Masliah, E. (1997). Alterations in glutamate receptor 2/3 subunits and amyloid precursor protein expression during the course of Alzheimer’s disease and Lewy body variant. </w:t>
      </w:r>
      <w:r w:rsidRPr="008E4CFA">
        <w:rPr>
          <w:rFonts w:ascii="Times New Roman" w:hAnsi="Times New Roman" w:cs="Times New Roman"/>
          <w:i/>
          <w:iCs/>
          <w:noProof/>
          <w:sz w:val="24"/>
          <w:szCs w:val="24"/>
          <w:lang w:val="en-GB"/>
        </w:rPr>
        <w:t>Acta Neuropathol.</w:t>
      </w:r>
      <w:r w:rsidRPr="008E4CFA">
        <w:rPr>
          <w:rFonts w:ascii="Times New Roman" w:hAnsi="Times New Roman" w:cs="Times New Roman"/>
          <w:noProof/>
          <w:sz w:val="24"/>
          <w:szCs w:val="24"/>
          <w:lang w:val="en-GB"/>
        </w:rPr>
        <w:t xml:space="preserve"> 94, 539–548. doi:10.1007/s004010050748.</w:t>
      </w:r>
    </w:p>
    <w:p w14:paraId="4A3026CA" w14:textId="77777777" w:rsidR="00B077F1" w:rsidRPr="008E4CFA" w:rsidRDefault="00B077F1" w:rsidP="00B077F1">
      <w:pPr>
        <w:widowControl w:val="0"/>
        <w:autoSpaceDE w:val="0"/>
        <w:autoSpaceDN w:val="0"/>
        <w:adjustRightInd w:val="0"/>
        <w:spacing w:line="360" w:lineRule="auto"/>
        <w:ind w:left="480" w:hanging="480"/>
        <w:rPr>
          <w:rFonts w:ascii="Times New Roman" w:hAnsi="Times New Roman" w:cs="Times New Roman"/>
          <w:noProof/>
          <w:sz w:val="24"/>
          <w:szCs w:val="24"/>
          <w:lang w:val="en-GB"/>
        </w:rPr>
      </w:pPr>
      <w:r w:rsidRPr="008E4CFA">
        <w:rPr>
          <w:rFonts w:ascii="Times New Roman" w:hAnsi="Times New Roman" w:cs="Times New Roman"/>
          <w:noProof/>
          <w:sz w:val="24"/>
          <w:szCs w:val="24"/>
          <w:lang w:val="en-GB"/>
        </w:rPr>
        <w:t xml:space="preserve">Wakabayashi, K., Narisawa-Saito, M., Iwakura, Y., Arai, T., Ikeda, K., Takahashi, H., et al. (1999). Phenotypic down-regulation of glutamate receptor subunit GluR1 in Alzheimer’s disease. </w:t>
      </w:r>
      <w:r w:rsidRPr="008E4CFA">
        <w:rPr>
          <w:rFonts w:ascii="Times New Roman" w:hAnsi="Times New Roman" w:cs="Times New Roman"/>
          <w:i/>
          <w:iCs/>
          <w:noProof/>
          <w:sz w:val="24"/>
          <w:szCs w:val="24"/>
          <w:lang w:val="en-GB"/>
        </w:rPr>
        <w:t>Neurobiol. Aging</w:t>
      </w:r>
      <w:r w:rsidRPr="008E4CFA">
        <w:rPr>
          <w:rFonts w:ascii="Times New Roman" w:hAnsi="Times New Roman" w:cs="Times New Roman"/>
          <w:noProof/>
          <w:sz w:val="24"/>
          <w:szCs w:val="24"/>
          <w:lang w:val="en-GB"/>
        </w:rPr>
        <w:t xml:space="preserve"> 20, 287–295. doi:10.1016/S0197-4580(99)00035-4.</w:t>
      </w:r>
    </w:p>
    <w:p w14:paraId="344CF3F7" w14:textId="77777777" w:rsidR="00B077F1" w:rsidRPr="008E4CFA" w:rsidRDefault="00B077F1" w:rsidP="00B077F1">
      <w:pPr>
        <w:widowControl w:val="0"/>
        <w:autoSpaceDE w:val="0"/>
        <w:autoSpaceDN w:val="0"/>
        <w:adjustRightInd w:val="0"/>
        <w:spacing w:line="360" w:lineRule="auto"/>
        <w:ind w:left="480" w:hanging="480"/>
        <w:rPr>
          <w:rFonts w:ascii="Times New Roman" w:hAnsi="Times New Roman" w:cs="Times New Roman"/>
          <w:noProof/>
          <w:sz w:val="24"/>
          <w:szCs w:val="24"/>
        </w:rPr>
      </w:pPr>
    </w:p>
    <w:p w14:paraId="43946DF6" w14:textId="03C31E26" w:rsidR="004B6B5A" w:rsidRPr="008E4CFA" w:rsidRDefault="00B077F1">
      <w:pPr>
        <w:rPr>
          <w:rFonts w:ascii="Times New Roman" w:hAnsi="Times New Roman" w:cs="Times New Roman"/>
          <w:sz w:val="24"/>
          <w:szCs w:val="24"/>
          <w:lang w:val="en-GB"/>
        </w:rPr>
      </w:pPr>
      <w:r w:rsidRPr="008E4CFA">
        <w:rPr>
          <w:rFonts w:ascii="Times New Roman" w:hAnsi="Times New Roman" w:cs="Times New Roman"/>
          <w:sz w:val="24"/>
          <w:szCs w:val="24"/>
        </w:rPr>
        <w:fldChar w:fldCharType="end"/>
      </w:r>
      <w:r w:rsidR="004B6B5A" w:rsidRPr="008E4CFA">
        <w:rPr>
          <w:rFonts w:ascii="Times New Roman" w:hAnsi="Times New Roman" w:cs="Times New Roman"/>
          <w:sz w:val="24"/>
          <w:szCs w:val="24"/>
          <w:lang w:val="en-GB"/>
        </w:rPr>
        <w:br w:type="page"/>
      </w:r>
    </w:p>
    <w:p w14:paraId="304B47D1" w14:textId="77777777" w:rsidR="007036B0" w:rsidRPr="009C638E" w:rsidRDefault="007036B0" w:rsidP="007036B0">
      <w:pPr>
        <w:autoSpaceDE w:val="0"/>
        <w:autoSpaceDN w:val="0"/>
        <w:adjustRightInd w:val="0"/>
        <w:spacing w:after="0" w:line="240" w:lineRule="auto"/>
        <w:rPr>
          <w:rFonts w:ascii="Times New Roman" w:hAnsi="Times New Roman" w:cs="Times New Roman"/>
          <w:sz w:val="24"/>
          <w:szCs w:val="24"/>
          <w:lang w:val="en-GB"/>
        </w:rPr>
      </w:pPr>
      <w:proofErr w:type="gramStart"/>
      <w:r w:rsidRPr="009E7FBD">
        <w:rPr>
          <w:rFonts w:ascii="Times New Roman" w:hAnsi="Times New Roman" w:cs="Times New Roman"/>
          <w:b/>
          <w:sz w:val="24"/>
          <w:szCs w:val="24"/>
          <w:lang w:val="en-GB"/>
        </w:rPr>
        <w:lastRenderedPageBreak/>
        <w:t>TABLE 1</w:t>
      </w:r>
      <w:r w:rsidRPr="009C638E">
        <w:rPr>
          <w:rFonts w:ascii="Times New Roman" w:hAnsi="Times New Roman" w:cs="Times New Roman"/>
          <w:sz w:val="24"/>
          <w:szCs w:val="24"/>
          <w:lang w:val="en-GB"/>
        </w:rPr>
        <w:t>.</w:t>
      </w:r>
      <w:proofErr w:type="gramEnd"/>
      <w:r w:rsidRPr="009C638E">
        <w:rPr>
          <w:rFonts w:ascii="Times New Roman" w:hAnsi="Times New Roman" w:cs="Times New Roman"/>
          <w:sz w:val="24"/>
          <w:szCs w:val="24"/>
          <w:lang w:val="en-GB"/>
        </w:rPr>
        <w:t xml:space="preserve"> Summary of the main clinical and neuropathological data in the present series</w:t>
      </w:r>
      <w:r>
        <w:rPr>
          <w:rFonts w:ascii="Times New Roman" w:hAnsi="Times New Roman" w:cs="Times New Roman"/>
          <w:sz w:val="24"/>
          <w:szCs w:val="24"/>
          <w:lang w:val="en-GB"/>
        </w:rPr>
        <w:t>.</w:t>
      </w:r>
    </w:p>
    <w:p w14:paraId="530EE169" w14:textId="77777777" w:rsidR="007036B0" w:rsidRPr="009C638E" w:rsidRDefault="007036B0" w:rsidP="007036B0">
      <w:pPr>
        <w:autoSpaceDE w:val="0"/>
        <w:autoSpaceDN w:val="0"/>
        <w:adjustRightInd w:val="0"/>
        <w:spacing w:after="0" w:line="240" w:lineRule="auto"/>
        <w:rPr>
          <w:rFonts w:ascii="Times New Roman" w:hAnsi="Times New Roman" w:cs="Times New Roman"/>
          <w:sz w:val="24"/>
          <w:szCs w:val="24"/>
          <w:lang w:val="en-GB"/>
        </w:rPr>
      </w:pPr>
    </w:p>
    <w:tbl>
      <w:tblPr>
        <w:tblStyle w:val="GridTable4-Accent51"/>
        <w:tblW w:w="6791" w:type="dxa"/>
        <w:tblLook w:val="04A0" w:firstRow="1" w:lastRow="0" w:firstColumn="1" w:lastColumn="0" w:noHBand="0" w:noVBand="1"/>
      </w:tblPr>
      <w:tblGrid>
        <w:gridCol w:w="1276"/>
        <w:gridCol w:w="925"/>
        <w:gridCol w:w="774"/>
        <w:gridCol w:w="1134"/>
        <w:gridCol w:w="1548"/>
        <w:gridCol w:w="1134"/>
      </w:tblGrid>
      <w:tr w:rsidR="007036B0" w:rsidRPr="00E43807" w14:paraId="7DDD6465" w14:textId="77777777" w:rsidTr="00334D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CEA53BB" w14:textId="77777777" w:rsidR="007036B0" w:rsidRPr="009314A8" w:rsidRDefault="007036B0" w:rsidP="00334D2B">
            <w:pPr>
              <w:jc w:val="center"/>
              <w:rPr>
                <w:rFonts w:ascii="Times New Roman" w:eastAsia="Times New Roman" w:hAnsi="Times New Roman" w:cs="Times New Roman"/>
                <w:i/>
                <w:lang w:val="en-GB" w:eastAsia="en-GB"/>
              </w:rPr>
            </w:pPr>
            <w:r w:rsidRPr="009314A8">
              <w:rPr>
                <w:rFonts w:ascii="Times New Roman" w:eastAsia="Times New Roman" w:hAnsi="Times New Roman" w:cs="Times New Roman"/>
                <w:i/>
                <w:lang w:val="en-GB" w:eastAsia="en-GB"/>
              </w:rPr>
              <w:t>Case Nº</w:t>
            </w:r>
          </w:p>
        </w:tc>
        <w:tc>
          <w:tcPr>
            <w:tcW w:w="925" w:type="dxa"/>
            <w:noWrap/>
            <w:hideMark/>
          </w:tcPr>
          <w:p w14:paraId="449B1DED" w14:textId="77777777" w:rsidR="007036B0" w:rsidRPr="009314A8" w:rsidRDefault="007036B0" w:rsidP="00334D2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Gender</w:t>
            </w:r>
          </w:p>
        </w:tc>
        <w:tc>
          <w:tcPr>
            <w:tcW w:w="774" w:type="dxa"/>
            <w:noWrap/>
            <w:hideMark/>
          </w:tcPr>
          <w:p w14:paraId="0DD7E3A5" w14:textId="77777777" w:rsidR="007036B0" w:rsidRPr="009314A8" w:rsidRDefault="007036B0" w:rsidP="00334D2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Age</w:t>
            </w:r>
          </w:p>
        </w:tc>
        <w:tc>
          <w:tcPr>
            <w:tcW w:w="1134" w:type="dxa"/>
            <w:noWrap/>
            <w:hideMark/>
          </w:tcPr>
          <w:p w14:paraId="2E44DC8D" w14:textId="77777777" w:rsidR="007036B0" w:rsidRPr="009314A8" w:rsidRDefault="007036B0" w:rsidP="00334D2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PMD (h)</w:t>
            </w:r>
          </w:p>
        </w:tc>
        <w:tc>
          <w:tcPr>
            <w:tcW w:w="1548" w:type="dxa"/>
            <w:noWrap/>
            <w:hideMark/>
          </w:tcPr>
          <w:p w14:paraId="22CDDC20" w14:textId="77777777" w:rsidR="007036B0" w:rsidRPr="009314A8" w:rsidRDefault="007036B0" w:rsidP="00334D2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proofErr w:type="spellStart"/>
            <w:r w:rsidRPr="009314A8">
              <w:rPr>
                <w:rFonts w:ascii="Times New Roman" w:eastAsia="Times New Roman" w:hAnsi="Times New Roman" w:cs="Times New Roman"/>
                <w:lang w:val="en-GB" w:eastAsia="en-GB"/>
              </w:rPr>
              <w:t>Braak</w:t>
            </w:r>
            <w:proofErr w:type="spellEnd"/>
            <w:r w:rsidRPr="009314A8">
              <w:rPr>
                <w:rFonts w:ascii="Times New Roman" w:eastAsia="Times New Roman" w:hAnsi="Times New Roman" w:cs="Times New Roman"/>
                <w:lang w:val="en-GB" w:eastAsia="en-GB"/>
              </w:rPr>
              <w:t xml:space="preserve"> stage</w:t>
            </w:r>
          </w:p>
        </w:tc>
        <w:tc>
          <w:tcPr>
            <w:tcW w:w="1134" w:type="dxa"/>
            <w:noWrap/>
            <w:hideMark/>
          </w:tcPr>
          <w:p w14:paraId="4E82755E" w14:textId="77777777" w:rsidR="007036B0" w:rsidRPr="009314A8" w:rsidRDefault="007036B0" w:rsidP="00334D2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CERAD</w:t>
            </w:r>
          </w:p>
        </w:tc>
      </w:tr>
      <w:tr w:rsidR="007036B0" w:rsidRPr="006E5BB3" w14:paraId="54FB8FE4" w14:textId="77777777" w:rsidTr="00334D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161814F" w14:textId="77777777" w:rsidR="007036B0" w:rsidRPr="009314A8" w:rsidRDefault="007036B0" w:rsidP="00334D2B">
            <w:pPr>
              <w:jc w:val="center"/>
              <w:rPr>
                <w:rFonts w:ascii="Times New Roman" w:eastAsia="Times New Roman" w:hAnsi="Times New Roman" w:cs="Times New Roman"/>
                <w:i/>
                <w:color w:val="000000"/>
                <w:lang w:val="en-GB" w:eastAsia="en-GB"/>
              </w:rPr>
            </w:pPr>
            <w:r w:rsidRPr="009314A8">
              <w:rPr>
                <w:rFonts w:ascii="Times New Roman" w:eastAsia="Times New Roman" w:hAnsi="Times New Roman" w:cs="Times New Roman"/>
                <w:i/>
                <w:color w:val="000000"/>
                <w:lang w:val="en-GB" w:eastAsia="en-GB"/>
              </w:rPr>
              <w:t>1</w:t>
            </w:r>
          </w:p>
        </w:tc>
        <w:tc>
          <w:tcPr>
            <w:tcW w:w="925" w:type="dxa"/>
            <w:noWrap/>
            <w:hideMark/>
          </w:tcPr>
          <w:p w14:paraId="04AA8F0A"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eastAsia="en-GB"/>
              </w:rPr>
            </w:pPr>
            <w:r w:rsidRPr="009314A8">
              <w:rPr>
                <w:rFonts w:ascii="Times New Roman" w:eastAsia="Times New Roman" w:hAnsi="Times New Roman" w:cs="Times New Roman"/>
                <w:color w:val="000000"/>
                <w:lang w:val="en-GB" w:eastAsia="en-GB"/>
              </w:rPr>
              <w:t>Male</w:t>
            </w:r>
          </w:p>
        </w:tc>
        <w:tc>
          <w:tcPr>
            <w:tcW w:w="774" w:type="dxa"/>
            <w:noWrap/>
            <w:hideMark/>
          </w:tcPr>
          <w:p w14:paraId="1E3E3638"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53</w:t>
            </w:r>
          </w:p>
        </w:tc>
        <w:tc>
          <w:tcPr>
            <w:tcW w:w="1134" w:type="dxa"/>
            <w:noWrap/>
            <w:hideMark/>
          </w:tcPr>
          <w:p w14:paraId="53B2D60A"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6.15</w:t>
            </w:r>
          </w:p>
        </w:tc>
        <w:tc>
          <w:tcPr>
            <w:tcW w:w="1548" w:type="dxa"/>
            <w:noWrap/>
            <w:hideMark/>
          </w:tcPr>
          <w:p w14:paraId="0ECA135B"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eastAsia="en-GB"/>
              </w:rPr>
            </w:pPr>
            <w:r w:rsidRPr="009314A8">
              <w:rPr>
                <w:rFonts w:ascii="Times New Roman" w:eastAsia="Times New Roman" w:hAnsi="Times New Roman" w:cs="Times New Roman"/>
                <w:color w:val="000000"/>
                <w:lang w:val="en-GB" w:eastAsia="en-GB"/>
              </w:rPr>
              <w:t>I</w:t>
            </w:r>
          </w:p>
        </w:tc>
        <w:tc>
          <w:tcPr>
            <w:tcW w:w="1134" w:type="dxa"/>
            <w:noWrap/>
            <w:hideMark/>
          </w:tcPr>
          <w:p w14:paraId="795535BD"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w:t>
            </w:r>
          </w:p>
        </w:tc>
      </w:tr>
      <w:tr w:rsidR="007036B0" w:rsidRPr="006E5BB3" w14:paraId="349F3512" w14:textId="77777777" w:rsidTr="00334D2B">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1CBFDF6" w14:textId="77777777" w:rsidR="007036B0" w:rsidRPr="009314A8" w:rsidRDefault="007036B0" w:rsidP="00334D2B">
            <w:pPr>
              <w:jc w:val="center"/>
              <w:rPr>
                <w:rFonts w:ascii="Times New Roman" w:eastAsia="Times New Roman" w:hAnsi="Times New Roman" w:cs="Times New Roman"/>
                <w:i/>
                <w:color w:val="000000"/>
                <w:lang w:val="en-GB" w:eastAsia="en-GB"/>
              </w:rPr>
            </w:pPr>
            <w:r w:rsidRPr="009314A8">
              <w:rPr>
                <w:rFonts w:ascii="Times New Roman" w:eastAsia="Times New Roman" w:hAnsi="Times New Roman" w:cs="Times New Roman"/>
                <w:i/>
                <w:color w:val="000000"/>
                <w:lang w:val="en-GB" w:eastAsia="en-GB"/>
              </w:rPr>
              <w:t>2</w:t>
            </w:r>
          </w:p>
        </w:tc>
        <w:tc>
          <w:tcPr>
            <w:tcW w:w="925" w:type="dxa"/>
            <w:noWrap/>
            <w:hideMark/>
          </w:tcPr>
          <w:p w14:paraId="19DAA1EF"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eastAsia="en-GB"/>
              </w:rPr>
            </w:pPr>
            <w:r w:rsidRPr="009314A8">
              <w:rPr>
                <w:rFonts w:ascii="Times New Roman" w:eastAsia="Times New Roman" w:hAnsi="Times New Roman" w:cs="Times New Roman"/>
                <w:color w:val="000000"/>
                <w:lang w:val="en-GB" w:eastAsia="en-GB"/>
              </w:rPr>
              <w:t>Male</w:t>
            </w:r>
          </w:p>
        </w:tc>
        <w:tc>
          <w:tcPr>
            <w:tcW w:w="774" w:type="dxa"/>
            <w:noWrap/>
            <w:hideMark/>
          </w:tcPr>
          <w:p w14:paraId="7382FFF3"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74</w:t>
            </w:r>
          </w:p>
        </w:tc>
        <w:tc>
          <w:tcPr>
            <w:tcW w:w="1134" w:type="dxa"/>
            <w:noWrap/>
            <w:hideMark/>
          </w:tcPr>
          <w:p w14:paraId="03A1FAFA"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4.0</w:t>
            </w:r>
          </w:p>
        </w:tc>
        <w:tc>
          <w:tcPr>
            <w:tcW w:w="1548" w:type="dxa"/>
            <w:noWrap/>
            <w:hideMark/>
          </w:tcPr>
          <w:p w14:paraId="7825F94C"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eastAsia="en-GB"/>
              </w:rPr>
            </w:pPr>
            <w:r w:rsidRPr="009314A8">
              <w:rPr>
                <w:rFonts w:ascii="Times New Roman" w:eastAsia="Times New Roman" w:hAnsi="Times New Roman" w:cs="Times New Roman"/>
                <w:color w:val="000000"/>
                <w:lang w:val="en-GB" w:eastAsia="en-GB"/>
              </w:rPr>
              <w:t>I</w:t>
            </w:r>
          </w:p>
        </w:tc>
        <w:tc>
          <w:tcPr>
            <w:tcW w:w="1134" w:type="dxa"/>
            <w:noWrap/>
            <w:hideMark/>
          </w:tcPr>
          <w:p w14:paraId="63D9C674"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color w:val="000000"/>
                <w:lang w:val="en-GB" w:eastAsia="en-GB"/>
              </w:rPr>
              <w:t>0</w:t>
            </w:r>
          </w:p>
        </w:tc>
      </w:tr>
      <w:tr w:rsidR="007036B0" w:rsidRPr="006E5BB3" w14:paraId="4CC97681" w14:textId="77777777" w:rsidTr="00334D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AC3C0B7" w14:textId="77777777" w:rsidR="007036B0" w:rsidRPr="009314A8" w:rsidRDefault="007036B0" w:rsidP="00334D2B">
            <w:pPr>
              <w:jc w:val="center"/>
              <w:rPr>
                <w:rFonts w:ascii="Times New Roman" w:eastAsia="Times New Roman" w:hAnsi="Times New Roman" w:cs="Times New Roman"/>
                <w:i/>
                <w:color w:val="000000"/>
                <w:lang w:val="en-GB" w:eastAsia="en-GB"/>
              </w:rPr>
            </w:pPr>
            <w:r w:rsidRPr="009314A8">
              <w:rPr>
                <w:rFonts w:ascii="Times New Roman" w:eastAsia="Times New Roman" w:hAnsi="Times New Roman" w:cs="Times New Roman"/>
                <w:i/>
                <w:color w:val="000000"/>
                <w:lang w:val="en-GB" w:eastAsia="en-GB"/>
              </w:rPr>
              <w:t>3</w:t>
            </w:r>
          </w:p>
        </w:tc>
        <w:tc>
          <w:tcPr>
            <w:tcW w:w="925" w:type="dxa"/>
            <w:noWrap/>
            <w:hideMark/>
          </w:tcPr>
          <w:p w14:paraId="22C509C5"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M</w:t>
            </w:r>
            <w:r w:rsidRPr="009314A8">
              <w:rPr>
                <w:rFonts w:ascii="Times New Roman" w:eastAsia="Times New Roman" w:hAnsi="Times New Roman" w:cs="Times New Roman"/>
                <w:color w:val="000000"/>
                <w:lang w:val="en-GB" w:eastAsia="en-GB"/>
              </w:rPr>
              <w:t>ale</w:t>
            </w:r>
          </w:p>
        </w:tc>
        <w:tc>
          <w:tcPr>
            <w:tcW w:w="774" w:type="dxa"/>
            <w:noWrap/>
            <w:hideMark/>
          </w:tcPr>
          <w:p w14:paraId="7C148382"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72</w:t>
            </w:r>
          </w:p>
        </w:tc>
        <w:tc>
          <w:tcPr>
            <w:tcW w:w="1134" w:type="dxa"/>
            <w:noWrap/>
            <w:hideMark/>
          </w:tcPr>
          <w:p w14:paraId="3A06143A"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8</w:t>
            </w:r>
            <w:r w:rsidRPr="009314A8">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45</w:t>
            </w:r>
          </w:p>
        </w:tc>
        <w:tc>
          <w:tcPr>
            <w:tcW w:w="1548" w:type="dxa"/>
            <w:noWrap/>
            <w:hideMark/>
          </w:tcPr>
          <w:p w14:paraId="1642D49B"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314A8">
              <w:rPr>
                <w:rFonts w:ascii="Times New Roman" w:eastAsia="Times New Roman" w:hAnsi="Times New Roman" w:cs="Times New Roman"/>
                <w:color w:val="000000"/>
                <w:lang w:val="en-GB" w:eastAsia="en-GB"/>
              </w:rPr>
              <w:t>II</w:t>
            </w:r>
          </w:p>
        </w:tc>
        <w:tc>
          <w:tcPr>
            <w:tcW w:w="1134" w:type="dxa"/>
            <w:noWrap/>
            <w:hideMark/>
          </w:tcPr>
          <w:p w14:paraId="1CE3087D"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314A8">
              <w:rPr>
                <w:rFonts w:ascii="Times New Roman" w:eastAsia="Times New Roman" w:hAnsi="Times New Roman" w:cs="Times New Roman"/>
                <w:color w:val="000000"/>
                <w:lang w:val="en-GB" w:eastAsia="en-GB"/>
              </w:rPr>
              <w:t>A</w:t>
            </w:r>
          </w:p>
        </w:tc>
      </w:tr>
      <w:tr w:rsidR="007036B0" w:rsidRPr="006E5BB3" w14:paraId="509B6893" w14:textId="77777777" w:rsidTr="00334D2B">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7D41D8F" w14:textId="77777777" w:rsidR="007036B0" w:rsidRPr="009314A8" w:rsidRDefault="007036B0" w:rsidP="00334D2B">
            <w:pPr>
              <w:jc w:val="center"/>
              <w:rPr>
                <w:rFonts w:ascii="Times New Roman" w:eastAsia="Times New Roman" w:hAnsi="Times New Roman" w:cs="Times New Roman"/>
                <w:i/>
                <w:color w:val="000000"/>
                <w:lang w:val="en-GB" w:eastAsia="en-GB"/>
              </w:rPr>
            </w:pPr>
            <w:r w:rsidRPr="009314A8">
              <w:rPr>
                <w:rFonts w:ascii="Times New Roman" w:eastAsia="Times New Roman" w:hAnsi="Times New Roman" w:cs="Times New Roman"/>
                <w:i/>
                <w:color w:val="000000"/>
                <w:lang w:val="en-GB" w:eastAsia="en-GB"/>
              </w:rPr>
              <w:t>4</w:t>
            </w:r>
          </w:p>
        </w:tc>
        <w:tc>
          <w:tcPr>
            <w:tcW w:w="925" w:type="dxa"/>
            <w:noWrap/>
            <w:hideMark/>
          </w:tcPr>
          <w:p w14:paraId="4F7EE9F7"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Fem</w:t>
            </w:r>
            <w:r w:rsidRPr="009314A8">
              <w:rPr>
                <w:rFonts w:ascii="Times New Roman" w:eastAsia="Times New Roman" w:hAnsi="Times New Roman" w:cs="Times New Roman"/>
                <w:color w:val="000000"/>
                <w:lang w:val="en-GB" w:eastAsia="en-GB"/>
              </w:rPr>
              <w:t>ale</w:t>
            </w:r>
          </w:p>
        </w:tc>
        <w:tc>
          <w:tcPr>
            <w:tcW w:w="774" w:type="dxa"/>
            <w:noWrap/>
            <w:hideMark/>
          </w:tcPr>
          <w:p w14:paraId="52E27B9A"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66</w:t>
            </w:r>
          </w:p>
        </w:tc>
        <w:tc>
          <w:tcPr>
            <w:tcW w:w="1134" w:type="dxa"/>
            <w:noWrap/>
            <w:hideMark/>
          </w:tcPr>
          <w:p w14:paraId="55AC98BD"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3</w:t>
            </w:r>
            <w:r w:rsidRPr="009314A8">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1</w:t>
            </w:r>
            <w:r w:rsidRPr="009314A8">
              <w:rPr>
                <w:rFonts w:ascii="Times New Roman" w:eastAsia="Times New Roman" w:hAnsi="Times New Roman" w:cs="Times New Roman"/>
                <w:lang w:val="en-GB" w:eastAsia="en-GB"/>
              </w:rPr>
              <w:t>5</w:t>
            </w:r>
          </w:p>
        </w:tc>
        <w:tc>
          <w:tcPr>
            <w:tcW w:w="1548" w:type="dxa"/>
            <w:noWrap/>
            <w:hideMark/>
          </w:tcPr>
          <w:p w14:paraId="596C63AC"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314A8">
              <w:rPr>
                <w:rFonts w:ascii="Times New Roman" w:eastAsia="Times New Roman" w:hAnsi="Times New Roman" w:cs="Times New Roman"/>
                <w:color w:val="000000"/>
                <w:lang w:val="en-GB" w:eastAsia="en-GB"/>
              </w:rPr>
              <w:t>II</w:t>
            </w:r>
          </w:p>
        </w:tc>
        <w:tc>
          <w:tcPr>
            <w:tcW w:w="1134" w:type="dxa"/>
            <w:noWrap/>
            <w:hideMark/>
          </w:tcPr>
          <w:p w14:paraId="2E38B599"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314A8">
              <w:rPr>
                <w:rFonts w:ascii="Times New Roman" w:eastAsia="Times New Roman" w:hAnsi="Times New Roman" w:cs="Times New Roman"/>
                <w:color w:val="000000"/>
                <w:lang w:val="en-GB" w:eastAsia="en-GB"/>
              </w:rPr>
              <w:t>A</w:t>
            </w:r>
          </w:p>
        </w:tc>
      </w:tr>
      <w:tr w:rsidR="007036B0" w:rsidRPr="006E5BB3" w14:paraId="375271BA" w14:textId="77777777" w:rsidTr="00334D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507BFDE" w14:textId="77777777" w:rsidR="007036B0" w:rsidRPr="009314A8" w:rsidRDefault="007036B0" w:rsidP="00334D2B">
            <w:pPr>
              <w:jc w:val="center"/>
              <w:rPr>
                <w:rFonts w:ascii="Times New Roman" w:eastAsia="Times New Roman" w:hAnsi="Times New Roman" w:cs="Times New Roman"/>
                <w:i/>
                <w:lang w:val="en-GB" w:eastAsia="en-GB"/>
              </w:rPr>
            </w:pPr>
            <w:r w:rsidRPr="009314A8">
              <w:rPr>
                <w:rFonts w:ascii="Times New Roman" w:eastAsia="Times New Roman" w:hAnsi="Times New Roman" w:cs="Times New Roman"/>
                <w:i/>
                <w:lang w:val="en-GB" w:eastAsia="en-GB"/>
              </w:rPr>
              <w:t>5</w:t>
            </w:r>
          </w:p>
        </w:tc>
        <w:tc>
          <w:tcPr>
            <w:tcW w:w="925" w:type="dxa"/>
            <w:noWrap/>
            <w:hideMark/>
          </w:tcPr>
          <w:p w14:paraId="45589A24"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314A8">
              <w:rPr>
                <w:rFonts w:ascii="Times New Roman" w:eastAsia="Times New Roman" w:hAnsi="Times New Roman" w:cs="Times New Roman"/>
                <w:lang w:val="en-GB" w:eastAsia="en-GB"/>
              </w:rPr>
              <w:t>Male</w:t>
            </w:r>
          </w:p>
        </w:tc>
        <w:tc>
          <w:tcPr>
            <w:tcW w:w="774" w:type="dxa"/>
            <w:noWrap/>
            <w:hideMark/>
          </w:tcPr>
          <w:p w14:paraId="731E1F88"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314A8">
              <w:rPr>
                <w:rFonts w:ascii="Times New Roman" w:eastAsia="Times New Roman" w:hAnsi="Times New Roman" w:cs="Times New Roman"/>
                <w:lang w:val="en-GB" w:eastAsia="en-GB"/>
              </w:rPr>
              <w:t>74</w:t>
            </w:r>
          </w:p>
        </w:tc>
        <w:tc>
          <w:tcPr>
            <w:tcW w:w="1134" w:type="dxa"/>
            <w:noWrap/>
            <w:hideMark/>
          </w:tcPr>
          <w:p w14:paraId="65AC970B"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314A8">
              <w:rPr>
                <w:rFonts w:ascii="Times New Roman" w:eastAsia="Times New Roman" w:hAnsi="Times New Roman" w:cs="Times New Roman"/>
                <w:lang w:val="en-GB" w:eastAsia="en-GB"/>
              </w:rPr>
              <w:t>6.0</w:t>
            </w:r>
          </w:p>
        </w:tc>
        <w:tc>
          <w:tcPr>
            <w:tcW w:w="1548" w:type="dxa"/>
            <w:noWrap/>
            <w:hideMark/>
          </w:tcPr>
          <w:p w14:paraId="292B7DE7"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V</w:t>
            </w:r>
          </w:p>
        </w:tc>
        <w:tc>
          <w:tcPr>
            <w:tcW w:w="1134" w:type="dxa"/>
            <w:noWrap/>
            <w:hideMark/>
          </w:tcPr>
          <w:p w14:paraId="0489D8E5"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314A8">
              <w:rPr>
                <w:rFonts w:ascii="Times New Roman" w:eastAsia="Times New Roman" w:hAnsi="Times New Roman" w:cs="Times New Roman"/>
                <w:lang w:val="en-GB" w:eastAsia="en-GB"/>
              </w:rPr>
              <w:t>C</w:t>
            </w:r>
          </w:p>
        </w:tc>
      </w:tr>
      <w:tr w:rsidR="007036B0" w:rsidRPr="006E5BB3" w14:paraId="485D6507" w14:textId="77777777" w:rsidTr="00334D2B">
        <w:trPr>
          <w:trHeight w:val="300"/>
        </w:trPr>
        <w:tc>
          <w:tcPr>
            <w:cnfStyle w:val="001000000000" w:firstRow="0" w:lastRow="0" w:firstColumn="1" w:lastColumn="0" w:oddVBand="0" w:evenVBand="0" w:oddHBand="0" w:evenHBand="0" w:firstRowFirstColumn="0" w:firstRowLastColumn="0" w:lastRowFirstColumn="0" w:lastRowLastColumn="0"/>
            <w:tcW w:w="1276" w:type="dxa"/>
            <w:noWrap/>
          </w:tcPr>
          <w:p w14:paraId="70E1D0AC" w14:textId="77777777" w:rsidR="007036B0" w:rsidRPr="009314A8" w:rsidRDefault="007036B0" w:rsidP="00334D2B">
            <w:pPr>
              <w:jc w:val="center"/>
              <w:rPr>
                <w:rFonts w:ascii="Times New Roman" w:eastAsia="Times New Roman" w:hAnsi="Times New Roman" w:cs="Times New Roman"/>
                <w:i/>
                <w:lang w:val="en-GB" w:eastAsia="en-GB"/>
              </w:rPr>
            </w:pPr>
            <w:r w:rsidRPr="009314A8">
              <w:rPr>
                <w:rFonts w:ascii="Times New Roman" w:eastAsia="Times New Roman" w:hAnsi="Times New Roman" w:cs="Times New Roman"/>
                <w:i/>
                <w:lang w:val="en-GB" w:eastAsia="en-GB"/>
              </w:rPr>
              <w:t>6</w:t>
            </w:r>
          </w:p>
        </w:tc>
        <w:tc>
          <w:tcPr>
            <w:tcW w:w="925" w:type="dxa"/>
            <w:noWrap/>
          </w:tcPr>
          <w:p w14:paraId="220F4A1A"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Female</w:t>
            </w:r>
          </w:p>
        </w:tc>
        <w:tc>
          <w:tcPr>
            <w:tcW w:w="774" w:type="dxa"/>
            <w:noWrap/>
          </w:tcPr>
          <w:p w14:paraId="3F9A8569"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89</w:t>
            </w:r>
          </w:p>
        </w:tc>
        <w:tc>
          <w:tcPr>
            <w:tcW w:w="1134" w:type="dxa"/>
            <w:noWrap/>
          </w:tcPr>
          <w:p w14:paraId="25FCEF4D"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5.0</w:t>
            </w:r>
          </w:p>
        </w:tc>
        <w:tc>
          <w:tcPr>
            <w:tcW w:w="1548" w:type="dxa"/>
            <w:noWrap/>
          </w:tcPr>
          <w:p w14:paraId="737534DC"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VI</w:t>
            </w:r>
          </w:p>
        </w:tc>
        <w:tc>
          <w:tcPr>
            <w:tcW w:w="1134" w:type="dxa"/>
            <w:noWrap/>
          </w:tcPr>
          <w:p w14:paraId="7279DE98"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C</w:t>
            </w:r>
          </w:p>
        </w:tc>
      </w:tr>
      <w:tr w:rsidR="007036B0" w:rsidRPr="006E5BB3" w14:paraId="449A73E7" w14:textId="77777777" w:rsidTr="00334D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tcPr>
          <w:p w14:paraId="41F9A877" w14:textId="77777777" w:rsidR="007036B0" w:rsidRPr="009314A8" w:rsidRDefault="007036B0" w:rsidP="00334D2B">
            <w:pPr>
              <w:jc w:val="center"/>
              <w:rPr>
                <w:rFonts w:ascii="Times New Roman" w:eastAsia="Times New Roman" w:hAnsi="Times New Roman" w:cs="Times New Roman"/>
                <w:i/>
                <w:lang w:val="en-GB" w:eastAsia="en-GB"/>
              </w:rPr>
            </w:pPr>
            <w:r w:rsidRPr="009314A8">
              <w:rPr>
                <w:rFonts w:ascii="Times New Roman" w:eastAsia="Times New Roman" w:hAnsi="Times New Roman" w:cs="Times New Roman"/>
                <w:i/>
                <w:lang w:val="en-GB" w:eastAsia="en-GB"/>
              </w:rPr>
              <w:t>7</w:t>
            </w:r>
          </w:p>
        </w:tc>
        <w:tc>
          <w:tcPr>
            <w:tcW w:w="925" w:type="dxa"/>
            <w:noWrap/>
          </w:tcPr>
          <w:p w14:paraId="21C0BECA"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Female</w:t>
            </w:r>
          </w:p>
        </w:tc>
        <w:tc>
          <w:tcPr>
            <w:tcW w:w="774" w:type="dxa"/>
            <w:noWrap/>
          </w:tcPr>
          <w:p w14:paraId="7A6411E3"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80</w:t>
            </w:r>
          </w:p>
        </w:tc>
        <w:tc>
          <w:tcPr>
            <w:tcW w:w="1134" w:type="dxa"/>
            <w:noWrap/>
          </w:tcPr>
          <w:p w14:paraId="6C0F2EBE"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4.15</w:t>
            </w:r>
          </w:p>
        </w:tc>
        <w:tc>
          <w:tcPr>
            <w:tcW w:w="1548" w:type="dxa"/>
            <w:noWrap/>
          </w:tcPr>
          <w:p w14:paraId="1D8123D7"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VI</w:t>
            </w:r>
          </w:p>
        </w:tc>
        <w:tc>
          <w:tcPr>
            <w:tcW w:w="1134" w:type="dxa"/>
            <w:noWrap/>
          </w:tcPr>
          <w:p w14:paraId="7E48A979" w14:textId="77777777" w:rsidR="007036B0" w:rsidRPr="009314A8" w:rsidRDefault="007036B0" w:rsidP="00334D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C</w:t>
            </w:r>
          </w:p>
        </w:tc>
      </w:tr>
      <w:tr w:rsidR="007036B0" w:rsidRPr="006E5BB3" w14:paraId="78846072" w14:textId="77777777" w:rsidTr="00334D2B">
        <w:trPr>
          <w:trHeight w:val="300"/>
        </w:trPr>
        <w:tc>
          <w:tcPr>
            <w:cnfStyle w:val="001000000000" w:firstRow="0" w:lastRow="0" w:firstColumn="1" w:lastColumn="0" w:oddVBand="0" w:evenVBand="0" w:oddHBand="0" w:evenHBand="0" w:firstRowFirstColumn="0" w:firstRowLastColumn="0" w:lastRowFirstColumn="0" w:lastRowLastColumn="0"/>
            <w:tcW w:w="1276" w:type="dxa"/>
            <w:noWrap/>
          </w:tcPr>
          <w:p w14:paraId="745D42F3" w14:textId="77777777" w:rsidR="007036B0" w:rsidRPr="009314A8" w:rsidRDefault="007036B0" w:rsidP="00334D2B">
            <w:pPr>
              <w:jc w:val="center"/>
              <w:rPr>
                <w:rFonts w:ascii="Times New Roman" w:eastAsia="Times New Roman" w:hAnsi="Times New Roman" w:cs="Times New Roman"/>
                <w:i/>
                <w:lang w:val="en-GB" w:eastAsia="en-GB"/>
              </w:rPr>
            </w:pPr>
            <w:r w:rsidRPr="009314A8">
              <w:rPr>
                <w:rFonts w:ascii="Times New Roman" w:eastAsia="Times New Roman" w:hAnsi="Times New Roman" w:cs="Times New Roman"/>
                <w:i/>
                <w:lang w:val="en-GB" w:eastAsia="en-GB"/>
              </w:rPr>
              <w:t>8</w:t>
            </w:r>
          </w:p>
        </w:tc>
        <w:tc>
          <w:tcPr>
            <w:tcW w:w="925" w:type="dxa"/>
            <w:noWrap/>
          </w:tcPr>
          <w:p w14:paraId="38DE62E8"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Male</w:t>
            </w:r>
          </w:p>
        </w:tc>
        <w:tc>
          <w:tcPr>
            <w:tcW w:w="774" w:type="dxa"/>
            <w:noWrap/>
          </w:tcPr>
          <w:p w14:paraId="46853739"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78</w:t>
            </w:r>
          </w:p>
        </w:tc>
        <w:tc>
          <w:tcPr>
            <w:tcW w:w="1134" w:type="dxa"/>
            <w:noWrap/>
          </w:tcPr>
          <w:p w14:paraId="7FA4507B"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5.45</w:t>
            </w:r>
          </w:p>
        </w:tc>
        <w:tc>
          <w:tcPr>
            <w:tcW w:w="1548" w:type="dxa"/>
            <w:noWrap/>
          </w:tcPr>
          <w:p w14:paraId="5DB08986"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V-VI</w:t>
            </w:r>
          </w:p>
        </w:tc>
        <w:tc>
          <w:tcPr>
            <w:tcW w:w="1134" w:type="dxa"/>
            <w:noWrap/>
          </w:tcPr>
          <w:p w14:paraId="5898C9D9" w14:textId="77777777" w:rsidR="007036B0" w:rsidRPr="009314A8" w:rsidRDefault="007036B0" w:rsidP="00334D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GB" w:eastAsia="en-GB"/>
              </w:rPr>
            </w:pPr>
            <w:r w:rsidRPr="009314A8">
              <w:rPr>
                <w:rFonts w:ascii="Times New Roman" w:eastAsia="Times New Roman" w:hAnsi="Times New Roman" w:cs="Times New Roman"/>
                <w:lang w:val="en-GB" w:eastAsia="en-GB"/>
              </w:rPr>
              <w:t>C</w:t>
            </w:r>
          </w:p>
        </w:tc>
      </w:tr>
    </w:tbl>
    <w:p w14:paraId="0974F4B9" w14:textId="77777777" w:rsidR="007036B0" w:rsidRDefault="007036B0" w:rsidP="007036B0"/>
    <w:p w14:paraId="66DD01B2" w14:textId="77777777" w:rsidR="004B6B5A" w:rsidRPr="009C638E" w:rsidRDefault="007036B0" w:rsidP="007036B0">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9C638E">
        <w:rPr>
          <w:rFonts w:ascii="Times New Roman" w:hAnsi="Times New Roman" w:cs="Times New Roman"/>
          <w:sz w:val="24"/>
          <w:szCs w:val="24"/>
          <w:lang w:val="en-GB"/>
        </w:rPr>
        <w:t>Braak</w:t>
      </w:r>
      <w:proofErr w:type="spellEnd"/>
      <w:r w:rsidRPr="009C638E">
        <w:rPr>
          <w:rFonts w:ascii="Times New Roman" w:hAnsi="Times New Roman" w:cs="Times New Roman"/>
          <w:sz w:val="24"/>
          <w:szCs w:val="24"/>
          <w:lang w:val="en-GB"/>
        </w:rPr>
        <w:t xml:space="preserve"> Stages</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Braak</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Braak</w:t>
      </w:r>
      <w:proofErr w:type="spellEnd"/>
      <w:r>
        <w:rPr>
          <w:rFonts w:ascii="Times New Roman" w:hAnsi="Times New Roman" w:cs="Times New Roman"/>
          <w:sz w:val="24"/>
          <w:szCs w:val="24"/>
          <w:lang w:val="en-GB"/>
        </w:rPr>
        <w:t>, 1991)</w:t>
      </w:r>
      <w:r w:rsidRPr="009C638E">
        <w:rPr>
          <w:rFonts w:ascii="Times New Roman" w:hAnsi="Times New Roman" w:cs="Times New Roman"/>
          <w:sz w:val="24"/>
          <w:szCs w:val="24"/>
          <w:lang w:val="en-GB"/>
        </w:rPr>
        <w:t xml:space="preserve">: I–II (NFTs in entorhinal cortex and closely related areas); III–IV (NFTs abundant in amygdala and hippocampus and extending slightly into the association cortex); V–VI (NFTs widely distributed throughout the neocortex and ultimately involving primary motor and sensory areas). CERAD Stages </w:t>
      </w:r>
      <w:r>
        <w:rPr>
          <w:rFonts w:ascii="Times New Roman" w:hAnsi="Times New Roman" w:cs="Times New Roman"/>
          <w:sz w:val="24"/>
          <w:szCs w:val="24"/>
          <w:lang w:val="en-GB"/>
        </w:rPr>
        <w:t>(</w:t>
      </w:r>
      <w:proofErr w:type="spellStart"/>
      <w:r w:rsidRPr="00420187">
        <w:rPr>
          <w:rFonts w:ascii="Times New Roman" w:hAnsi="Times New Roman" w:cs="Times New Roman"/>
          <w:sz w:val="24"/>
          <w:szCs w:val="24"/>
          <w:lang w:val="en-GB"/>
        </w:rPr>
        <w:t>Fillenbaum</w:t>
      </w:r>
      <w:proofErr w:type="spellEnd"/>
      <w:r w:rsidRPr="00420187">
        <w:rPr>
          <w:rFonts w:ascii="Times New Roman" w:hAnsi="Times New Roman" w:cs="Times New Roman"/>
          <w:sz w:val="24"/>
          <w:szCs w:val="24"/>
          <w:lang w:val="en-GB"/>
        </w:rPr>
        <w:t xml:space="preserve"> et al., 2008): A, low density of </w:t>
      </w:r>
      <w:proofErr w:type="spellStart"/>
      <w:r w:rsidRPr="00420187">
        <w:rPr>
          <w:rFonts w:ascii="Times New Roman" w:hAnsi="Times New Roman" w:cs="Times New Roman"/>
          <w:sz w:val="24"/>
          <w:szCs w:val="24"/>
          <w:lang w:val="en-GB"/>
        </w:rPr>
        <w:t>neuritic</w:t>
      </w:r>
      <w:proofErr w:type="spellEnd"/>
      <w:r w:rsidRPr="00420187">
        <w:rPr>
          <w:rFonts w:ascii="Times New Roman" w:hAnsi="Times New Roman" w:cs="Times New Roman"/>
          <w:sz w:val="24"/>
          <w:szCs w:val="24"/>
          <w:lang w:val="en-GB"/>
        </w:rPr>
        <w:t xml:space="preserve"> plaques; B, intermediate density of </w:t>
      </w:r>
      <w:proofErr w:type="spellStart"/>
      <w:r w:rsidRPr="00420187">
        <w:rPr>
          <w:rFonts w:ascii="Times New Roman" w:hAnsi="Times New Roman" w:cs="Times New Roman"/>
          <w:sz w:val="24"/>
          <w:szCs w:val="24"/>
          <w:lang w:val="en-GB"/>
        </w:rPr>
        <w:t>neuritic</w:t>
      </w:r>
      <w:proofErr w:type="spellEnd"/>
      <w:r w:rsidRPr="00420187">
        <w:rPr>
          <w:rFonts w:ascii="Times New Roman" w:hAnsi="Times New Roman" w:cs="Times New Roman"/>
          <w:sz w:val="24"/>
          <w:szCs w:val="24"/>
          <w:lang w:val="en-GB"/>
        </w:rPr>
        <w:t xml:space="preserve"> plaques; C, high density of </w:t>
      </w:r>
      <w:proofErr w:type="spellStart"/>
      <w:r w:rsidRPr="00420187">
        <w:rPr>
          <w:rFonts w:ascii="Times New Roman" w:hAnsi="Times New Roman" w:cs="Times New Roman"/>
          <w:sz w:val="24"/>
          <w:szCs w:val="24"/>
          <w:lang w:val="en-GB"/>
        </w:rPr>
        <w:t>neuritic</w:t>
      </w:r>
      <w:proofErr w:type="spellEnd"/>
      <w:r w:rsidRPr="00420187">
        <w:rPr>
          <w:rFonts w:ascii="Times New Roman" w:hAnsi="Times New Roman" w:cs="Times New Roman"/>
          <w:sz w:val="24"/>
          <w:szCs w:val="24"/>
          <w:lang w:val="en-GB"/>
        </w:rPr>
        <w:t xml:space="preserve"> plaques. PMD, post-mortem delay; CERAD, </w:t>
      </w:r>
      <w:r w:rsidRPr="00420187">
        <w:rPr>
          <w:rFonts w:ascii="Times New Roman" w:hAnsi="Times New Roman" w:cs="Times New Roman"/>
          <w:sz w:val="24"/>
          <w:szCs w:val="24"/>
          <w:shd w:val="clear" w:color="auto" w:fill="FFFFFF"/>
          <w:lang w:val="en-GB"/>
        </w:rPr>
        <w:t>Consortium to Establish a Registry for Alzheimer's Disease</w:t>
      </w:r>
      <w:r>
        <w:rPr>
          <w:rFonts w:ascii="Times New Roman" w:hAnsi="Times New Roman" w:cs="Times New Roman"/>
          <w:sz w:val="24"/>
          <w:szCs w:val="24"/>
          <w:shd w:val="clear" w:color="auto" w:fill="FFFFFF"/>
          <w:lang w:val="en-GB"/>
        </w:rPr>
        <w:t>.</w:t>
      </w:r>
    </w:p>
    <w:p w14:paraId="4796F51C" w14:textId="77777777" w:rsidR="005C7435" w:rsidRDefault="005C7435" w:rsidP="007036B0">
      <w:pPr>
        <w:jc w:val="both"/>
        <w:rPr>
          <w:rFonts w:ascii="Times New Roman" w:hAnsi="Times New Roman" w:cs="Times New Roman"/>
          <w:sz w:val="24"/>
          <w:szCs w:val="24"/>
          <w:lang w:val="en-GB"/>
        </w:rPr>
      </w:pPr>
    </w:p>
    <w:p w14:paraId="7850D546" w14:textId="77777777" w:rsidR="00BD3713" w:rsidRDefault="00BD3713" w:rsidP="007036B0">
      <w:pPr>
        <w:jc w:val="both"/>
        <w:rPr>
          <w:rFonts w:ascii="Times New Roman" w:hAnsi="Times New Roman" w:cs="Times New Roman"/>
          <w:sz w:val="24"/>
          <w:szCs w:val="24"/>
          <w:lang w:val="en-GB"/>
        </w:rPr>
      </w:pPr>
    </w:p>
    <w:p w14:paraId="212006AF" w14:textId="707AF45A" w:rsidR="00BD3713" w:rsidRDefault="00BD3713" w:rsidP="00B077F1">
      <w:pPr>
        <w:autoSpaceDE w:val="0"/>
        <w:autoSpaceDN w:val="0"/>
        <w:adjustRightInd w:val="0"/>
        <w:spacing w:line="480" w:lineRule="auto"/>
        <w:rPr>
          <w:rFonts w:ascii="Times New Roman" w:hAnsi="Times New Roman" w:cs="Times New Roman"/>
          <w:b/>
          <w:sz w:val="24"/>
          <w:szCs w:val="24"/>
          <w:lang w:val="en-GB"/>
        </w:rPr>
      </w:pPr>
      <w:r w:rsidRPr="00056DBF">
        <w:rPr>
          <w:rFonts w:ascii="Times New Roman" w:hAnsi="Times New Roman" w:cs="Times New Roman"/>
          <w:sz w:val="24"/>
          <w:szCs w:val="24"/>
        </w:rPr>
        <w:br w:type="page"/>
      </w:r>
      <w:r w:rsidR="00B077F1">
        <w:rPr>
          <w:rFonts w:ascii="Times New Roman" w:hAnsi="Times New Roman" w:cs="Times New Roman"/>
          <w:sz w:val="24"/>
          <w:szCs w:val="24"/>
          <w:lang w:val="en-GB"/>
        </w:rPr>
        <w:lastRenderedPageBreak/>
        <w:t xml:space="preserve"> </w:t>
      </w:r>
      <w:r w:rsidR="00BE2593">
        <w:rPr>
          <w:rFonts w:ascii="Times New Roman" w:hAnsi="Times New Roman" w:cs="Times New Roman"/>
          <w:b/>
          <w:sz w:val="24"/>
          <w:szCs w:val="24"/>
          <w:lang w:val="en-GB"/>
        </w:rPr>
        <w:t xml:space="preserve">SUPPLEMENTARY </w:t>
      </w:r>
      <w:r w:rsidRPr="00BD3713">
        <w:rPr>
          <w:rFonts w:ascii="Times New Roman" w:hAnsi="Times New Roman" w:cs="Times New Roman"/>
          <w:b/>
          <w:sz w:val="24"/>
          <w:szCs w:val="24"/>
          <w:lang w:val="en-GB"/>
        </w:rPr>
        <w:t>FIGURES</w:t>
      </w:r>
    </w:p>
    <w:p w14:paraId="531F3AFA" w14:textId="77777777" w:rsidR="00BD3713" w:rsidRDefault="00BD3713" w:rsidP="007036B0">
      <w:pPr>
        <w:jc w:val="both"/>
        <w:rPr>
          <w:rFonts w:ascii="Times New Roman" w:hAnsi="Times New Roman" w:cs="Times New Roman"/>
          <w:b/>
          <w:sz w:val="24"/>
          <w:szCs w:val="24"/>
          <w:lang w:val="en-GB"/>
        </w:rPr>
      </w:pPr>
    </w:p>
    <w:p w14:paraId="70266A26" w14:textId="6EAEAAE7" w:rsidR="00BD3713" w:rsidRPr="00BD3713" w:rsidRDefault="00BE2593" w:rsidP="007036B0">
      <w:pPr>
        <w:jc w:val="both"/>
        <w:rPr>
          <w:rFonts w:ascii="Times New Roman" w:hAnsi="Times New Roman" w:cs="Times New Roman"/>
          <w:b/>
          <w:sz w:val="24"/>
          <w:szCs w:val="24"/>
          <w:u w:val="single"/>
          <w:lang w:val="en-GB"/>
        </w:rPr>
      </w:pPr>
      <w:r w:rsidRPr="00BE2593">
        <w:rPr>
          <w:rFonts w:ascii="Times New Roman" w:hAnsi="Times New Roman" w:cs="Times New Roman"/>
          <w:b/>
          <w:sz w:val="24"/>
          <w:szCs w:val="24"/>
          <w:u w:val="single"/>
          <w:lang w:val="en-GB"/>
        </w:rPr>
        <w:t xml:space="preserve">SUPPLEMENTARY </w:t>
      </w:r>
      <w:r w:rsidR="00BD3713" w:rsidRPr="00BD3713">
        <w:rPr>
          <w:rFonts w:ascii="Times New Roman" w:hAnsi="Times New Roman" w:cs="Times New Roman"/>
          <w:b/>
          <w:sz w:val="24"/>
          <w:szCs w:val="24"/>
          <w:u w:val="single"/>
          <w:lang w:val="en-GB"/>
        </w:rPr>
        <w:t>FIGURE 1</w:t>
      </w:r>
    </w:p>
    <w:p w14:paraId="7C759B4E" w14:textId="77777777" w:rsidR="00BD3713" w:rsidRDefault="00BD3713" w:rsidP="007036B0">
      <w:pPr>
        <w:jc w:val="both"/>
        <w:rPr>
          <w:rFonts w:ascii="Times New Roman" w:hAnsi="Times New Roman" w:cs="Times New Roman"/>
          <w:sz w:val="24"/>
          <w:szCs w:val="24"/>
          <w:lang w:val="en-GB"/>
        </w:rPr>
      </w:pPr>
    </w:p>
    <w:p w14:paraId="42843B56" w14:textId="2D9A83DC" w:rsidR="00BD3713" w:rsidRDefault="00BD3713" w:rsidP="00BD3713">
      <w:pPr>
        <w:jc w:val="center"/>
        <w:rPr>
          <w:rFonts w:ascii="Times New Roman" w:hAnsi="Times New Roman" w:cs="Times New Roman"/>
          <w:sz w:val="24"/>
          <w:szCs w:val="24"/>
          <w:lang w:val="en-GB"/>
        </w:rPr>
      </w:pPr>
      <w:r>
        <w:rPr>
          <w:rFonts w:ascii="Times New Roman" w:hAnsi="Times New Roman" w:cs="Times New Roman"/>
          <w:noProof/>
          <w:sz w:val="24"/>
          <w:szCs w:val="24"/>
          <w:lang w:eastAsia="es-ES"/>
        </w:rPr>
        <w:drawing>
          <wp:inline distT="0" distB="0" distL="0" distR="0" wp14:anchorId="01539A88" wp14:editId="629B3804">
            <wp:extent cx="3799125" cy="2924175"/>
            <wp:effectExtent l="0" t="0" r="0" b="0"/>
            <wp:docPr id="1" name="Imagen 1" descr="C:\Users\Rafa Lujan\Desktop\Revised manuscript\Supplementary Figures\Supplementary 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a Lujan\Desktop\Revised manuscript\Supplementary Figures\Supplementary Figure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9125" cy="2924175"/>
                    </a:xfrm>
                    <a:prstGeom prst="rect">
                      <a:avLst/>
                    </a:prstGeom>
                    <a:noFill/>
                    <a:ln>
                      <a:noFill/>
                    </a:ln>
                  </pic:spPr>
                </pic:pic>
              </a:graphicData>
            </a:graphic>
          </wp:inline>
        </w:drawing>
      </w:r>
    </w:p>
    <w:p w14:paraId="65E5397E" w14:textId="77777777" w:rsidR="00BD3713" w:rsidRDefault="00BD3713" w:rsidP="007036B0">
      <w:pPr>
        <w:jc w:val="both"/>
        <w:rPr>
          <w:rFonts w:ascii="Times New Roman" w:hAnsi="Times New Roman" w:cs="Times New Roman"/>
          <w:sz w:val="24"/>
          <w:szCs w:val="24"/>
          <w:lang w:val="en-GB"/>
        </w:rPr>
      </w:pPr>
    </w:p>
    <w:p w14:paraId="4E1901A4" w14:textId="7ED7A3BE" w:rsidR="00BD3713" w:rsidRDefault="00BD3713" w:rsidP="00BD3713">
      <w:pPr>
        <w:spacing w:line="480" w:lineRule="auto"/>
        <w:rPr>
          <w:rFonts w:ascii="Times New Roman" w:hAnsi="Times New Roman" w:cs="Times New Roman"/>
          <w:sz w:val="24"/>
          <w:szCs w:val="24"/>
          <w:lang w:val="en-GB"/>
        </w:rPr>
      </w:pPr>
      <w:proofErr w:type="gramStart"/>
      <w:r>
        <w:rPr>
          <w:rFonts w:ascii="Times New Roman" w:hAnsi="Times New Roman" w:cs="Times New Roman"/>
          <w:b/>
          <w:sz w:val="24"/>
          <w:szCs w:val="24"/>
          <w:lang w:val="en-GB"/>
        </w:rPr>
        <w:t xml:space="preserve">Supplementary </w:t>
      </w:r>
      <w:r w:rsidRPr="004B6B5A">
        <w:rPr>
          <w:rFonts w:ascii="Times New Roman" w:hAnsi="Times New Roman" w:cs="Times New Roman"/>
          <w:b/>
          <w:sz w:val="24"/>
          <w:szCs w:val="24"/>
          <w:lang w:val="en-GB"/>
        </w:rPr>
        <w:t>Figure 1</w:t>
      </w:r>
      <w:r w:rsidRPr="004B6B5A">
        <w:rPr>
          <w:rFonts w:ascii="Times New Roman" w:hAnsi="Times New Roman" w:cs="Times New Roman"/>
          <w:bCs/>
          <w:sz w:val="24"/>
          <w:szCs w:val="24"/>
          <w:lang w:val="en-GB"/>
        </w:rPr>
        <w:t>.</w:t>
      </w:r>
      <w:proofErr w:type="gramEnd"/>
      <w:r w:rsidRPr="004B6B5A">
        <w:rPr>
          <w:rFonts w:ascii="Times New Roman" w:hAnsi="Times New Roman" w:cs="Times New Roman"/>
          <w:bCs/>
          <w:sz w:val="24"/>
          <w:szCs w:val="24"/>
          <w:lang w:val="en-GB"/>
        </w:rPr>
        <w:t xml:space="preserve"> </w:t>
      </w:r>
      <w:proofErr w:type="gramStart"/>
      <w:r w:rsidRPr="004B6B5A">
        <w:rPr>
          <w:rFonts w:ascii="Times New Roman" w:hAnsi="Times New Roman" w:cs="Times New Roman"/>
          <w:b/>
          <w:bCs/>
          <w:i/>
          <w:sz w:val="24"/>
          <w:szCs w:val="24"/>
          <w:lang w:val="en-GB"/>
        </w:rPr>
        <w:t xml:space="preserve">Characterisation and </w:t>
      </w:r>
      <w:r w:rsidRPr="004B6B5A">
        <w:rPr>
          <w:rFonts w:ascii="Times New Roman" w:hAnsi="Times New Roman" w:cs="Times New Roman"/>
          <w:b/>
          <w:i/>
          <w:sz w:val="24"/>
          <w:szCs w:val="24"/>
          <w:lang w:val="en-GB"/>
        </w:rPr>
        <w:t>reactivity of anti-GluA1-4 (pan</w:t>
      </w:r>
      <w:r w:rsidR="00BE2593">
        <w:rPr>
          <w:rFonts w:ascii="Times New Roman" w:hAnsi="Times New Roman" w:cs="Times New Roman"/>
          <w:b/>
          <w:i/>
          <w:sz w:val="24"/>
          <w:szCs w:val="24"/>
          <w:lang w:val="en-GB"/>
        </w:rPr>
        <w:t>-</w:t>
      </w:r>
      <w:r w:rsidRPr="004B6B5A">
        <w:rPr>
          <w:rFonts w:ascii="Times New Roman" w:hAnsi="Times New Roman" w:cs="Times New Roman"/>
          <w:b/>
          <w:i/>
          <w:sz w:val="24"/>
          <w:szCs w:val="24"/>
          <w:lang w:val="en-GB"/>
        </w:rPr>
        <w:t xml:space="preserve">AMPAR) antibody (D160) using </w:t>
      </w:r>
      <w:r>
        <w:rPr>
          <w:rFonts w:ascii="Times New Roman" w:hAnsi="Times New Roman" w:cs="Times New Roman"/>
          <w:b/>
          <w:i/>
          <w:sz w:val="24"/>
          <w:szCs w:val="24"/>
          <w:lang w:val="en-GB"/>
        </w:rPr>
        <w:t>immuno</w:t>
      </w:r>
      <w:r w:rsidRPr="004B6B5A">
        <w:rPr>
          <w:rFonts w:ascii="Times New Roman" w:hAnsi="Times New Roman" w:cs="Times New Roman"/>
          <w:b/>
          <w:i/>
          <w:sz w:val="24"/>
          <w:szCs w:val="24"/>
          <w:lang w:val="en-GB"/>
        </w:rPr>
        <w:t>blots</w:t>
      </w:r>
      <w:r w:rsidRPr="004B6B5A">
        <w:rPr>
          <w:rFonts w:ascii="Times New Roman" w:hAnsi="Times New Roman" w:cs="Times New Roman"/>
          <w:sz w:val="24"/>
          <w:szCs w:val="24"/>
          <w:lang w:val="en-GB"/>
        </w:rPr>
        <w:t>.</w:t>
      </w:r>
      <w:proofErr w:type="gramEnd"/>
      <w:r w:rsidRPr="004B6B5A">
        <w:rPr>
          <w:rFonts w:ascii="Times New Roman" w:hAnsi="Times New Roman" w:cs="Times New Roman"/>
          <w:b/>
          <w:sz w:val="24"/>
          <w:szCs w:val="24"/>
          <w:lang w:val="en-GB"/>
        </w:rPr>
        <w:t xml:space="preserve"> </w:t>
      </w:r>
      <w:r w:rsidRPr="004B6B5A">
        <w:rPr>
          <w:rFonts w:ascii="Times New Roman" w:hAnsi="Times New Roman" w:cs="Times New Roman"/>
          <w:sz w:val="24"/>
          <w:szCs w:val="24"/>
          <w:lang w:val="en-GB"/>
        </w:rPr>
        <w:t xml:space="preserve">HeLa cells were transfected with expression vectors for AMPAR subunits (GluA1-4). Transfected cell lysates were </w:t>
      </w:r>
      <w:proofErr w:type="spellStart"/>
      <w:r w:rsidRPr="004B6B5A">
        <w:rPr>
          <w:rFonts w:ascii="Times New Roman" w:hAnsi="Times New Roman" w:cs="Times New Roman"/>
          <w:sz w:val="24"/>
          <w:szCs w:val="24"/>
          <w:lang w:val="en-GB"/>
        </w:rPr>
        <w:t>immunoprecipitated</w:t>
      </w:r>
      <w:proofErr w:type="spellEnd"/>
      <w:r w:rsidRPr="004B6B5A">
        <w:rPr>
          <w:rFonts w:ascii="Times New Roman" w:hAnsi="Times New Roman" w:cs="Times New Roman"/>
          <w:sz w:val="24"/>
          <w:szCs w:val="24"/>
          <w:lang w:val="en-GB"/>
        </w:rPr>
        <w:t xml:space="preserve"> with subunit-specific antibodies and then immunoblotted with anti-Gl</w:t>
      </w:r>
      <w:r>
        <w:rPr>
          <w:rFonts w:ascii="Times New Roman" w:hAnsi="Times New Roman" w:cs="Times New Roman"/>
          <w:sz w:val="24"/>
          <w:szCs w:val="24"/>
          <w:lang w:val="en-GB"/>
        </w:rPr>
        <w:t>u</w:t>
      </w:r>
      <w:r w:rsidRPr="004B6B5A">
        <w:rPr>
          <w:rFonts w:ascii="Times New Roman" w:hAnsi="Times New Roman" w:cs="Times New Roman"/>
          <w:sz w:val="24"/>
          <w:szCs w:val="24"/>
          <w:lang w:val="en-GB"/>
        </w:rPr>
        <w:t>A1-4 (pan</w:t>
      </w:r>
      <w:r w:rsidR="00BE2593">
        <w:rPr>
          <w:rFonts w:ascii="Times New Roman" w:hAnsi="Times New Roman" w:cs="Times New Roman"/>
          <w:sz w:val="24"/>
          <w:szCs w:val="24"/>
          <w:lang w:val="en-GB"/>
        </w:rPr>
        <w:t>-</w:t>
      </w:r>
      <w:r w:rsidRPr="004B6B5A">
        <w:rPr>
          <w:rFonts w:ascii="Times New Roman" w:hAnsi="Times New Roman" w:cs="Times New Roman"/>
          <w:sz w:val="24"/>
          <w:szCs w:val="24"/>
          <w:lang w:val="en-GB"/>
        </w:rPr>
        <w:t>AMPAR) antibodies (D160 and C095). Both antibodies reacted with all 4 AMPA</w:t>
      </w:r>
      <w:r>
        <w:rPr>
          <w:rFonts w:ascii="Times New Roman" w:hAnsi="Times New Roman" w:cs="Times New Roman"/>
          <w:sz w:val="24"/>
          <w:szCs w:val="24"/>
          <w:lang w:val="en-GB"/>
        </w:rPr>
        <w:t>R</w:t>
      </w:r>
      <w:r w:rsidRPr="004B6B5A">
        <w:rPr>
          <w:rFonts w:ascii="Times New Roman" w:hAnsi="Times New Roman" w:cs="Times New Roman"/>
          <w:sz w:val="24"/>
          <w:szCs w:val="24"/>
          <w:lang w:val="en-GB"/>
        </w:rPr>
        <w:t xml:space="preserve"> subunit proteins (GluA1-4).</w:t>
      </w:r>
    </w:p>
    <w:p w14:paraId="77C0D0AF" w14:textId="77777777" w:rsidR="00BD3713" w:rsidRDefault="00BD3713" w:rsidP="00BD3713">
      <w:pPr>
        <w:spacing w:line="480" w:lineRule="auto"/>
        <w:rPr>
          <w:rFonts w:ascii="Times New Roman" w:hAnsi="Times New Roman" w:cs="Times New Roman"/>
          <w:sz w:val="24"/>
          <w:szCs w:val="24"/>
          <w:lang w:val="en-GB"/>
        </w:rPr>
      </w:pPr>
    </w:p>
    <w:p w14:paraId="3B12C49B" w14:textId="77777777" w:rsidR="00BD3713" w:rsidRDefault="00BD3713" w:rsidP="00BD3713">
      <w:pPr>
        <w:spacing w:line="480" w:lineRule="auto"/>
        <w:rPr>
          <w:rFonts w:ascii="Times New Roman" w:hAnsi="Times New Roman" w:cs="Times New Roman"/>
          <w:sz w:val="24"/>
          <w:szCs w:val="24"/>
          <w:lang w:val="en-GB"/>
        </w:rPr>
      </w:pPr>
    </w:p>
    <w:p w14:paraId="5A0D51E3" w14:textId="77777777" w:rsidR="00BD3713" w:rsidRDefault="00BD3713" w:rsidP="00BD3713">
      <w:pPr>
        <w:spacing w:line="480" w:lineRule="auto"/>
        <w:rPr>
          <w:rFonts w:ascii="Times New Roman" w:hAnsi="Times New Roman" w:cs="Times New Roman"/>
          <w:sz w:val="24"/>
          <w:szCs w:val="24"/>
          <w:lang w:val="en-GB"/>
        </w:rPr>
      </w:pPr>
    </w:p>
    <w:p w14:paraId="4C0B5AAA" w14:textId="77777777" w:rsidR="00BD3713" w:rsidRDefault="00BD3713" w:rsidP="00BD3713">
      <w:pPr>
        <w:spacing w:line="480" w:lineRule="auto"/>
        <w:rPr>
          <w:rFonts w:ascii="Times New Roman" w:hAnsi="Times New Roman" w:cs="Times New Roman"/>
          <w:sz w:val="24"/>
          <w:szCs w:val="24"/>
          <w:lang w:val="en-GB"/>
        </w:rPr>
      </w:pPr>
    </w:p>
    <w:p w14:paraId="6AA2067E" w14:textId="34F0135A" w:rsidR="00BD3713" w:rsidRDefault="00BE2593" w:rsidP="00BD3713">
      <w:pPr>
        <w:spacing w:line="480" w:lineRule="auto"/>
        <w:rPr>
          <w:rFonts w:ascii="Times New Roman" w:hAnsi="Times New Roman" w:cs="Times New Roman"/>
          <w:sz w:val="24"/>
          <w:szCs w:val="24"/>
          <w:lang w:val="en-GB"/>
        </w:rPr>
      </w:pPr>
      <w:r w:rsidRPr="00BE2593">
        <w:rPr>
          <w:rFonts w:ascii="Times New Roman" w:hAnsi="Times New Roman" w:cs="Times New Roman"/>
          <w:b/>
          <w:sz w:val="24"/>
          <w:szCs w:val="24"/>
          <w:u w:val="single"/>
          <w:lang w:val="en-GB"/>
        </w:rPr>
        <w:lastRenderedPageBreak/>
        <w:t xml:space="preserve">SUPPLEMENTARY </w:t>
      </w:r>
      <w:r w:rsidRPr="00BD3713">
        <w:rPr>
          <w:rFonts w:ascii="Times New Roman" w:hAnsi="Times New Roman" w:cs="Times New Roman"/>
          <w:b/>
          <w:sz w:val="24"/>
          <w:szCs w:val="24"/>
          <w:u w:val="single"/>
          <w:lang w:val="en-GB"/>
        </w:rPr>
        <w:t xml:space="preserve">FIGURE </w:t>
      </w:r>
      <w:r>
        <w:rPr>
          <w:rFonts w:ascii="Times New Roman" w:hAnsi="Times New Roman" w:cs="Times New Roman"/>
          <w:b/>
          <w:sz w:val="24"/>
          <w:szCs w:val="24"/>
          <w:u w:val="single"/>
          <w:lang w:val="en-GB"/>
        </w:rPr>
        <w:t>2</w:t>
      </w:r>
    </w:p>
    <w:p w14:paraId="7065A205" w14:textId="4A9C62F4" w:rsidR="00BD3713" w:rsidRPr="004B6B5A" w:rsidRDefault="00BD3713" w:rsidP="00BD3713">
      <w:pPr>
        <w:spacing w:line="480" w:lineRule="auto"/>
        <w:jc w:val="center"/>
        <w:rPr>
          <w:rFonts w:ascii="Times New Roman" w:hAnsi="Times New Roman" w:cs="Times New Roman"/>
          <w:sz w:val="24"/>
          <w:szCs w:val="24"/>
          <w:lang w:val="en-GB"/>
        </w:rPr>
      </w:pPr>
      <w:r>
        <w:rPr>
          <w:rFonts w:ascii="Times New Roman" w:hAnsi="Times New Roman" w:cs="Times New Roman"/>
          <w:noProof/>
          <w:sz w:val="24"/>
          <w:szCs w:val="24"/>
          <w:lang w:eastAsia="es-ES"/>
        </w:rPr>
        <w:drawing>
          <wp:inline distT="0" distB="0" distL="0" distR="0" wp14:anchorId="29A1F178" wp14:editId="7572E099">
            <wp:extent cx="3502025" cy="3681346"/>
            <wp:effectExtent l="0" t="0" r="3175" b="0"/>
            <wp:docPr id="2" name="Imagen 2" descr="C:\Users\Rafa Lujan\Desktop\Revised manuscript\Supplementary Figures\Supplementary 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a Lujan\Desktop\Revised manuscript\Supplementary Figures\Supplementary Figure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2025" cy="3681346"/>
                    </a:xfrm>
                    <a:prstGeom prst="rect">
                      <a:avLst/>
                    </a:prstGeom>
                    <a:noFill/>
                    <a:ln>
                      <a:noFill/>
                    </a:ln>
                  </pic:spPr>
                </pic:pic>
              </a:graphicData>
            </a:graphic>
          </wp:inline>
        </w:drawing>
      </w:r>
    </w:p>
    <w:p w14:paraId="3060CB3E" w14:textId="00BDE597" w:rsidR="00BD3713" w:rsidRPr="00672F5A" w:rsidRDefault="00BD3713" w:rsidP="00BD3713">
      <w:pPr>
        <w:spacing w:line="480" w:lineRule="auto"/>
        <w:rPr>
          <w:rFonts w:ascii="Times New Roman" w:eastAsia="AdvTT5843c571" w:hAnsi="Times New Roman" w:cs="Times New Roman"/>
          <w:sz w:val="24"/>
          <w:szCs w:val="24"/>
          <w:lang w:val="en-GB" w:eastAsia="ja-JP"/>
        </w:rPr>
      </w:pPr>
      <w:proofErr w:type="gramStart"/>
      <w:r>
        <w:rPr>
          <w:rFonts w:ascii="Times New Roman" w:hAnsi="Times New Roman" w:cs="Times New Roman"/>
          <w:b/>
          <w:sz w:val="24"/>
          <w:szCs w:val="24"/>
          <w:lang w:val="en-GB"/>
        </w:rPr>
        <w:t>Supplementary</w:t>
      </w:r>
      <w:r w:rsidRPr="004B6B5A">
        <w:rPr>
          <w:rFonts w:ascii="Times New Roman" w:hAnsi="Times New Roman" w:cs="Times New Roman"/>
          <w:b/>
          <w:bCs/>
          <w:sz w:val="24"/>
          <w:szCs w:val="24"/>
          <w:lang w:val="en-GB"/>
        </w:rPr>
        <w:t xml:space="preserve"> Figure </w:t>
      </w:r>
      <w:r>
        <w:rPr>
          <w:rFonts w:ascii="Times New Roman" w:hAnsi="Times New Roman" w:cs="Times New Roman"/>
          <w:b/>
          <w:bCs/>
          <w:sz w:val="24"/>
          <w:szCs w:val="24"/>
          <w:lang w:val="en-GB"/>
        </w:rPr>
        <w:t>2</w:t>
      </w:r>
      <w:r w:rsidRPr="004B6B5A">
        <w:rPr>
          <w:rFonts w:ascii="Times New Roman" w:hAnsi="Times New Roman" w:cs="Times New Roman"/>
          <w:b/>
          <w:bCs/>
          <w:sz w:val="24"/>
          <w:szCs w:val="24"/>
          <w:lang w:val="en-GB"/>
        </w:rPr>
        <w:t>.</w:t>
      </w:r>
      <w:proofErr w:type="gramEnd"/>
      <w:r w:rsidRPr="004B6B5A">
        <w:rPr>
          <w:rFonts w:ascii="Times New Roman" w:hAnsi="Times New Roman" w:cs="Times New Roman"/>
          <w:b/>
          <w:bCs/>
          <w:sz w:val="24"/>
          <w:szCs w:val="24"/>
          <w:lang w:val="en-GB"/>
        </w:rPr>
        <w:t xml:space="preserve"> </w:t>
      </w:r>
      <w:r w:rsidRPr="004B6B5A">
        <w:rPr>
          <w:rFonts w:ascii="Times New Roman" w:eastAsia="MS Mincho" w:hAnsi="Times New Roman" w:cs="Times New Roman"/>
          <w:b/>
          <w:i/>
          <w:sz w:val="24"/>
          <w:szCs w:val="24"/>
          <w:lang w:val="en-GB" w:eastAsia="ja-JP"/>
        </w:rPr>
        <w:t xml:space="preserve">Representative </w:t>
      </w:r>
      <w:proofErr w:type="gramStart"/>
      <w:r w:rsidRPr="004B6B5A">
        <w:rPr>
          <w:rFonts w:ascii="Times New Roman" w:eastAsia="MS Mincho" w:hAnsi="Times New Roman" w:cs="Times New Roman"/>
          <w:b/>
          <w:i/>
          <w:sz w:val="24"/>
          <w:szCs w:val="24"/>
          <w:lang w:val="en-GB" w:eastAsia="ja-JP"/>
        </w:rPr>
        <w:t>immunoblots</w:t>
      </w:r>
      <w:proofErr w:type="gramEnd"/>
      <w:r w:rsidRPr="004B6B5A">
        <w:rPr>
          <w:rFonts w:ascii="Times New Roman" w:eastAsia="MS Mincho" w:hAnsi="Times New Roman" w:cs="Times New Roman"/>
          <w:b/>
          <w:i/>
          <w:sz w:val="24"/>
          <w:szCs w:val="24"/>
          <w:lang w:val="en-GB" w:eastAsia="ja-JP"/>
        </w:rPr>
        <w:t xml:space="preserve"> of </w:t>
      </w:r>
      <w:r w:rsidR="00BE2593">
        <w:rPr>
          <w:rFonts w:ascii="Times New Roman" w:eastAsia="MS Mincho" w:hAnsi="Times New Roman" w:cs="Times New Roman"/>
          <w:b/>
          <w:i/>
          <w:sz w:val="24"/>
          <w:szCs w:val="24"/>
          <w:lang w:val="en-GB" w:eastAsia="ja-JP"/>
        </w:rPr>
        <w:t>AMPARs</w:t>
      </w:r>
      <w:r w:rsidRPr="004B6B5A">
        <w:rPr>
          <w:rFonts w:ascii="Times New Roman" w:eastAsia="MS Mincho" w:hAnsi="Times New Roman" w:cs="Times New Roman"/>
          <w:b/>
          <w:i/>
          <w:sz w:val="24"/>
          <w:szCs w:val="24"/>
          <w:lang w:val="en-GB" w:eastAsia="ja-JP"/>
        </w:rPr>
        <w:t xml:space="preserve"> in the hippocampus from control and Alzheimer´s patients</w:t>
      </w:r>
      <w:r w:rsidRPr="004B6B5A">
        <w:rPr>
          <w:rFonts w:ascii="Times New Roman" w:hAnsi="Times New Roman" w:cs="Times New Roman"/>
          <w:bCs/>
          <w:sz w:val="24"/>
          <w:szCs w:val="24"/>
          <w:lang w:val="en-GB"/>
        </w:rPr>
        <w:t xml:space="preserve">. (A) </w:t>
      </w:r>
      <w:r w:rsidRPr="004B6B5A">
        <w:rPr>
          <w:rFonts w:ascii="Times New Roman" w:eastAsia="AdvTT5843c571" w:hAnsi="Times New Roman" w:cs="Times New Roman"/>
          <w:sz w:val="24"/>
          <w:szCs w:val="24"/>
          <w:lang w:val="en-GB"/>
        </w:rPr>
        <w:t>Crude membrane preparations were subjected to 7.5% SDS-</w:t>
      </w:r>
      <w:proofErr w:type="gramStart"/>
      <w:r w:rsidRPr="004B6B5A">
        <w:rPr>
          <w:rFonts w:ascii="Times New Roman" w:eastAsia="AdvTT5843c571" w:hAnsi="Times New Roman" w:cs="Times New Roman"/>
          <w:sz w:val="24"/>
          <w:szCs w:val="24"/>
          <w:lang w:val="en-GB"/>
        </w:rPr>
        <w:t>PAGE,</w:t>
      </w:r>
      <w:proofErr w:type="gramEnd"/>
      <w:r w:rsidRPr="004B6B5A">
        <w:rPr>
          <w:rFonts w:ascii="Times New Roman" w:eastAsia="AdvTT5843c571" w:hAnsi="Times New Roman" w:cs="Times New Roman"/>
          <w:sz w:val="24"/>
          <w:szCs w:val="24"/>
          <w:lang w:val="en-GB"/>
        </w:rPr>
        <w:t xml:space="preserve"> transferred onto </w:t>
      </w:r>
      <w:proofErr w:type="spellStart"/>
      <w:r w:rsidRPr="004B6B5A">
        <w:rPr>
          <w:rFonts w:ascii="Times New Roman" w:eastAsia="AdvTT5843c571" w:hAnsi="Times New Roman" w:cs="Times New Roman"/>
          <w:sz w:val="24"/>
          <w:szCs w:val="24"/>
          <w:lang w:val="en-GB"/>
        </w:rPr>
        <w:t>polyvinylidene</w:t>
      </w:r>
      <w:proofErr w:type="spellEnd"/>
      <w:r w:rsidRPr="004B6B5A">
        <w:rPr>
          <w:rFonts w:ascii="Times New Roman" w:eastAsia="AdvTT5843c571" w:hAnsi="Times New Roman" w:cs="Times New Roman"/>
          <w:sz w:val="24"/>
          <w:szCs w:val="24"/>
          <w:lang w:val="en-GB"/>
        </w:rPr>
        <w:t xml:space="preserve"> difluoride membranes. </w:t>
      </w:r>
      <w:r w:rsidRPr="004B6B5A">
        <w:rPr>
          <w:rFonts w:ascii="Times New Roman" w:hAnsi="Times New Roman" w:cs="Times New Roman"/>
          <w:sz w:val="24"/>
          <w:szCs w:val="24"/>
          <w:lang w:val="en-GB"/>
        </w:rPr>
        <w:t xml:space="preserve">Samples were obtained from separate individuals without and with AD symptoms (see Table 1). </w:t>
      </w:r>
      <w:r w:rsidRPr="004B6B5A">
        <w:rPr>
          <w:rFonts w:ascii="Times New Roman" w:eastAsia="AdvTT5843c571" w:hAnsi="Times New Roman" w:cs="Times New Roman"/>
          <w:sz w:val="24"/>
          <w:szCs w:val="24"/>
          <w:lang w:val="en-GB"/>
        </w:rPr>
        <w:t xml:space="preserve">They were reacted with the </w:t>
      </w:r>
      <w:r w:rsidR="00BE2593">
        <w:rPr>
          <w:rFonts w:ascii="Times New Roman" w:eastAsia="AdvTT5843c571" w:hAnsi="Times New Roman" w:cs="Times New Roman"/>
          <w:sz w:val="24"/>
          <w:szCs w:val="24"/>
          <w:lang w:val="en-GB"/>
        </w:rPr>
        <w:t>pan-AMPAR</w:t>
      </w:r>
      <w:r w:rsidRPr="004B6B5A">
        <w:rPr>
          <w:rFonts w:ascii="Times New Roman" w:eastAsia="AdvTT5843c571" w:hAnsi="Times New Roman" w:cs="Times New Roman"/>
          <w:sz w:val="24"/>
          <w:szCs w:val="24"/>
          <w:lang w:val="en-GB"/>
        </w:rPr>
        <w:t xml:space="preserve"> antibody, which </w:t>
      </w:r>
      <w:r w:rsidRPr="004B6B5A">
        <w:rPr>
          <w:rFonts w:ascii="Times New Roman" w:hAnsi="Times New Roman" w:cs="Times New Roman"/>
          <w:bCs/>
          <w:sz w:val="24"/>
          <w:szCs w:val="24"/>
          <w:lang w:val="en-GB"/>
        </w:rPr>
        <w:t xml:space="preserve">identified a single predominant band </w:t>
      </w:r>
      <w:r w:rsidRPr="004B6B5A">
        <w:rPr>
          <w:rFonts w:ascii="Times New Roman" w:eastAsia="NewCenturySchlbk-Roman" w:hAnsi="Times New Roman" w:cs="Times New Roman"/>
          <w:sz w:val="24"/>
          <w:szCs w:val="24"/>
          <w:lang w:val="en-GB"/>
        </w:rPr>
        <w:t>with estimated molecular mass of</w:t>
      </w:r>
      <w:r w:rsidRPr="004B6B5A">
        <w:rPr>
          <w:rFonts w:ascii="Times New Roman" w:hAnsi="Times New Roman" w:cs="Times New Roman"/>
          <w:bCs/>
          <w:sz w:val="24"/>
          <w:szCs w:val="24"/>
          <w:lang w:val="en-GB"/>
        </w:rPr>
        <w:t xml:space="preserve"> 100 </w:t>
      </w:r>
      <w:proofErr w:type="spellStart"/>
      <w:r w:rsidRPr="004B6B5A">
        <w:rPr>
          <w:rFonts w:ascii="Times New Roman" w:hAnsi="Times New Roman" w:cs="Times New Roman"/>
          <w:bCs/>
          <w:sz w:val="24"/>
          <w:szCs w:val="24"/>
          <w:lang w:val="en-GB"/>
        </w:rPr>
        <w:t>kDa</w:t>
      </w:r>
      <w:proofErr w:type="spellEnd"/>
      <w:r w:rsidRPr="004B6B5A">
        <w:rPr>
          <w:rFonts w:ascii="Times New Roman" w:hAnsi="Times New Roman" w:cs="Times New Roman"/>
          <w:bCs/>
          <w:sz w:val="24"/>
          <w:szCs w:val="24"/>
          <w:lang w:val="en-GB"/>
        </w:rPr>
        <w:t xml:space="preserve">. (B) </w:t>
      </w:r>
      <w:r w:rsidRPr="004B6B5A">
        <w:rPr>
          <w:rFonts w:ascii="Times New Roman" w:eastAsia="AdvTT5843c571" w:hAnsi="Times New Roman" w:cs="Times New Roman"/>
          <w:sz w:val="24"/>
          <w:szCs w:val="24"/>
          <w:lang w:val="en-GB"/>
        </w:rPr>
        <w:t xml:space="preserve">The developed immunoblots were scanned and </w:t>
      </w:r>
      <w:proofErr w:type="spellStart"/>
      <w:r w:rsidRPr="004B6B5A">
        <w:rPr>
          <w:rFonts w:ascii="Times New Roman" w:eastAsia="AdvTT5843c571" w:hAnsi="Times New Roman" w:cs="Times New Roman"/>
          <w:sz w:val="24"/>
          <w:szCs w:val="24"/>
          <w:lang w:val="en-GB"/>
        </w:rPr>
        <w:t>densitometric</w:t>
      </w:r>
      <w:proofErr w:type="spellEnd"/>
      <w:r w:rsidRPr="004B6B5A">
        <w:rPr>
          <w:rFonts w:ascii="Times New Roman" w:eastAsia="AdvTT5843c571" w:hAnsi="Times New Roman" w:cs="Times New Roman"/>
          <w:sz w:val="24"/>
          <w:szCs w:val="24"/>
          <w:lang w:val="en-GB"/>
        </w:rPr>
        <w:t xml:space="preserve"> measurements were averaged to compare the immunoreactivities </w:t>
      </w:r>
      <w:r w:rsidRPr="004B6B5A">
        <w:rPr>
          <w:rFonts w:ascii="Times New Roman" w:hAnsi="Times New Roman" w:cs="Times New Roman"/>
          <w:sz w:val="24"/>
          <w:szCs w:val="24"/>
          <w:lang w:val="en-GB"/>
        </w:rPr>
        <w:t>in the hippocampal regions</w:t>
      </w:r>
      <w:r w:rsidRPr="004B6B5A" w:rsidDel="006410C8">
        <w:rPr>
          <w:rFonts w:ascii="Times New Roman" w:eastAsia="AdvTT5843c571" w:hAnsi="Times New Roman" w:cs="Times New Roman"/>
          <w:sz w:val="24"/>
          <w:szCs w:val="24"/>
          <w:lang w:val="en-GB"/>
        </w:rPr>
        <w:t xml:space="preserve"> </w:t>
      </w:r>
      <w:r w:rsidRPr="004B6B5A">
        <w:rPr>
          <w:rFonts w:ascii="Times New Roman" w:eastAsia="AdvTT5843c571" w:hAnsi="Times New Roman" w:cs="Times New Roman"/>
          <w:sz w:val="24"/>
          <w:szCs w:val="24"/>
          <w:lang w:val="en-GB"/>
        </w:rPr>
        <w:t xml:space="preserve">of control and AD brains. </w:t>
      </w:r>
      <w:r w:rsidRPr="004B6B5A">
        <w:rPr>
          <w:rFonts w:ascii="Times New Roman" w:eastAsia="MS Mincho" w:hAnsi="Times New Roman" w:cs="Times New Roman"/>
          <w:sz w:val="24"/>
          <w:szCs w:val="24"/>
          <w:lang w:val="en-GB"/>
        </w:rPr>
        <w:t xml:space="preserve">Quantification of </w:t>
      </w:r>
      <w:r w:rsidRPr="004B6B5A">
        <w:rPr>
          <w:rFonts w:ascii="Times New Roman" w:hAnsi="Times New Roman" w:cs="Times New Roman"/>
          <w:bCs/>
          <w:sz w:val="24"/>
          <w:szCs w:val="24"/>
          <w:lang w:val="en-GB"/>
        </w:rPr>
        <w:t xml:space="preserve">GluA1-4 immunoreactivities were </w:t>
      </w:r>
      <w:r w:rsidRPr="004B6B5A">
        <w:rPr>
          <w:rFonts w:ascii="Times New Roman" w:eastAsia="MS Mincho" w:hAnsi="Times New Roman" w:cs="Times New Roman"/>
          <w:sz w:val="24"/>
          <w:szCs w:val="24"/>
          <w:lang w:val="en-GB"/>
        </w:rPr>
        <w:t xml:space="preserve">normalised to the </w:t>
      </w:r>
      <w:r w:rsidRPr="004B6B5A">
        <w:rPr>
          <w:rFonts w:ascii="Times New Roman" w:eastAsia="MS Mincho" w:hAnsi="Times New Roman" w:cs="Times New Roman"/>
          <w:sz w:val="24"/>
          <w:szCs w:val="24"/>
        </w:rPr>
        <w:t>α</w:t>
      </w:r>
      <w:r w:rsidRPr="004B6B5A">
        <w:rPr>
          <w:rFonts w:ascii="Times New Roman" w:eastAsia="MS Mincho" w:hAnsi="Times New Roman" w:cs="Times New Roman"/>
          <w:sz w:val="24"/>
          <w:szCs w:val="24"/>
          <w:lang w:val="en-GB"/>
        </w:rPr>
        <w:t xml:space="preserve">-tubulin content of the relevant sample and </w:t>
      </w:r>
      <w:r w:rsidRPr="00672F5A">
        <w:rPr>
          <w:rFonts w:ascii="Times New Roman" w:eastAsia="MS Mincho" w:hAnsi="Times New Roman" w:cs="Times New Roman"/>
          <w:sz w:val="24"/>
          <w:szCs w:val="24"/>
          <w:lang w:val="en-GB"/>
        </w:rPr>
        <w:t xml:space="preserve">expressed as pixel density showed </w:t>
      </w:r>
      <w:r w:rsidRPr="00672F5A">
        <w:rPr>
          <w:rFonts w:ascii="Times New Roman" w:hAnsi="Times New Roman" w:cs="Times New Roman"/>
          <w:sz w:val="24"/>
          <w:szCs w:val="24"/>
          <w:lang w:val="en-GB"/>
        </w:rPr>
        <w:t>a significant reduction in the amount of protein when compared AD with controls</w:t>
      </w:r>
      <w:r w:rsidRPr="00672F5A">
        <w:rPr>
          <w:rFonts w:ascii="Times New Roman" w:eastAsia="MS Mincho" w:hAnsi="Times New Roman" w:cs="Times New Roman"/>
          <w:sz w:val="24"/>
          <w:szCs w:val="24"/>
          <w:lang w:val="en-GB"/>
        </w:rPr>
        <w:t>.</w:t>
      </w:r>
      <w:r w:rsidRPr="00672F5A">
        <w:rPr>
          <w:rFonts w:ascii="Times New Roman" w:hAnsi="Times New Roman" w:cs="Times New Roman"/>
          <w:sz w:val="24"/>
          <w:szCs w:val="24"/>
          <w:lang w:val="en-GB"/>
        </w:rPr>
        <w:t xml:space="preserve"> Data are means ± SEM of represented cases.</w:t>
      </w:r>
      <w:r w:rsidRPr="00672F5A">
        <w:rPr>
          <w:rFonts w:ascii="Times New Roman" w:eastAsia="MS Mincho" w:hAnsi="Times New Roman" w:cs="Times New Roman"/>
          <w:sz w:val="24"/>
          <w:szCs w:val="24"/>
          <w:lang w:val="en-GB"/>
        </w:rPr>
        <w:t xml:space="preserve"> ***p&lt;0.001; mean difference</w:t>
      </w:r>
      <w:r w:rsidRPr="00672F5A">
        <w:rPr>
          <w:rFonts w:ascii="Times New Roman" w:hAnsi="Times New Roman" w:cs="Times New Roman"/>
          <w:color w:val="201F1E"/>
          <w:sz w:val="24"/>
          <w:szCs w:val="24"/>
          <w:bdr w:val="none" w:sz="0" w:space="0" w:color="auto" w:frame="1"/>
          <w:lang w:val="en-GB"/>
        </w:rPr>
        <w:t xml:space="preserve"> of 0.38; IC95% (0.22-0.54)</w:t>
      </w:r>
      <w:r w:rsidRPr="00672F5A">
        <w:rPr>
          <w:rFonts w:ascii="Times New Roman" w:eastAsia="MS Mincho" w:hAnsi="Times New Roman" w:cs="Times New Roman"/>
          <w:sz w:val="24"/>
          <w:szCs w:val="24"/>
          <w:lang w:val="en-GB"/>
        </w:rPr>
        <w:t>.</w:t>
      </w:r>
    </w:p>
    <w:p w14:paraId="46D40036" w14:textId="7D06A52B" w:rsidR="00BD3713" w:rsidRDefault="00BE2593" w:rsidP="007036B0">
      <w:pPr>
        <w:jc w:val="both"/>
        <w:rPr>
          <w:rFonts w:ascii="Times New Roman" w:hAnsi="Times New Roman" w:cs="Times New Roman"/>
          <w:b/>
          <w:sz w:val="24"/>
          <w:szCs w:val="24"/>
          <w:u w:val="single"/>
          <w:lang w:val="en-GB"/>
        </w:rPr>
      </w:pPr>
      <w:r w:rsidRPr="00BE2593">
        <w:rPr>
          <w:rFonts w:ascii="Times New Roman" w:hAnsi="Times New Roman" w:cs="Times New Roman"/>
          <w:b/>
          <w:sz w:val="24"/>
          <w:szCs w:val="24"/>
          <w:u w:val="single"/>
          <w:lang w:val="en-GB"/>
        </w:rPr>
        <w:lastRenderedPageBreak/>
        <w:t xml:space="preserve">SUPPLEMENTARY </w:t>
      </w:r>
      <w:r w:rsidRPr="00BD3713">
        <w:rPr>
          <w:rFonts w:ascii="Times New Roman" w:hAnsi="Times New Roman" w:cs="Times New Roman"/>
          <w:b/>
          <w:sz w:val="24"/>
          <w:szCs w:val="24"/>
          <w:u w:val="single"/>
          <w:lang w:val="en-GB"/>
        </w:rPr>
        <w:t xml:space="preserve">FIGURE </w:t>
      </w:r>
      <w:r>
        <w:rPr>
          <w:rFonts w:ascii="Times New Roman" w:hAnsi="Times New Roman" w:cs="Times New Roman"/>
          <w:b/>
          <w:sz w:val="24"/>
          <w:szCs w:val="24"/>
          <w:u w:val="single"/>
          <w:lang w:val="en-GB"/>
        </w:rPr>
        <w:t>3</w:t>
      </w:r>
    </w:p>
    <w:p w14:paraId="2A2F9046" w14:textId="77777777" w:rsidR="00BD3713" w:rsidRDefault="00BD3713" w:rsidP="007036B0">
      <w:pPr>
        <w:jc w:val="both"/>
        <w:rPr>
          <w:rFonts w:ascii="Times New Roman" w:hAnsi="Times New Roman" w:cs="Times New Roman"/>
          <w:sz w:val="24"/>
          <w:szCs w:val="24"/>
          <w:lang w:val="en-GB"/>
        </w:rPr>
      </w:pPr>
    </w:p>
    <w:p w14:paraId="0BD5FF69" w14:textId="383D6A47" w:rsidR="00BD3713" w:rsidRDefault="00BD3713" w:rsidP="00BD3713">
      <w:pPr>
        <w:jc w:val="center"/>
        <w:rPr>
          <w:rFonts w:ascii="Times New Roman" w:hAnsi="Times New Roman" w:cs="Times New Roman"/>
          <w:sz w:val="24"/>
          <w:szCs w:val="24"/>
          <w:lang w:val="en-GB"/>
        </w:rPr>
      </w:pPr>
      <w:r>
        <w:rPr>
          <w:rFonts w:ascii="Times New Roman" w:hAnsi="Times New Roman" w:cs="Times New Roman"/>
          <w:noProof/>
          <w:sz w:val="24"/>
          <w:szCs w:val="24"/>
          <w:lang w:eastAsia="es-ES"/>
        </w:rPr>
        <w:drawing>
          <wp:inline distT="0" distB="0" distL="0" distR="0" wp14:anchorId="2E2ED11B" wp14:editId="1B6FC6EF">
            <wp:extent cx="5367935" cy="2927350"/>
            <wp:effectExtent l="0" t="0" r="4445" b="6350"/>
            <wp:docPr id="3" name="Imagen 3" descr="C:\Users\Rafa Lujan\Desktop\Revised manuscript\Supplementary Figures\Supplementary 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 Lujan\Desktop\Revised manuscript\Supplementary Figures\Supplementary Figure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7935" cy="2927350"/>
                    </a:xfrm>
                    <a:prstGeom prst="rect">
                      <a:avLst/>
                    </a:prstGeom>
                    <a:noFill/>
                    <a:ln>
                      <a:noFill/>
                    </a:ln>
                  </pic:spPr>
                </pic:pic>
              </a:graphicData>
            </a:graphic>
          </wp:inline>
        </w:drawing>
      </w:r>
    </w:p>
    <w:p w14:paraId="1C6040A1" w14:textId="178735AE" w:rsidR="00BD3713" w:rsidRPr="00BD3713" w:rsidRDefault="00BD3713" w:rsidP="00BD3713">
      <w:pPr>
        <w:autoSpaceDE w:val="0"/>
        <w:autoSpaceDN w:val="0"/>
        <w:adjustRightInd w:val="0"/>
        <w:spacing w:line="480" w:lineRule="auto"/>
        <w:rPr>
          <w:rFonts w:ascii="Times New Roman" w:hAnsi="Times New Roman" w:cs="Times New Roman"/>
          <w:sz w:val="24"/>
          <w:szCs w:val="24"/>
        </w:rPr>
      </w:pPr>
      <w:proofErr w:type="gramStart"/>
      <w:r w:rsidRPr="00BD3713">
        <w:rPr>
          <w:rFonts w:ascii="Times New Roman" w:hAnsi="Times New Roman" w:cs="Times New Roman"/>
          <w:b/>
          <w:sz w:val="24"/>
          <w:szCs w:val="24"/>
          <w:lang w:val="en-GB"/>
        </w:rPr>
        <w:t>Supplementary</w:t>
      </w:r>
      <w:r w:rsidRPr="00BD3713">
        <w:rPr>
          <w:rFonts w:ascii="Times New Roman" w:hAnsi="Times New Roman" w:cs="Times New Roman"/>
          <w:b/>
          <w:bCs/>
          <w:sz w:val="24"/>
          <w:szCs w:val="24"/>
          <w:lang w:val="en-GB"/>
        </w:rPr>
        <w:t xml:space="preserve"> Figure 3</w:t>
      </w:r>
      <w:r w:rsidRPr="00BD3713">
        <w:rPr>
          <w:rFonts w:ascii="Times New Roman" w:hAnsi="Times New Roman" w:cs="Times New Roman"/>
          <w:bCs/>
          <w:sz w:val="24"/>
          <w:szCs w:val="24"/>
          <w:lang w:val="en-GB"/>
        </w:rPr>
        <w:t>.</w:t>
      </w:r>
      <w:proofErr w:type="gramEnd"/>
      <w:r w:rsidRPr="00BD3713">
        <w:rPr>
          <w:rFonts w:ascii="Times New Roman" w:hAnsi="Times New Roman" w:cs="Times New Roman"/>
          <w:bCs/>
          <w:sz w:val="24"/>
          <w:szCs w:val="24"/>
          <w:lang w:val="en-GB"/>
        </w:rPr>
        <w:t xml:space="preserve"> </w:t>
      </w:r>
      <w:proofErr w:type="gramStart"/>
      <w:r w:rsidRPr="00BD3713">
        <w:rPr>
          <w:rFonts w:ascii="Times New Roman" w:hAnsi="Times New Roman" w:cs="Times New Roman"/>
          <w:b/>
          <w:bCs/>
          <w:i/>
          <w:sz w:val="24"/>
          <w:szCs w:val="24"/>
          <w:lang w:val="en-GB"/>
        </w:rPr>
        <w:t xml:space="preserve">Co-localisation of </w:t>
      </w:r>
      <w:r w:rsidRPr="00BD3713">
        <w:rPr>
          <w:rFonts w:ascii="Times New Roman" w:eastAsia="AdvTT5843c571" w:hAnsi="Times New Roman" w:cs="Times New Roman"/>
          <w:b/>
          <w:i/>
          <w:sz w:val="24"/>
          <w:szCs w:val="24"/>
          <w:lang w:val="en-GB" w:eastAsia="ja-JP"/>
        </w:rPr>
        <w:t>GluA2/3</w:t>
      </w:r>
      <w:r w:rsidRPr="00BD3713">
        <w:rPr>
          <w:rFonts w:ascii="Times New Roman" w:hAnsi="Times New Roman" w:cs="Times New Roman"/>
          <w:b/>
          <w:bCs/>
          <w:i/>
          <w:sz w:val="24"/>
          <w:szCs w:val="24"/>
          <w:lang w:val="en-GB"/>
        </w:rPr>
        <w:t xml:space="preserve"> receptors with marker proteins</w:t>
      </w:r>
      <w:r w:rsidRPr="00BD3713">
        <w:rPr>
          <w:rFonts w:ascii="Times New Roman" w:hAnsi="Times New Roman" w:cs="Times New Roman"/>
          <w:bCs/>
          <w:sz w:val="24"/>
          <w:szCs w:val="24"/>
          <w:lang w:val="en-GB"/>
        </w:rPr>
        <w:t xml:space="preserve"> </w:t>
      </w:r>
      <w:r w:rsidRPr="00BD3713">
        <w:rPr>
          <w:rFonts w:ascii="Times New Roman" w:eastAsia="MS Mincho" w:hAnsi="Times New Roman" w:cs="Times New Roman"/>
          <w:b/>
          <w:i/>
          <w:sz w:val="24"/>
          <w:szCs w:val="24"/>
          <w:lang w:val="en-GB" w:eastAsia="ja-JP"/>
        </w:rPr>
        <w:t>in APP/PS1 mice at 12 months</w:t>
      </w:r>
      <w:r w:rsidRPr="00BD3713">
        <w:rPr>
          <w:rFonts w:ascii="Times New Roman" w:hAnsi="Times New Roman" w:cs="Times New Roman"/>
          <w:sz w:val="24"/>
          <w:szCs w:val="24"/>
          <w:lang w:val="en-GB"/>
        </w:rPr>
        <w:t>.</w:t>
      </w:r>
      <w:proofErr w:type="gramEnd"/>
      <w:r w:rsidRPr="00BD3713">
        <w:rPr>
          <w:rFonts w:ascii="Times New Roman" w:hAnsi="Times New Roman" w:cs="Times New Roman"/>
          <w:sz w:val="24"/>
          <w:szCs w:val="24"/>
          <w:lang w:val="en-GB"/>
        </w:rPr>
        <w:t xml:space="preserve"> (</w:t>
      </w:r>
      <w:r w:rsidRPr="00BD3713">
        <w:rPr>
          <w:rFonts w:ascii="Times New Roman" w:hAnsi="Times New Roman" w:cs="Times New Roman"/>
          <w:bCs/>
          <w:iCs/>
          <w:sz w:val="24"/>
          <w:szCs w:val="24"/>
          <w:lang w:val="en-GB"/>
        </w:rPr>
        <w:t xml:space="preserve">A-F) </w:t>
      </w:r>
      <w:proofErr w:type="gramStart"/>
      <w:r w:rsidRPr="00BD3713">
        <w:rPr>
          <w:rFonts w:ascii="Times New Roman" w:eastAsia="AdvTT5843c571" w:hAnsi="Times New Roman" w:cs="Times New Roman"/>
          <w:sz w:val="24"/>
          <w:szCs w:val="24"/>
          <w:lang w:val="en-GB" w:eastAsia="ja-JP"/>
        </w:rPr>
        <w:t>Immunofluorescence for GluA2/3 (green) and Rab4 (red), Rab5 (red) and EEA1 (red) in wild type and APP/PS1 mice.</w:t>
      </w:r>
      <w:proofErr w:type="gramEnd"/>
      <w:r w:rsidRPr="00BD3713">
        <w:rPr>
          <w:rFonts w:ascii="Times New Roman" w:eastAsia="AdvTT5843c571" w:hAnsi="Times New Roman" w:cs="Times New Roman"/>
          <w:sz w:val="24"/>
          <w:szCs w:val="24"/>
          <w:lang w:val="en-GB" w:eastAsia="ja-JP"/>
        </w:rPr>
        <w:t xml:space="preserve"> The overlay between GluA2/3 and each marker protein can be seen in yellow (A3-F3).</w:t>
      </w:r>
      <w:r w:rsidRPr="00BD3713">
        <w:rPr>
          <w:rFonts w:ascii="Times New Roman" w:hAnsi="Times New Roman" w:cs="Times New Roman"/>
          <w:sz w:val="24"/>
          <w:szCs w:val="24"/>
          <w:lang w:val="en-GB"/>
        </w:rPr>
        <w:t xml:space="preserve"> Co-localisation between </w:t>
      </w:r>
      <w:r w:rsidRPr="00BD3713">
        <w:rPr>
          <w:rFonts w:ascii="Times New Roman" w:eastAsia="AdvTT5843c571" w:hAnsi="Times New Roman" w:cs="Times New Roman"/>
          <w:sz w:val="24"/>
          <w:szCs w:val="24"/>
          <w:lang w:val="en-GB" w:eastAsia="ja-JP"/>
        </w:rPr>
        <w:t>GluA2/3</w:t>
      </w:r>
      <w:r w:rsidRPr="00BD3713">
        <w:rPr>
          <w:rFonts w:ascii="Times New Roman" w:hAnsi="Times New Roman" w:cs="Times New Roman"/>
          <w:sz w:val="24"/>
          <w:szCs w:val="24"/>
          <w:lang w:val="en-GB"/>
        </w:rPr>
        <w:t xml:space="preserve"> and the different marker proteins was detected mainly in the </w:t>
      </w:r>
      <w:proofErr w:type="spellStart"/>
      <w:r w:rsidRPr="00BD3713">
        <w:rPr>
          <w:rFonts w:ascii="Times New Roman" w:hAnsi="Times New Roman" w:cs="Times New Roman"/>
          <w:sz w:val="24"/>
          <w:szCs w:val="24"/>
          <w:lang w:val="en-GB"/>
        </w:rPr>
        <w:t>somata</w:t>
      </w:r>
      <w:proofErr w:type="spellEnd"/>
      <w:r w:rsidRPr="00BD3713">
        <w:rPr>
          <w:rFonts w:ascii="Times New Roman" w:hAnsi="Times New Roman" w:cs="Times New Roman"/>
          <w:sz w:val="24"/>
          <w:szCs w:val="24"/>
          <w:lang w:val="en-GB"/>
        </w:rPr>
        <w:t xml:space="preserve"> of pyramidal cells in the </w:t>
      </w:r>
      <w:r w:rsidRPr="00BD3713">
        <w:rPr>
          <w:rFonts w:ascii="Times New Roman" w:hAnsi="Times New Roman" w:cs="Times New Roman"/>
          <w:i/>
          <w:sz w:val="24"/>
          <w:szCs w:val="24"/>
          <w:lang w:val="en-GB"/>
        </w:rPr>
        <w:t xml:space="preserve">stratum </w:t>
      </w:r>
      <w:proofErr w:type="spellStart"/>
      <w:r w:rsidRPr="00BD3713">
        <w:rPr>
          <w:rFonts w:ascii="Times New Roman" w:hAnsi="Times New Roman" w:cs="Times New Roman"/>
          <w:i/>
          <w:sz w:val="24"/>
          <w:szCs w:val="24"/>
          <w:lang w:val="en-GB"/>
        </w:rPr>
        <w:t>pyramidale</w:t>
      </w:r>
      <w:proofErr w:type="spellEnd"/>
      <w:r w:rsidRPr="00BD3713">
        <w:rPr>
          <w:rFonts w:ascii="Times New Roman" w:hAnsi="Times New Roman" w:cs="Times New Roman"/>
          <w:sz w:val="24"/>
          <w:szCs w:val="24"/>
          <w:lang w:val="en-GB"/>
        </w:rPr>
        <w:t xml:space="preserve">, but no differences in the frequency of co-localisation was observed in the APP/PS1 mice compared to </w:t>
      </w:r>
      <w:r w:rsidRPr="00BD3713">
        <w:rPr>
          <w:rFonts w:ascii="Times New Roman" w:eastAsia="MS Mincho" w:hAnsi="Times New Roman" w:cs="Times New Roman"/>
          <w:sz w:val="24"/>
          <w:szCs w:val="24"/>
          <w:lang w:val="en-GB" w:eastAsia="ja-JP"/>
        </w:rPr>
        <w:t xml:space="preserve">age-matched controls (Rab4: 0.0009% </w:t>
      </w:r>
      <w:r w:rsidRPr="00BD3713">
        <w:rPr>
          <w:rFonts w:ascii="Times New Roman" w:eastAsia="MS Mincho" w:hAnsi="Times New Roman" w:cs="Times New Roman"/>
          <w:sz w:val="24"/>
          <w:szCs w:val="24"/>
          <w:lang w:val="en-GB"/>
        </w:rPr>
        <w:t xml:space="preserve">± </w:t>
      </w:r>
      <w:r w:rsidRPr="00BD3713">
        <w:rPr>
          <w:rFonts w:ascii="Times New Roman" w:eastAsia="MS Mincho" w:hAnsi="Times New Roman" w:cs="Times New Roman"/>
          <w:sz w:val="24"/>
          <w:szCs w:val="24"/>
          <w:lang w:val="en-GB" w:eastAsia="ja-JP"/>
        </w:rPr>
        <w:t xml:space="preserve">0.00009 in WT and 0.0009% </w:t>
      </w:r>
      <w:r w:rsidRPr="00BD3713">
        <w:rPr>
          <w:rFonts w:ascii="Times New Roman" w:eastAsia="MS Mincho" w:hAnsi="Times New Roman" w:cs="Times New Roman"/>
          <w:sz w:val="24"/>
          <w:szCs w:val="24"/>
          <w:lang w:val="en-GB"/>
        </w:rPr>
        <w:t xml:space="preserve">± </w:t>
      </w:r>
      <w:r w:rsidRPr="00BD3713">
        <w:rPr>
          <w:rFonts w:ascii="Times New Roman" w:eastAsia="MS Mincho" w:hAnsi="Times New Roman" w:cs="Times New Roman"/>
          <w:sz w:val="24"/>
          <w:szCs w:val="24"/>
          <w:lang w:val="en-GB" w:eastAsia="ja-JP"/>
        </w:rPr>
        <w:t xml:space="preserve">0.00021 in APP/PS1; Rab5: 0.0012% </w:t>
      </w:r>
      <w:r w:rsidRPr="00BD3713">
        <w:rPr>
          <w:rFonts w:ascii="Times New Roman" w:eastAsia="MS Mincho" w:hAnsi="Times New Roman" w:cs="Times New Roman"/>
          <w:sz w:val="24"/>
          <w:szCs w:val="24"/>
          <w:lang w:val="en-GB"/>
        </w:rPr>
        <w:t xml:space="preserve">± </w:t>
      </w:r>
      <w:r w:rsidRPr="00BD3713">
        <w:rPr>
          <w:rFonts w:ascii="Times New Roman" w:eastAsia="MS Mincho" w:hAnsi="Times New Roman" w:cs="Times New Roman"/>
          <w:sz w:val="24"/>
          <w:szCs w:val="24"/>
          <w:lang w:val="en-GB" w:eastAsia="ja-JP"/>
        </w:rPr>
        <w:t xml:space="preserve">0.0001 in WT and 0.0012% </w:t>
      </w:r>
      <w:r w:rsidRPr="00BD3713">
        <w:rPr>
          <w:rFonts w:ascii="Times New Roman" w:eastAsia="MS Mincho" w:hAnsi="Times New Roman" w:cs="Times New Roman"/>
          <w:sz w:val="24"/>
          <w:szCs w:val="24"/>
          <w:lang w:val="en-GB"/>
        </w:rPr>
        <w:t xml:space="preserve">± </w:t>
      </w:r>
      <w:r w:rsidRPr="00BD3713">
        <w:rPr>
          <w:rFonts w:ascii="Times New Roman" w:eastAsia="MS Mincho" w:hAnsi="Times New Roman" w:cs="Times New Roman"/>
          <w:sz w:val="24"/>
          <w:szCs w:val="24"/>
          <w:lang w:val="en-GB" w:eastAsia="ja-JP"/>
        </w:rPr>
        <w:t xml:space="preserve">0.0002 in APP/PS1; EEA1: 0.0011% </w:t>
      </w:r>
      <w:r w:rsidRPr="00BD3713">
        <w:rPr>
          <w:rFonts w:ascii="Times New Roman" w:eastAsia="MS Mincho" w:hAnsi="Times New Roman" w:cs="Times New Roman"/>
          <w:sz w:val="24"/>
          <w:szCs w:val="24"/>
          <w:lang w:val="en-GB"/>
        </w:rPr>
        <w:t xml:space="preserve">± </w:t>
      </w:r>
      <w:r w:rsidRPr="00BD3713">
        <w:rPr>
          <w:rFonts w:ascii="Times New Roman" w:eastAsia="MS Mincho" w:hAnsi="Times New Roman" w:cs="Times New Roman"/>
          <w:sz w:val="24"/>
          <w:szCs w:val="24"/>
          <w:lang w:val="en-GB" w:eastAsia="ja-JP"/>
        </w:rPr>
        <w:t xml:space="preserve">0.0002 in WT and 0.0011% </w:t>
      </w:r>
      <w:r w:rsidRPr="00BD3713">
        <w:rPr>
          <w:rFonts w:ascii="Times New Roman" w:eastAsia="MS Mincho" w:hAnsi="Times New Roman" w:cs="Times New Roman"/>
          <w:sz w:val="24"/>
          <w:szCs w:val="24"/>
          <w:lang w:val="en-GB"/>
        </w:rPr>
        <w:t xml:space="preserve">± </w:t>
      </w:r>
      <w:r w:rsidRPr="00BD3713">
        <w:rPr>
          <w:rFonts w:ascii="Times New Roman" w:eastAsia="MS Mincho" w:hAnsi="Times New Roman" w:cs="Times New Roman"/>
          <w:sz w:val="24"/>
          <w:szCs w:val="24"/>
          <w:lang w:val="en-GB" w:eastAsia="ja-JP"/>
        </w:rPr>
        <w:t>0.0001 in APP/PS1). No statistical significance was found using the student-t test with the Holm-</w:t>
      </w:r>
      <w:proofErr w:type="spellStart"/>
      <w:r w:rsidRPr="00BD3713">
        <w:rPr>
          <w:rFonts w:ascii="Times New Roman" w:eastAsia="MS Mincho" w:hAnsi="Times New Roman" w:cs="Times New Roman"/>
          <w:sz w:val="24"/>
          <w:szCs w:val="24"/>
          <w:lang w:val="en-GB" w:eastAsia="ja-JP"/>
        </w:rPr>
        <w:t>Sidak</w:t>
      </w:r>
      <w:proofErr w:type="spellEnd"/>
      <w:r w:rsidRPr="00BD3713">
        <w:rPr>
          <w:rFonts w:ascii="Times New Roman" w:eastAsia="MS Mincho" w:hAnsi="Times New Roman" w:cs="Times New Roman"/>
          <w:sz w:val="24"/>
          <w:szCs w:val="24"/>
          <w:lang w:val="en-GB" w:eastAsia="ja-JP"/>
        </w:rPr>
        <w:t xml:space="preserve"> correction. </w:t>
      </w:r>
      <w:proofErr w:type="gramStart"/>
      <w:r w:rsidRPr="00BD3713">
        <w:rPr>
          <w:rFonts w:ascii="Times New Roman" w:eastAsia="MS Mincho" w:hAnsi="Times New Roman" w:cs="Times New Roman"/>
          <w:sz w:val="24"/>
          <w:szCs w:val="24"/>
          <w:lang w:val="en-GB" w:eastAsia="ja-JP"/>
        </w:rPr>
        <w:t>so</w:t>
      </w:r>
      <w:proofErr w:type="gramEnd"/>
      <w:r w:rsidRPr="00BD3713">
        <w:rPr>
          <w:rFonts w:ascii="Times New Roman" w:eastAsia="MS Mincho" w:hAnsi="Times New Roman" w:cs="Times New Roman"/>
          <w:sz w:val="24"/>
          <w:szCs w:val="24"/>
          <w:lang w:val="en-GB" w:eastAsia="ja-JP"/>
        </w:rPr>
        <w:t xml:space="preserve">, </w:t>
      </w:r>
      <w:r w:rsidRPr="00BD3713">
        <w:rPr>
          <w:rFonts w:ascii="Times New Roman" w:eastAsia="MS Mincho" w:hAnsi="Times New Roman" w:cs="Times New Roman"/>
          <w:i/>
          <w:sz w:val="24"/>
          <w:szCs w:val="24"/>
          <w:lang w:val="en-GB" w:eastAsia="ja-JP"/>
        </w:rPr>
        <w:t xml:space="preserve">stratum </w:t>
      </w:r>
      <w:proofErr w:type="spellStart"/>
      <w:r w:rsidRPr="00BD3713">
        <w:rPr>
          <w:rFonts w:ascii="Times New Roman" w:eastAsia="MS Mincho" w:hAnsi="Times New Roman" w:cs="Times New Roman"/>
          <w:i/>
          <w:sz w:val="24"/>
          <w:szCs w:val="24"/>
          <w:lang w:val="en-GB" w:eastAsia="ja-JP"/>
        </w:rPr>
        <w:t>oriens</w:t>
      </w:r>
      <w:proofErr w:type="spellEnd"/>
      <w:r w:rsidRPr="00BD3713">
        <w:rPr>
          <w:rFonts w:ascii="Times New Roman" w:eastAsia="MS Mincho" w:hAnsi="Times New Roman" w:cs="Times New Roman"/>
          <w:sz w:val="24"/>
          <w:szCs w:val="24"/>
          <w:lang w:val="en-GB" w:eastAsia="ja-JP"/>
        </w:rPr>
        <w:t xml:space="preserve">; </w:t>
      </w:r>
      <w:proofErr w:type="spellStart"/>
      <w:r w:rsidRPr="00BD3713">
        <w:rPr>
          <w:rFonts w:ascii="Times New Roman" w:eastAsia="MS Mincho" w:hAnsi="Times New Roman" w:cs="Times New Roman"/>
          <w:iCs/>
          <w:sz w:val="24"/>
          <w:szCs w:val="24"/>
          <w:lang w:val="en-GB" w:eastAsia="ja-JP"/>
        </w:rPr>
        <w:t>sp</w:t>
      </w:r>
      <w:proofErr w:type="spellEnd"/>
      <w:r w:rsidRPr="00BD3713">
        <w:rPr>
          <w:rFonts w:ascii="Times New Roman" w:eastAsia="MS Mincho" w:hAnsi="Times New Roman" w:cs="Times New Roman"/>
          <w:iCs/>
          <w:sz w:val="24"/>
          <w:szCs w:val="24"/>
          <w:lang w:val="en-GB" w:eastAsia="ja-JP"/>
        </w:rPr>
        <w:t xml:space="preserve">, </w:t>
      </w:r>
      <w:r w:rsidRPr="00BD3713">
        <w:rPr>
          <w:rFonts w:ascii="Times New Roman" w:eastAsia="MS Mincho" w:hAnsi="Times New Roman" w:cs="Times New Roman"/>
          <w:i/>
          <w:sz w:val="24"/>
          <w:szCs w:val="24"/>
          <w:lang w:val="en-GB" w:eastAsia="ja-JP"/>
        </w:rPr>
        <w:t xml:space="preserve">stratum </w:t>
      </w:r>
      <w:proofErr w:type="spellStart"/>
      <w:r w:rsidRPr="00BD3713">
        <w:rPr>
          <w:rFonts w:ascii="Times New Roman" w:eastAsia="MS Mincho" w:hAnsi="Times New Roman" w:cs="Times New Roman"/>
          <w:i/>
          <w:sz w:val="24"/>
          <w:szCs w:val="24"/>
          <w:lang w:val="en-GB" w:eastAsia="ja-JP"/>
        </w:rPr>
        <w:t>pyramidale</w:t>
      </w:r>
      <w:proofErr w:type="spellEnd"/>
      <w:r w:rsidRPr="00BD3713">
        <w:rPr>
          <w:rFonts w:ascii="Times New Roman" w:eastAsia="MS Mincho" w:hAnsi="Times New Roman" w:cs="Times New Roman"/>
          <w:sz w:val="24"/>
          <w:szCs w:val="24"/>
          <w:lang w:val="en-GB" w:eastAsia="ja-JP"/>
        </w:rPr>
        <w:t xml:space="preserve">; </w:t>
      </w:r>
      <w:proofErr w:type="spellStart"/>
      <w:r w:rsidRPr="00BD3713">
        <w:rPr>
          <w:rFonts w:ascii="Times New Roman" w:eastAsia="MS Mincho" w:hAnsi="Times New Roman" w:cs="Times New Roman"/>
          <w:sz w:val="24"/>
          <w:szCs w:val="24"/>
          <w:lang w:val="en-GB" w:eastAsia="ja-JP"/>
        </w:rPr>
        <w:t>sr</w:t>
      </w:r>
      <w:proofErr w:type="spellEnd"/>
      <w:r w:rsidRPr="00BD3713">
        <w:rPr>
          <w:rFonts w:ascii="Times New Roman" w:eastAsia="MS Mincho" w:hAnsi="Times New Roman" w:cs="Times New Roman"/>
          <w:sz w:val="24"/>
          <w:szCs w:val="24"/>
          <w:lang w:val="en-GB" w:eastAsia="ja-JP"/>
        </w:rPr>
        <w:t xml:space="preserve">, </w:t>
      </w:r>
      <w:r w:rsidRPr="00BD3713">
        <w:rPr>
          <w:rFonts w:ascii="Times New Roman" w:eastAsia="MS Mincho" w:hAnsi="Times New Roman" w:cs="Times New Roman"/>
          <w:i/>
          <w:sz w:val="24"/>
          <w:szCs w:val="24"/>
          <w:lang w:val="en-GB" w:eastAsia="ja-JP"/>
        </w:rPr>
        <w:t xml:space="preserve">stratum </w:t>
      </w:r>
      <w:proofErr w:type="spellStart"/>
      <w:r w:rsidRPr="00BD3713">
        <w:rPr>
          <w:rFonts w:ascii="Times New Roman" w:eastAsia="MS Mincho" w:hAnsi="Times New Roman" w:cs="Times New Roman"/>
          <w:i/>
          <w:sz w:val="24"/>
          <w:szCs w:val="24"/>
          <w:lang w:val="en-GB" w:eastAsia="ja-JP"/>
        </w:rPr>
        <w:t>radiatum</w:t>
      </w:r>
      <w:proofErr w:type="spellEnd"/>
      <w:r w:rsidRPr="00BD3713">
        <w:rPr>
          <w:rFonts w:ascii="Times New Roman" w:eastAsia="MS Mincho" w:hAnsi="Times New Roman" w:cs="Times New Roman"/>
          <w:sz w:val="24"/>
          <w:szCs w:val="24"/>
          <w:lang w:val="en-GB" w:eastAsia="ja-JP"/>
        </w:rPr>
        <w:t>.</w:t>
      </w:r>
      <w:r w:rsidRPr="00BD3713">
        <w:rPr>
          <w:rFonts w:ascii="Times New Roman" w:eastAsia="AdvTT5843c571" w:hAnsi="Times New Roman" w:cs="Times New Roman"/>
          <w:sz w:val="24"/>
          <w:szCs w:val="24"/>
          <w:lang w:val="en-GB" w:eastAsia="ja-JP"/>
        </w:rPr>
        <w:t xml:space="preserve"> </w:t>
      </w:r>
      <w:proofErr w:type="spellStart"/>
      <w:r w:rsidRPr="00BD3713">
        <w:rPr>
          <w:rFonts w:ascii="Times New Roman" w:hAnsi="Times New Roman" w:cs="Times New Roman"/>
          <w:sz w:val="24"/>
          <w:szCs w:val="24"/>
        </w:rPr>
        <w:t>Scale</w:t>
      </w:r>
      <w:proofErr w:type="spellEnd"/>
      <w:r w:rsidRPr="00BD3713">
        <w:rPr>
          <w:rFonts w:ascii="Times New Roman" w:hAnsi="Times New Roman" w:cs="Times New Roman"/>
          <w:sz w:val="24"/>
          <w:szCs w:val="24"/>
        </w:rPr>
        <w:t xml:space="preserve"> </w:t>
      </w:r>
      <w:proofErr w:type="spellStart"/>
      <w:r w:rsidRPr="00BD3713">
        <w:rPr>
          <w:rFonts w:ascii="Times New Roman" w:hAnsi="Times New Roman" w:cs="Times New Roman"/>
          <w:sz w:val="24"/>
          <w:szCs w:val="24"/>
        </w:rPr>
        <w:t>bars</w:t>
      </w:r>
      <w:proofErr w:type="spellEnd"/>
      <w:r w:rsidRPr="00BD3713">
        <w:rPr>
          <w:rFonts w:ascii="Times New Roman" w:hAnsi="Times New Roman" w:cs="Times New Roman"/>
          <w:sz w:val="24"/>
          <w:szCs w:val="24"/>
        </w:rPr>
        <w:t>: A-F, 20 µm.</w:t>
      </w:r>
    </w:p>
    <w:p w14:paraId="2BB428F3" w14:textId="77777777" w:rsidR="00BD3713" w:rsidRPr="00BD3713" w:rsidRDefault="00BD3713" w:rsidP="007036B0">
      <w:pPr>
        <w:jc w:val="both"/>
        <w:rPr>
          <w:rFonts w:ascii="Times New Roman" w:hAnsi="Times New Roman" w:cs="Times New Roman"/>
          <w:sz w:val="24"/>
          <w:szCs w:val="24"/>
          <w:lang w:val="en-GB"/>
        </w:rPr>
      </w:pPr>
    </w:p>
    <w:sectPr w:rsidR="00BD3713" w:rsidRPr="00BD3713">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259E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7BB2" w16cex:dateUtc="2020-08-18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259E76" w16cid:durableId="22E67B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dvTT5843c571">
    <w:altName w:val="Adobe Fangsong Std R"/>
    <w:panose1 w:val="00000000000000000000"/>
    <w:charset w:val="80"/>
    <w:family w:val="auto"/>
    <w:notTrueType/>
    <w:pitch w:val="default"/>
    <w:sig w:usb0="00000003" w:usb1="08070000" w:usb2="00000010" w:usb3="00000000" w:csb0="00020001" w:csb1="00000000"/>
  </w:font>
  <w:font w:name="MTSY">
    <w:altName w:val="Arial Unicode MS"/>
    <w:panose1 w:val="00000000000000000000"/>
    <w:charset w:val="81"/>
    <w:family w:val="auto"/>
    <w:notTrueType/>
    <w:pitch w:val="default"/>
    <w:sig w:usb0="00000000" w:usb1="09060000" w:usb2="00000010" w:usb3="00000000" w:csb0="00080000" w:csb1="00000000"/>
  </w:font>
  <w:font w:name="NewCenturySchlbk-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ek Molnar">
    <w15:presenceInfo w15:providerId="AD" w15:userId="S::anem@bristol.ac.uk::3a6ecb17-01af-4111-9131-665147ace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6D"/>
    <w:rsid w:val="00033115"/>
    <w:rsid w:val="00056DBF"/>
    <w:rsid w:val="000D29D0"/>
    <w:rsid w:val="00101401"/>
    <w:rsid w:val="001D6919"/>
    <w:rsid w:val="0021144D"/>
    <w:rsid w:val="0030575B"/>
    <w:rsid w:val="0040507C"/>
    <w:rsid w:val="004B6B5A"/>
    <w:rsid w:val="005C7435"/>
    <w:rsid w:val="00672F5A"/>
    <w:rsid w:val="006B3F3E"/>
    <w:rsid w:val="007036B0"/>
    <w:rsid w:val="00716C6D"/>
    <w:rsid w:val="007D0616"/>
    <w:rsid w:val="008E4CFA"/>
    <w:rsid w:val="00936124"/>
    <w:rsid w:val="009B22E0"/>
    <w:rsid w:val="009C071E"/>
    <w:rsid w:val="00B077F1"/>
    <w:rsid w:val="00BC46C1"/>
    <w:rsid w:val="00BD3713"/>
    <w:rsid w:val="00BE2593"/>
    <w:rsid w:val="00FA4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allcaps1">
    <w:name w:val="smallcaps1"/>
    <w:basedOn w:val="Fuentedeprrafopredeter"/>
    <w:rsid w:val="00716C6D"/>
    <w:rPr>
      <w:smallCaps/>
    </w:rPr>
  </w:style>
  <w:style w:type="paragraph" w:styleId="Sangra2detindependiente">
    <w:name w:val="Body Text Indent 2"/>
    <w:basedOn w:val="Normal"/>
    <w:link w:val="Sangra2detindependienteCar"/>
    <w:rsid w:val="00936124"/>
    <w:pPr>
      <w:spacing w:after="0" w:line="480" w:lineRule="auto"/>
      <w:ind w:firstLine="540"/>
      <w:jc w:val="both"/>
    </w:pPr>
    <w:rPr>
      <w:rFonts w:ascii="Times New Roman" w:eastAsia="MS Mincho" w:hAnsi="Times New Roman" w:cs="Times New Roman"/>
      <w:color w:val="000000"/>
      <w:sz w:val="24"/>
      <w:szCs w:val="24"/>
      <w:lang w:val="en-GB"/>
    </w:rPr>
  </w:style>
  <w:style w:type="character" w:customStyle="1" w:styleId="Sangra2detindependienteCar">
    <w:name w:val="Sangría 2 de t. independiente Car"/>
    <w:basedOn w:val="Fuentedeprrafopredeter"/>
    <w:link w:val="Sangra2detindependiente"/>
    <w:rsid w:val="00936124"/>
    <w:rPr>
      <w:rFonts w:ascii="Times New Roman" w:eastAsia="MS Mincho" w:hAnsi="Times New Roman" w:cs="Times New Roman"/>
      <w:color w:val="000000"/>
      <w:sz w:val="24"/>
      <w:szCs w:val="24"/>
      <w:lang w:val="en-GB"/>
    </w:rPr>
  </w:style>
  <w:style w:type="table" w:customStyle="1" w:styleId="Tabladecuadrcula4-nfasis51">
    <w:name w:val="Tabla de cuadrícula 4 - Énfasis 51"/>
    <w:basedOn w:val="Tablanormal"/>
    <w:uiPriority w:val="49"/>
    <w:rsid w:val="004B6B5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1">
    <w:name w:val="Grid Table 4 - Accent 51"/>
    <w:basedOn w:val="Tablanormal"/>
    <w:uiPriority w:val="49"/>
    <w:rsid w:val="007036B0"/>
    <w:pPr>
      <w:spacing w:after="0" w:line="240" w:lineRule="auto"/>
    </w:pPr>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xtodeglobo">
    <w:name w:val="Balloon Text"/>
    <w:basedOn w:val="Normal"/>
    <w:link w:val="TextodegloboCar"/>
    <w:uiPriority w:val="99"/>
    <w:semiHidden/>
    <w:unhideWhenUsed/>
    <w:rsid w:val="00BC46C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C46C1"/>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BC46C1"/>
    <w:rPr>
      <w:sz w:val="16"/>
      <w:szCs w:val="16"/>
    </w:rPr>
  </w:style>
  <w:style w:type="paragraph" w:styleId="Textocomentario">
    <w:name w:val="annotation text"/>
    <w:basedOn w:val="Normal"/>
    <w:link w:val="TextocomentarioCar"/>
    <w:uiPriority w:val="99"/>
    <w:semiHidden/>
    <w:unhideWhenUsed/>
    <w:rsid w:val="00BC46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6C1"/>
    <w:rPr>
      <w:sz w:val="20"/>
      <w:szCs w:val="20"/>
    </w:rPr>
  </w:style>
  <w:style w:type="paragraph" w:styleId="Asuntodelcomentario">
    <w:name w:val="annotation subject"/>
    <w:basedOn w:val="Textocomentario"/>
    <w:next w:val="Textocomentario"/>
    <w:link w:val="AsuntodelcomentarioCar"/>
    <w:uiPriority w:val="99"/>
    <w:semiHidden/>
    <w:unhideWhenUsed/>
    <w:rsid w:val="00BC46C1"/>
    <w:rPr>
      <w:b/>
      <w:bCs/>
    </w:rPr>
  </w:style>
  <w:style w:type="character" w:customStyle="1" w:styleId="AsuntodelcomentarioCar">
    <w:name w:val="Asunto del comentario Car"/>
    <w:basedOn w:val="TextocomentarioCar"/>
    <w:link w:val="Asuntodelcomentario"/>
    <w:uiPriority w:val="99"/>
    <w:semiHidden/>
    <w:rsid w:val="00BC46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allcaps1">
    <w:name w:val="smallcaps1"/>
    <w:basedOn w:val="Fuentedeprrafopredeter"/>
    <w:rsid w:val="00716C6D"/>
    <w:rPr>
      <w:smallCaps/>
    </w:rPr>
  </w:style>
  <w:style w:type="paragraph" w:styleId="Sangra2detindependiente">
    <w:name w:val="Body Text Indent 2"/>
    <w:basedOn w:val="Normal"/>
    <w:link w:val="Sangra2detindependienteCar"/>
    <w:rsid w:val="00936124"/>
    <w:pPr>
      <w:spacing w:after="0" w:line="480" w:lineRule="auto"/>
      <w:ind w:firstLine="540"/>
      <w:jc w:val="both"/>
    </w:pPr>
    <w:rPr>
      <w:rFonts w:ascii="Times New Roman" w:eastAsia="MS Mincho" w:hAnsi="Times New Roman" w:cs="Times New Roman"/>
      <w:color w:val="000000"/>
      <w:sz w:val="24"/>
      <w:szCs w:val="24"/>
      <w:lang w:val="en-GB"/>
    </w:rPr>
  </w:style>
  <w:style w:type="character" w:customStyle="1" w:styleId="Sangra2detindependienteCar">
    <w:name w:val="Sangría 2 de t. independiente Car"/>
    <w:basedOn w:val="Fuentedeprrafopredeter"/>
    <w:link w:val="Sangra2detindependiente"/>
    <w:rsid w:val="00936124"/>
    <w:rPr>
      <w:rFonts w:ascii="Times New Roman" w:eastAsia="MS Mincho" w:hAnsi="Times New Roman" w:cs="Times New Roman"/>
      <w:color w:val="000000"/>
      <w:sz w:val="24"/>
      <w:szCs w:val="24"/>
      <w:lang w:val="en-GB"/>
    </w:rPr>
  </w:style>
  <w:style w:type="table" w:customStyle="1" w:styleId="Tabladecuadrcula4-nfasis51">
    <w:name w:val="Tabla de cuadrícula 4 - Énfasis 51"/>
    <w:basedOn w:val="Tablanormal"/>
    <w:uiPriority w:val="49"/>
    <w:rsid w:val="004B6B5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1">
    <w:name w:val="Grid Table 4 - Accent 51"/>
    <w:basedOn w:val="Tablanormal"/>
    <w:uiPriority w:val="49"/>
    <w:rsid w:val="007036B0"/>
    <w:pPr>
      <w:spacing w:after="0" w:line="240" w:lineRule="auto"/>
    </w:pPr>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xtodeglobo">
    <w:name w:val="Balloon Text"/>
    <w:basedOn w:val="Normal"/>
    <w:link w:val="TextodegloboCar"/>
    <w:uiPriority w:val="99"/>
    <w:semiHidden/>
    <w:unhideWhenUsed/>
    <w:rsid w:val="00BC46C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C46C1"/>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BC46C1"/>
    <w:rPr>
      <w:sz w:val="16"/>
      <w:szCs w:val="16"/>
    </w:rPr>
  </w:style>
  <w:style w:type="paragraph" w:styleId="Textocomentario">
    <w:name w:val="annotation text"/>
    <w:basedOn w:val="Normal"/>
    <w:link w:val="TextocomentarioCar"/>
    <w:uiPriority w:val="99"/>
    <w:semiHidden/>
    <w:unhideWhenUsed/>
    <w:rsid w:val="00BC46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6C1"/>
    <w:rPr>
      <w:sz w:val="20"/>
      <w:szCs w:val="20"/>
    </w:rPr>
  </w:style>
  <w:style w:type="paragraph" w:styleId="Asuntodelcomentario">
    <w:name w:val="annotation subject"/>
    <w:basedOn w:val="Textocomentario"/>
    <w:next w:val="Textocomentario"/>
    <w:link w:val="AsuntodelcomentarioCar"/>
    <w:uiPriority w:val="99"/>
    <w:semiHidden/>
    <w:unhideWhenUsed/>
    <w:rsid w:val="00BC46C1"/>
    <w:rPr>
      <w:b/>
      <w:bCs/>
    </w:rPr>
  </w:style>
  <w:style w:type="character" w:customStyle="1" w:styleId="AsuntodelcomentarioCar">
    <w:name w:val="Asunto del comentario Car"/>
    <w:basedOn w:val="TextocomentarioCar"/>
    <w:link w:val="Asuntodelcomentario"/>
    <w:uiPriority w:val="99"/>
    <w:semiHidden/>
    <w:rsid w:val="00BC46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image" Target="media/image2.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771A6-2616-496F-B76E-D6D4AA97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4208</Words>
  <Characters>23147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 Lujan</dc:creator>
  <cp:lastModifiedBy>Rafa Lujan</cp:lastModifiedBy>
  <cp:revision>13</cp:revision>
  <dcterms:created xsi:type="dcterms:W3CDTF">2020-08-19T09:43:00Z</dcterms:created>
  <dcterms:modified xsi:type="dcterms:W3CDTF">2020-09-23T08:44:00Z</dcterms:modified>
</cp:coreProperties>
</file>