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B867C" w14:textId="77CD8D72" w:rsidR="00693190" w:rsidRPr="00462116" w:rsidRDefault="0069319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Supplemental Table 1: </w:t>
      </w:r>
      <w:r>
        <w:rPr>
          <w:rFonts w:ascii="Times New Roman" w:hAnsi="Times New Roman" w:cs="Times New Roman"/>
        </w:rPr>
        <w:t xml:space="preserve">Drug-indication pairs </w:t>
      </w:r>
      <w:r w:rsidR="00C60C78">
        <w:rPr>
          <w:rFonts w:ascii="Times New Roman" w:hAnsi="Times New Roman" w:cs="Times New Roman"/>
        </w:rPr>
        <w:t xml:space="preserve">(DIPs) </w:t>
      </w:r>
      <w:r>
        <w:rPr>
          <w:rFonts w:ascii="Times New Roman" w:hAnsi="Times New Roman" w:cs="Times New Roman"/>
        </w:rPr>
        <w:t>included in the study, and the corresponding studies from which data was extracted.</w:t>
      </w:r>
      <w:r w:rsidR="0046211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414"/>
        <w:gridCol w:w="2394"/>
        <w:gridCol w:w="3410"/>
        <w:gridCol w:w="3960"/>
      </w:tblGrid>
      <w:tr w:rsidR="00693190" w14:paraId="75E3C509" w14:textId="77777777" w:rsidTr="00462116">
        <w:tc>
          <w:tcPr>
            <w:tcW w:w="1414" w:type="dxa"/>
            <w:shd w:val="clear" w:color="auto" w:fill="D9D9D9" w:themeFill="background1" w:themeFillShade="D9"/>
          </w:tcPr>
          <w:p w14:paraId="16C2EFC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58FFE" w14:textId="77777777" w:rsidR="00693190" w:rsidRPr="009A289F" w:rsidRDefault="00693190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9A289F">
              <w:rPr>
                <w:rFonts w:ascii="Times New Roman" w:hAnsi="Times New Roman" w:cs="Times New Roman"/>
                <w:b/>
                <w:bCs/>
              </w:rPr>
              <w:t>Drug-Indication Pair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C21CFEC" w14:textId="77777777" w:rsidR="00693190" w:rsidRPr="009A289F" w:rsidRDefault="00693190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9A289F">
              <w:rPr>
                <w:rFonts w:ascii="Times New Roman" w:hAnsi="Times New Roman" w:cs="Times New Roman"/>
                <w:b/>
                <w:bCs/>
              </w:rPr>
              <w:t>Phase II Clinical Trial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83289F7" w14:textId="77777777" w:rsidR="00693190" w:rsidRPr="009A289F" w:rsidRDefault="00693190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9A289F">
              <w:rPr>
                <w:rFonts w:ascii="Times New Roman" w:hAnsi="Times New Roman" w:cs="Times New Roman"/>
                <w:b/>
                <w:bCs/>
              </w:rPr>
              <w:t>Pre-clinical Study</w:t>
            </w:r>
          </w:p>
        </w:tc>
      </w:tr>
      <w:tr w:rsidR="00693190" w14:paraId="5C118789" w14:textId="77777777" w:rsidTr="00103688">
        <w:tc>
          <w:tcPr>
            <w:tcW w:w="1414" w:type="dxa"/>
            <w:vMerge w:val="restart"/>
            <w:shd w:val="clear" w:color="auto" w:fill="auto"/>
          </w:tcPr>
          <w:p w14:paraId="3E0AD139" w14:textId="77777777" w:rsidR="00693190" w:rsidRPr="009A289F" w:rsidRDefault="00693190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89F">
              <w:rPr>
                <w:rFonts w:ascii="Times New Roman" w:hAnsi="Times New Roman" w:cs="Times New Roman"/>
                <w:b/>
                <w:bCs/>
              </w:rPr>
              <w:t>Approved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9415D" w14:textId="77777777" w:rsidR="00693190" w:rsidRPr="009D4014" w:rsidRDefault="00693190" w:rsidP="00103688">
            <w:pPr>
              <w:jc w:val="center"/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Afatinib-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exon 19 deletion</w:t>
            </w:r>
          </w:p>
        </w:tc>
        <w:tc>
          <w:tcPr>
            <w:tcW w:w="3410" w:type="dxa"/>
            <w:shd w:val="clear" w:color="auto" w:fill="auto"/>
          </w:tcPr>
          <w:p w14:paraId="3E1D5577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</w:rPr>
              <w:t xml:space="preserve">Park K, Tan EH, O'Byrne K, et al. Afatinib versus gefitinib as first-line treatment of patients with EGFR mutation-positive non-small-cell lung cancer (LUX-Lung 7): a phase 2B, open-label, </w:t>
            </w:r>
            <w:proofErr w:type="spellStart"/>
            <w:r w:rsidRPr="009D4014">
              <w:rPr>
                <w:rFonts w:ascii="Times New Roman" w:hAnsi="Times New Roman" w:cs="Times New Roman"/>
              </w:rPr>
              <w:t>randomised</w:t>
            </w:r>
            <w:proofErr w:type="spellEnd"/>
            <w:r w:rsidRPr="009D4014">
              <w:rPr>
                <w:rFonts w:ascii="Times New Roman" w:hAnsi="Times New Roman" w:cs="Times New Roman"/>
              </w:rPr>
              <w:t xml:space="preserve"> controlled trial. </w:t>
            </w:r>
            <w:r w:rsidRPr="009D4014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9D4014">
              <w:rPr>
                <w:rFonts w:ascii="Times New Roman" w:hAnsi="Times New Roman" w:cs="Times New Roman"/>
              </w:rPr>
              <w:t>2016</w:t>
            </w:r>
            <w:proofErr w:type="gramStart"/>
            <w:r w:rsidRPr="009D4014">
              <w:rPr>
                <w:rFonts w:ascii="Times New Roman" w:hAnsi="Times New Roman" w:cs="Times New Roman"/>
              </w:rPr>
              <w:t>;17</w:t>
            </w:r>
            <w:proofErr w:type="gramEnd"/>
            <w:r w:rsidRPr="009D4014">
              <w:rPr>
                <w:rFonts w:ascii="Times New Roman" w:hAnsi="Times New Roman" w:cs="Times New Roman"/>
              </w:rPr>
              <w:t>(5):577-589.</w:t>
            </w:r>
          </w:p>
        </w:tc>
        <w:tc>
          <w:tcPr>
            <w:tcW w:w="3960" w:type="dxa"/>
            <w:shd w:val="clear" w:color="auto" w:fill="auto"/>
          </w:tcPr>
          <w:p w14:paraId="0664976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</w:rPr>
              <w:t xml:space="preserve">Stewart EL, </w:t>
            </w:r>
            <w:proofErr w:type="spellStart"/>
            <w:r w:rsidRPr="009D4014">
              <w:rPr>
                <w:rFonts w:ascii="Times New Roman" w:hAnsi="Times New Roman" w:cs="Times New Roman"/>
              </w:rPr>
              <w:t>Mascaux</w:t>
            </w:r>
            <w:proofErr w:type="spellEnd"/>
            <w:r w:rsidRPr="009D4014">
              <w:rPr>
                <w:rFonts w:ascii="Times New Roman" w:hAnsi="Times New Roman" w:cs="Times New Roman"/>
              </w:rPr>
              <w:t xml:space="preserve"> C, Pham NA, et al. Clinical Utility of Patient-Derived Xenografts to Determine Biomarkers of Prognosis and Map Resistance Pathways in EGFR-Mutant Lung Adenocarcinoma. </w:t>
            </w:r>
            <w:r w:rsidRPr="009D4014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9D4014">
              <w:rPr>
                <w:rFonts w:ascii="Times New Roman" w:hAnsi="Times New Roman" w:cs="Times New Roman"/>
              </w:rPr>
              <w:t>2015</w:t>
            </w:r>
            <w:proofErr w:type="gramStart"/>
            <w:r w:rsidRPr="009D4014">
              <w:rPr>
                <w:rFonts w:ascii="Times New Roman" w:hAnsi="Times New Roman" w:cs="Times New Roman"/>
              </w:rPr>
              <w:t>;33</w:t>
            </w:r>
            <w:proofErr w:type="gramEnd"/>
            <w:r w:rsidRPr="009D4014">
              <w:rPr>
                <w:rFonts w:ascii="Times New Roman" w:hAnsi="Times New Roman" w:cs="Times New Roman"/>
              </w:rPr>
              <w:t>(22):2472-2480.</w:t>
            </w:r>
          </w:p>
        </w:tc>
      </w:tr>
      <w:tr w:rsidR="00693190" w14:paraId="4FFF4924" w14:textId="77777777" w:rsidTr="00462116">
        <w:tc>
          <w:tcPr>
            <w:tcW w:w="1414" w:type="dxa"/>
            <w:vMerge/>
            <w:shd w:val="clear" w:color="auto" w:fill="auto"/>
          </w:tcPr>
          <w:p w14:paraId="27897E4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0BECFD2" w14:textId="360E64D1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Brigatinib-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resistance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3379D8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3C113C">
              <w:rPr>
                <w:rFonts w:ascii="Times New Roman" w:hAnsi="Times New Roman" w:cs="Times New Roman"/>
              </w:rPr>
              <w:t xml:space="preserve">Kim DW, </w:t>
            </w:r>
            <w:proofErr w:type="spellStart"/>
            <w:r w:rsidRPr="003C113C">
              <w:rPr>
                <w:rFonts w:ascii="Times New Roman" w:hAnsi="Times New Roman" w:cs="Times New Roman"/>
              </w:rPr>
              <w:t>Tiseo</w:t>
            </w:r>
            <w:proofErr w:type="spellEnd"/>
            <w:r w:rsidRPr="003C113C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3C113C">
              <w:rPr>
                <w:rFonts w:ascii="Times New Roman" w:hAnsi="Times New Roman" w:cs="Times New Roman"/>
              </w:rPr>
              <w:t>Ahn</w:t>
            </w:r>
            <w:proofErr w:type="spellEnd"/>
            <w:r w:rsidRPr="003C113C">
              <w:rPr>
                <w:rFonts w:ascii="Times New Roman" w:hAnsi="Times New Roman" w:cs="Times New Roman"/>
              </w:rPr>
              <w:t xml:space="preserve"> MJ, et al. Brigatinib in Patients With Crizotinib-Refractory Anaplastic Lymphoma Kinase-Positive Non-Small-Cell Lung Cancer: A Randomized, Multicenter Phase II Trial. </w:t>
            </w:r>
            <w:r w:rsidRPr="003C113C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3C113C">
              <w:rPr>
                <w:rFonts w:ascii="Times New Roman" w:hAnsi="Times New Roman" w:cs="Times New Roman"/>
              </w:rPr>
              <w:t>2017</w:t>
            </w:r>
            <w:proofErr w:type="gramStart"/>
            <w:r w:rsidRPr="003C113C">
              <w:rPr>
                <w:rFonts w:ascii="Times New Roman" w:hAnsi="Times New Roman" w:cs="Times New Roman"/>
              </w:rPr>
              <w:t>;35</w:t>
            </w:r>
            <w:proofErr w:type="gramEnd"/>
            <w:r w:rsidRPr="003C113C">
              <w:rPr>
                <w:rFonts w:ascii="Times New Roman" w:hAnsi="Times New Roman" w:cs="Times New Roman"/>
              </w:rPr>
              <w:t>(22):2490-2498.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7A42A80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3C113C">
              <w:rPr>
                <w:rFonts w:ascii="Times New Roman" w:hAnsi="Times New Roman" w:cs="Times New Roman"/>
              </w:rPr>
              <w:t xml:space="preserve">Katayama R, Khan TM, Benes C, et al. Therapeutic strategies to overcome crizotinib resistance in non-small cell lung cancers harboring the fusion oncogene EML4-ALK. </w:t>
            </w:r>
            <w:r w:rsidRPr="003C113C">
              <w:rPr>
                <w:rFonts w:ascii="Times New Roman" w:hAnsi="Times New Roman" w:cs="Times New Roman"/>
                <w:i/>
              </w:rPr>
              <w:t xml:space="preserve">Proc Natl </w:t>
            </w:r>
            <w:proofErr w:type="spellStart"/>
            <w:r w:rsidRPr="003C113C">
              <w:rPr>
                <w:rFonts w:ascii="Times New Roman" w:hAnsi="Times New Roman" w:cs="Times New Roman"/>
                <w:i/>
              </w:rPr>
              <w:t>Acad</w:t>
            </w:r>
            <w:proofErr w:type="spellEnd"/>
            <w:r w:rsidRPr="003C113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C113C">
              <w:rPr>
                <w:rFonts w:ascii="Times New Roman" w:hAnsi="Times New Roman" w:cs="Times New Roman"/>
                <w:i/>
              </w:rPr>
              <w:t>Sci</w:t>
            </w:r>
            <w:proofErr w:type="spellEnd"/>
            <w:r w:rsidRPr="003C113C">
              <w:rPr>
                <w:rFonts w:ascii="Times New Roman" w:hAnsi="Times New Roman" w:cs="Times New Roman"/>
                <w:i/>
              </w:rPr>
              <w:t xml:space="preserve"> U S A. </w:t>
            </w:r>
            <w:r w:rsidRPr="003C113C">
              <w:rPr>
                <w:rFonts w:ascii="Times New Roman" w:hAnsi="Times New Roman" w:cs="Times New Roman"/>
              </w:rPr>
              <w:t>2011</w:t>
            </w:r>
            <w:proofErr w:type="gramStart"/>
            <w:r w:rsidRPr="003C113C">
              <w:rPr>
                <w:rFonts w:ascii="Times New Roman" w:hAnsi="Times New Roman" w:cs="Times New Roman"/>
              </w:rPr>
              <w:t>;108</w:t>
            </w:r>
            <w:proofErr w:type="gramEnd"/>
            <w:r w:rsidRPr="003C113C">
              <w:rPr>
                <w:rFonts w:ascii="Times New Roman" w:hAnsi="Times New Roman" w:cs="Times New Roman"/>
              </w:rPr>
              <w:t>(18):7535-7540.</w:t>
            </w:r>
          </w:p>
        </w:tc>
      </w:tr>
      <w:tr w:rsidR="00693190" w14:paraId="2A11D825" w14:textId="77777777" w:rsidTr="00103688">
        <w:tc>
          <w:tcPr>
            <w:tcW w:w="1414" w:type="dxa"/>
            <w:vMerge/>
            <w:shd w:val="clear" w:color="auto" w:fill="auto"/>
          </w:tcPr>
          <w:p w14:paraId="0FA5BF5A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A87EE" w14:textId="521BA6CE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Osimertinib-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T790M and </w:t>
            </w:r>
            <w:r w:rsidR="00162C3B">
              <w:rPr>
                <w:rFonts w:ascii="Times New Roman" w:hAnsi="Times New Roman" w:cs="Times New Roman"/>
                <w:color w:val="000000"/>
              </w:rPr>
              <w:t>e</w:t>
            </w:r>
            <w:r w:rsidRPr="009D4014">
              <w:rPr>
                <w:rFonts w:ascii="Times New Roman" w:hAnsi="Times New Roman" w:cs="Times New Roman"/>
                <w:color w:val="000000"/>
              </w:rPr>
              <w:t>xon 19 deletion</w:t>
            </w:r>
          </w:p>
        </w:tc>
        <w:tc>
          <w:tcPr>
            <w:tcW w:w="3410" w:type="dxa"/>
            <w:shd w:val="clear" w:color="auto" w:fill="auto"/>
          </w:tcPr>
          <w:p w14:paraId="7D2DA40D" w14:textId="77777777" w:rsidR="00693190" w:rsidRPr="003D653D" w:rsidRDefault="00693190" w:rsidP="00103688">
            <w:pPr>
              <w:rPr>
                <w:rFonts w:ascii="Times New Roman" w:hAnsi="Times New Roman" w:cs="Times New Roman"/>
              </w:rPr>
            </w:pPr>
            <w:r w:rsidRPr="003D653D">
              <w:rPr>
                <w:rFonts w:ascii="Times New Roman" w:hAnsi="Times New Roman" w:cs="Times New Roman"/>
              </w:rPr>
              <w:t xml:space="preserve">Goss G, Tsai CM, Shepherd FA, et al. Osimertinib for pretreated EGFR Thr790Met-positive advanced non-small-cell lung cancer (AURA2): a </w:t>
            </w:r>
            <w:proofErr w:type="spellStart"/>
            <w:r w:rsidRPr="003D653D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3D653D">
              <w:rPr>
                <w:rFonts w:ascii="Times New Roman" w:hAnsi="Times New Roman" w:cs="Times New Roman"/>
              </w:rPr>
              <w:t xml:space="preserve">, open-label, single-arm, phase 2 study. </w:t>
            </w:r>
            <w:r w:rsidRPr="003D653D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3D653D">
              <w:rPr>
                <w:rFonts w:ascii="Times New Roman" w:hAnsi="Times New Roman" w:cs="Times New Roman"/>
              </w:rPr>
              <w:t>2016</w:t>
            </w:r>
            <w:proofErr w:type="gramStart"/>
            <w:r w:rsidRPr="003D653D">
              <w:rPr>
                <w:rFonts w:ascii="Times New Roman" w:hAnsi="Times New Roman" w:cs="Times New Roman"/>
              </w:rPr>
              <w:t>;17</w:t>
            </w:r>
            <w:proofErr w:type="gramEnd"/>
            <w:r w:rsidRPr="003D653D">
              <w:rPr>
                <w:rFonts w:ascii="Times New Roman" w:hAnsi="Times New Roman" w:cs="Times New Roman"/>
              </w:rPr>
              <w:t>(12):1643-1652.</w:t>
            </w:r>
          </w:p>
          <w:p w14:paraId="5AFB8AD2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14:paraId="7F097D1E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1E0D90">
              <w:rPr>
                <w:rFonts w:ascii="Times New Roman" w:hAnsi="Times New Roman" w:cs="Times New Roman"/>
              </w:rPr>
              <w:t xml:space="preserve">Cross DA, Ashton SE, </w:t>
            </w:r>
            <w:proofErr w:type="spellStart"/>
            <w:r w:rsidRPr="001E0D90">
              <w:rPr>
                <w:rFonts w:ascii="Times New Roman" w:hAnsi="Times New Roman" w:cs="Times New Roman"/>
              </w:rPr>
              <w:t>Ghiorghiu</w:t>
            </w:r>
            <w:proofErr w:type="spellEnd"/>
            <w:r w:rsidRPr="001E0D90">
              <w:rPr>
                <w:rFonts w:ascii="Times New Roman" w:hAnsi="Times New Roman" w:cs="Times New Roman"/>
              </w:rPr>
              <w:t xml:space="preserve"> S, et al. AZD9291, an irreversible EGFR TKI, overcomes T790M-mediated resistance to EGFR inhibitors in lung cancer. </w:t>
            </w:r>
            <w:r w:rsidRPr="001E0D90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1E0D90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1E0D90">
              <w:rPr>
                <w:rFonts w:ascii="Times New Roman" w:hAnsi="Times New Roman" w:cs="Times New Roman"/>
                <w:i/>
              </w:rPr>
              <w:t xml:space="preserve">. </w:t>
            </w:r>
            <w:r w:rsidRPr="001E0D90">
              <w:rPr>
                <w:rFonts w:ascii="Times New Roman" w:hAnsi="Times New Roman" w:cs="Times New Roman"/>
              </w:rPr>
              <w:t>2014</w:t>
            </w:r>
            <w:proofErr w:type="gramStart"/>
            <w:r w:rsidRPr="001E0D90">
              <w:rPr>
                <w:rFonts w:ascii="Times New Roman" w:hAnsi="Times New Roman" w:cs="Times New Roman"/>
              </w:rPr>
              <w:t>;4</w:t>
            </w:r>
            <w:proofErr w:type="gramEnd"/>
            <w:r w:rsidRPr="001E0D90">
              <w:rPr>
                <w:rFonts w:ascii="Times New Roman" w:hAnsi="Times New Roman" w:cs="Times New Roman"/>
              </w:rPr>
              <w:t>(9):1046-1061.</w:t>
            </w:r>
          </w:p>
        </w:tc>
      </w:tr>
      <w:tr w:rsidR="00693190" w14:paraId="4DA4EFFF" w14:textId="77777777" w:rsidTr="00462116">
        <w:tc>
          <w:tcPr>
            <w:tcW w:w="1414" w:type="dxa"/>
            <w:vMerge/>
            <w:shd w:val="clear" w:color="auto" w:fill="auto"/>
          </w:tcPr>
          <w:p w14:paraId="099DBAD1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314A052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Osimertinib-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T790M and L858R exon 21 mutation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49572CB3" w14:textId="77777777" w:rsidR="00693190" w:rsidRPr="003D653D" w:rsidRDefault="00693190" w:rsidP="00103688">
            <w:pPr>
              <w:rPr>
                <w:rFonts w:ascii="Times New Roman" w:hAnsi="Times New Roman" w:cs="Times New Roman"/>
              </w:rPr>
            </w:pPr>
            <w:r w:rsidRPr="003D653D">
              <w:rPr>
                <w:rFonts w:ascii="Times New Roman" w:hAnsi="Times New Roman" w:cs="Times New Roman"/>
              </w:rPr>
              <w:t xml:space="preserve">Goss G, Tsai CM, Shepherd FA, et al. Osimertinib for pretreated EGFR Thr790Met-positive advanced non-small-cell lung cancer (AURA2): a </w:t>
            </w:r>
            <w:proofErr w:type="spellStart"/>
            <w:r w:rsidRPr="003D653D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3D653D">
              <w:rPr>
                <w:rFonts w:ascii="Times New Roman" w:hAnsi="Times New Roman" w:cs="Times New Roman"/>
              </w:rPr>
              <w:t xml:space="preserve">, open-label, single-arm, phase 2 study. </w:t>
            </w:r>
            <w:r w:rsidRPr="003D653D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3D653D">
              <w:rPr>
                <w:rFonts w:ascii="Times New Roman" w:hAnsi="Times New Roman" w:cs="Times New Roman"/>
              </w:rPr>
              <w:t>2016</w:t>
            </w:r>
            <w:proofErr w:type="gramStart"/>
            <w:r w:rsidRPr="003D653D">
              <w:rPr>
                <w:rFonts w:ascii="Times New Roman" w:hAnsi="Times New Roman" w:cs="Times New Roman"/>
              </w:rPr>
              <w:t>;17</w:t>
            </w:r>
            <w:proofErr w:type="gramEnd"/>
            <w:r w:rsidRPr="003D653D">
              <w:rPr>
                <w:rFonts w:ascii="Times New Roman" w:hAnsi="Times New Roman" w:cs="Times New Roman"/>
              </w:rPr>
              <w:t>(12):1643-1652.</w:t>
            </w:r>
          </w:p>
          <w:p w14:paraId="305AB0BD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223B07B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1E0D90">
              <w:rPr>
                <w:rFonts w:ascii="Times New Roman" w:hAnsi="Times New Roman" w:cs="Times New Roman"/>
              </w:rPr>
              <w:t xml:space="preserve">Cross DA, Ashton SE, </w:t>
            </w:r>
            <w:proofErr w:type="spellStart"/>
            <w:r w:rsidRPr="001E0D90">
              <w:rPr>
                <w:rFonts w:ascii="Times New Roman" w:hAnsi="Times New Roman" w:cs="Times New Roman"/>
              </w:rPr>
              <w:t>Ghiorghiu</w:t>
            </w:r>
            <w:proofErr w:type="spellEnd"/>
            <w:r w:rsidRPr="001E0D90">
              <w:rPr>
                <w:rFonts w:ascii="Times New Roman" w:hAnsi="Times New Roman" w:cs="Times New Roman"/>
              </w:rPr>
              <w:t xml:space="preserve"> S, et al. AZD9291, an irreversible EGFR TKI, overcomes T790M-mediated resistance to EGFR inhibitors in lung cancer. </w:t>
            </w:r>
            <w:r w:rsidRPr="001E0D90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1E0D90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1E0D90">
              <w:rPr>
                <w:rFonts w:ascii="Times New Roman" w:hAnsi="Times New Roman" w:cs="Times New Roman"/>
                <w:i/>
              </w:rPr>
              <w:t xml:space="preserve">. </w:t>
            </w:r>
            <w:r w:rsidRPr="001E0D90">
              <w:rPr>
                <w:rFonts w:ascii="Times New Roman" w:hAnsi="Times New Roman" w:cs="Times New Roman"/>
              </w:rPr>
              <w:t>2014</w:t>
            </w:r>
            <w:proofErr w:type="gramStart"/>
            <w:r w:rsidRPr="001E0D90">
              <w:rPr>
                <w:rFonts w:ascii="Times New Roman" w:hAnsi="Times New Roman" w:cs="Times New Roman"/>
              </w:rPr>
              <w:t>;4</w:t>
            </w:r>
            <w:proofErr w:type="gramEnd"/>
            <w:r w:rsidRPr="001E0D90">
              <w:rPr>
                <w:rFonts w:ascii="Times New Roman" w:hAnsi="Times New Roman" w:cs="Times New Roman"/>
              </w:rPr>
              <w:t>(9):1046-1061.</w:t>
            </w:r>
          </w:p>
        </w:tc>
      </w:tr>
      <w:tr w:rsidR="00693190" w14:paraId="2BCCE60A" w14:textId="77777777" w:rsidTr="00103688">
        <w:tc>
          <w:tcPr>
            <w:tcW w:w="1414" w:type="dxa"/>
            <w:vMerge/>
            <w:shd w:val="clear" w:color="auto" w:fill="auto"/>
          </w:tcPr>
          <w:p w14:paraId="4B97D9A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601F0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Osimertinib-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exon 19 deletion w/o T790M mutation</w:t>
            </w:r>
          </w:p>
        </w:tc>
        <w:tc>
          <w:tcPr>
            <w:tcW w:w="3410" w:type="dxa"/>
            <w:shd w:val="clear" w:color="auto" w:fill="auto"/>
          </w:tcPr>
          <w:p w14:paraId="7F0509F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F31294">
              <w:rPr>
                <w:rFonts w:ascii="Times New Roman" w:hAnsi="Times New Roman" w:cs="Times New Roman"/>
              </w:rPr>
              <w:t xml:space="preserve">Ramalingam SS, Yang JC, Lee CK, et al. Osimertinib As First-Line Treatment of EGFR Mutation-Positive Advanced Non-Small-Cell Lung Cancer. </w:t>
            </w:r>
            <w:r w:rsidRPr="00F31294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F31294">
              <w:rPr>
                <w:rFonts w:ascii="Times New Roman" w:hAnsi="Times New Roman" w:cs="Times New Roman"/>
              </w:rPr>
              <w:t>2018</w:t>
            </w:r>
            <w:proofErr w:type="gramStart"/>
            <w:r w:rsidRPr="00F31294">
              <w:rPr>
                <w:rFonts w:ascii="Times New Roman" w:hAnsi="Times New Roman" w:cs="Times New Roman"/>
              </w:rPr>
              <w:t>;36</w:t>
            </w:r>
            <w:proofErr w:type="gramEnd"/>
            <w:r w:rsidRPr="00F31294">
              <w:rPr>
                <w:rFonts w:ascii="Times New Roman" w:hAnsi="Times New Roman" w:cs="Times New Roman"/>
              </w:rPr>
              <w:t>(9):841-849.</w:t>
            </w:r>
          </w:p>
        </w:tc>
        <w:tc>
          <w:tcPr>
            <w:tcW w:w="3960" w:type="dxa"/>
            <w:shd w:val="clear" w:color="auto" w:fill="auto"/>
          </w:tcPr>
          <w:p w14:paraId="7F5CF26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1E0D90">
              <w:rPr>
                <w:rFonts w:ascii="Times New Roman" w:hAnsi="Times New Roman" w:cs="Times New Roman"/>
              </w:rPr>
              <w:t xml:space="preserve">Cross DA, Ashton SE, </w:t>
            </w:r>
            <w:proofErr w:type="spellStart"/>
            <w:r w:rsidRPr="001E0D90">
              <w:rPr>
                <w:rFonts w:ascii="Times New Roman" w:hAnsi="Times New Roman" w:cs="Times New Roman"/>
              </w:rPr>
              <w:t>Ghiorghiu</w:t>
            </w:r>
            <w:proofErr w:type="spellEnd"/>
            <w:r w:rsidRPr="001E0D90">
              <w:rPr>
                <w:rFonts w:ascii="Times New Roman" w:hAnsi="Times New Roman" w:cs="Times New Roman"/>
              </w:rPr>
              <w:t xml:space="preserve"> S, et al. AZD9291, an irreversible EGFR TKI, overcomes T790M-mediated resistance to EGFR inhibitors in lung cancer. </w:t>
            </w:r>
            <w:r w:rsidRPr="001E0D90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1E0D90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1E0D90">
              <w:rPr>
                <w:rFonts w:ascii="Times New Roman" w:hAnsi="Times New Roman" w:cs="Times New Roman"/>
                <w:i/>
              </w:rPr>
              <w:t xml:space="preserve">. </w:t>
            </w:r>
            <w:r w:rsidRPr="001E0D90">
              <w:rPr>
                <w:rFonts w:ascii="Times New Roman" w:hAnsi="Times New Roman" w:cs="Times New Roman"/>
              </w:rPr>
              <w:t>2014</w:t>
            </w:r>
            <w:proofErr w:type="gramStart"/>
            <w:r w:rsidRPr="001E0D90">
              <w:rPr>
                <w:rFonts w:ascii="Times New Roman" w:hAnsi="Times New Roman" w:cs="Times New Roman"/>
              </w:rPr>
              <w:t>;4</w:t>
            </w:r>
            <w:proofErr w:type="gramEnd"/>
            <w:r w:rsidRPr="001E0D90">
              <w:rPr>
                <w:rFonts w:ascii="Times New Roman" w:hAnsi="Times New Roman" w:cs="Times New Roman"/>
              </w:rPr>
              <w:t>(9):1046-1061.</w:t>
            </w:r>
          </w:p>
        </w:tc>
      </w:tr>
      <w:tr w:rsidR="00693190" w14:paraId="47A44F3E" w14:textId="77777777" w:rsidTr="00462116">
        <w:tc>
          <w:tcPr>
            <w:tcW w:w="1414" w:type="dxa"/>
            <w:vMerge/>
            <w:shd w:val="clear" w:color="auto" w:fill="auto"/>
          </w:tcPr>
          <w:p w14:paraId="6EA1C826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F8854B0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Osimertinib-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L858R exon 21 mutation w/o T790M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3C25B99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F31294">
              <w:rPr>
                <w:rFonts w:ascii="Times New Roman" w:hAnsi="Times New Roman" w:cs="Times New Roman"/>
              </w:rPr>
              <w:t xml:space="preserve">Ramalingam SS, Yang JC, Lee CK, et al. Osimertinib As First-Line Treatment of EGFR Mutation-Positive Advanced Non-Small-Cell Lung Cancer. </w:t>
            </w:r>
            <w:r w:rsidRPr="00F31294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F31294">
              <w:rPr>
                <w:rFonts w:ascii="Times New Roman" w:hAnsi="Times New Roman" w:cs="Times New Roman"/>
              </w:rPr>
              <w:t>2018</w:t>
            </w:r>
            <w:proofErr w:type="gramStart"/>
            <w:r w:rsidRPr="00F31294">
              <w:rPr>
                <w:rFonts w:ascii="Times New Roman" w:hAnsi="Times New Roman" w:cs="Times New Roman"/>
              </w:rPr>
              <w:t>;36</w:t>
            </w:r>
            <w:proofErr w:type="gramEnd"/>
            <w:r w:rsidRPr="00F31294">
              <w:rPr>
                <w:rFonts w:ascii="Times New Roman" w:hAnsi="Times New Roman" w:cs="Times New Roman"/>
              </w:rPr>
              <w:t>(9):841-849.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4D5436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1E0D90">
              <w:rPr>
                <w:rFonts w:ascii="Times New Roman" w:hAnsi="Times New Roman" w:cs="Times New Roman"/>
              </w:rPr>
              <w:t xml:space="preserve">Cross DA, Ashton SE, </w:t>
            </w:r>
            <w:proofErr w:type="spellStart"/>
            <w:r w:rsidRPr="001E0D90">
              <w:rPr>
                <w:rFonts w:ascii="Times New Roman" w:hAnsi="Times New Roman" w:cs="Times New Roman"/>
              </w:rPr>
              <w:t>Ghiorghiu</w:t>
            </w:r>
            <w:proofErr w:type="spellEnd"/>
            <w:r w:rsidRPr="001E0D90">
              <w:rPr>
                <w:rFonts w:ascii="Times New Roman" w:hAnsi="Times New Roman" w:cs="Times New Roman"/>
              </w:rPr>
              <w:t xml:space="preserve"> S, et al. AZD9291, an irreversible EGFR TKI, overcomes T790M-mediated resistance to EGFR inhibitors in lung cancer. </w:t>
            </w:r>
            <w:r w:rsidRPr="001E0D90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1E0D90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1E0D90">
              <w:rPr>
                <w:rFonts w:ascii="Times New Roman" w:hAnsi="Times New Roman" w:cs="Times New Roman"/>
                <w:i/>
              </w:rPr>
              <w:t xml:space="preserve">. </w:t>
            </w:r>
            <w:r w:rsidRPr="001E0D90">
              <w:rPr>
                <w:rFonts w:ascii="Times New Roman" w:hAnsi="Times New Roman" w:cs="Times New Roman"/>
              </w:rPr>
              <w:t>2014</w:t>
            </w:r>
            <w:proofErr w:type="gramStart"/>
            <w:r w:rsidRPr="001E0D90">
              <w:rPr>
                <w:rFonts w:ascii="Times New Roman" w:hAnsi="Times New Roman" w:cs="Times New Roman"/>
              </w:rPr>
              <w:t>;4</w:t>
            </w:r>
            <w:proofErr w:type="gramEnd"/>
            <w:r w:rsidRPr="001E0D90">
              <w:rPr>
                <w:rFonts w:ascii="Times New Roman" w:hAnsi="Times New Roman" w:cs="Times New Roman"/>
              </w:rPr>
              <w:t>(9):1046-1061.</w:t>
            </w:r>
          </w:p>
        </w:tc>
      </w:tr>
      <w:tr w:rsidR="00693190" w14:paraId="45AB541C" w14:textId="77777777" w:rsidTr="00103688">
        <w:tc>
          <w:tcPr>
            <w:tcW w:w="1414" w:type="dxa"/>
            <w:vMerge/>
            <w:shd w:val="clear" w:color="auto" w:fill="auto"/>
          </w:tcPr>
          <w:p w14:paraId="0580DD2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03280" w14:textId="35C6B33B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Alectinib-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Resistance</w:t>
            </w:r>
          </w:p>
        </w:tc>
        <w:tc>
          <w:tcPr>
            <w:tcW w:w="3410" w:type="dxa"/>
            <w:shd w:val="clear" w:color="auto" w:fill="auto"/>
          </w:tcPr>
          <w:p w14:paraId="718E277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0C5D16">
              <w:rPr>
                <w:rFonts w:ascii="Times New Roman" w:hAnsi="Times New Roman" w:cs="Times New Roman"/>
              </w:rPr>
              <w:t xml:space="preserve">Yang JC, </w:t>
            </w:r>
            <w:proofErr w:type="spellStart"/>
            <w:r w:rsidRPr="000C5D16">
              <w:rPr>
                <w:rFonts w:ascii="Times New Roman" w:hAnsi="Times New Roman" w:cs="Times New Roman"/>
              </w:rPr>
              <w:t>Ou</w:t>
            </w:r>
            <w:proofErr w:type="spellEnd"/>
            <w:r w:rsidRPr="000C5D16">
              <w:rPr>
                <w:rFonts w:ascii="Times New Roman" w:hAnsi="Times New Roman" w:cs="Times New Roman"/>
              </w:rPr>
              <w:t xml:space="preserve"> SI, De </w:t>
            </w:r>
            <w:proofErr w:type="spellStart"/>
            <w:r w:rsidRPr="000C5D16">
              <w:rPr>
                <w:rFonts w:ascii="Times New Roman" w:hAnsi="Times New Roman" w:cs="Times New Roman"/>
              </w:rPr>
              <w:t>Petris</w:t>
            </w:r>
            <w:proofErr w:type="spellEnd"/>
            <w:r w:rsidRPr="000C5D16">
              <w:rPr>
                <w:rFonts w:ascii="Times New Roman" w:hAnsi="Times New Roman" w:cs="Times New Roman"/>
              </w:rPr>
              <w:t xml:space="preserve"> L, et al. Pooled Systemic Efficacy and Safety Data from the Pivotal Phase II Studies (NP28673 and NP28761) of Alectinib in ALK-positive Non-Small Cell Lung Cancer. </w:t>
            </w:r>
            <w:r w:rsidRPr="000C5D16">
              <w:rPr>
                <w:rFonts w:ascii="Times New Roman" w:hAnsi="Times New Roman" w:cs="Times New Roman"/>
                <w:i/>
              </w:rPr>
              <w:t xml:space="preserve">J </w:t>
            </w:r>
            <w:proofErr w:type="spellStart"/>
            <w:r w:rsidRPr="000C5D16">
              <w:rPr>
                <w:rFonts w:ascii="Times New Roman" w:hAnsi="Times New Roman" w:cs="Times New Roman"/>
                <w:i/>
              </w:rPr>
              <w:t>Thorac</w:t>
            </w:r>
            <w:proofErr w:type="spellEnd"/>
            <w:r w:rsidRPr="000C5D1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C5D16">
              <w:rPr>
                <w:rFonts w:ascii="Times New Roman" w:hAnsi="Times New Roman" w:cs="Times New Roman"/>
                <w:i/>
              </w:rPr>
              <w:t>Oncol</w:t>
            </w:r>
            <w:proofErr w:type="spellEnd"/>
            <w:r w:rsidRPr="000C5D16">
              <w:rPr>
                <w:rFonts w:ascii="Times New Roman" w:hAnsi="Times New Roman" w:cs="Times New Roman"/>
                <w:i/>
              </w:rPr>
              <w:t xml:space="preserve">. </w:t>
            </w:r>
            <w:r w:rsidRPr="000C5D16">
              <w:rPr>
                <w:rFonts w:ascii="Times New Roman" w:hAnsi="Times New Roman" w:cs="Times New Roman"/>
              </w:rPr>
              <w:t>2017</w:t>
            </w:r>
            <w:proofErr w:type="gramStart"/>
            <w:r w:rsidRPr="000C5D16">
              <w:rPr>
                <w:rFonts w:ascii="Times New Roman" w:hAnsi="Times New Roman" w:cs="Times New Roman"/>
              </w:rPr>
              <w:t>;12</w:t>
            </w:r>
            <w:proofErr w:type="gramEnd"/>
            <w:r w:rsidRPr="000C5D16">
              <w:rPr>
                <w:rFonts w:ascii="Times New Roman" w:hAnsi="Times New Roman" w:cs="Times New Roman"/>
              </w:rPr>
              <w:t>(10):1552-1560.</w:t>
            </w:r>
          </w:p>
        </w:tc>
        <w:tc>
          <w:tcPr>
            <w:tcW w:w="3960" w:type="dxa"/>
            <w:shd w:val="clear" w:color="auto" w:fill="auto"/>
          </w:tcPr>
          <w:p w14:paraId="758D3807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0C5D16">
              <w:rPr>
                <w:rFonts w:ascii="Times New Roman" w:hAnsi="Times New Roman" w:cs="Times New Roman"/>
              </w:rPr>
              <w:t xml:space="preserve">Sakamoto H, </w:t>
            </w:r>
            <w:proofErr w:type="spellStart"/>
            <w:r w:rsidRPr="000C5D16">
              <w:rPr>
                <w:rFonts w:ascii="Times New Roman" w:hAnsi="Times New Roman" w:cs="Times New Roman"/>
              </w:rPr>
              <w:t>Tsukaguchi</w:t>
            </w:r>
            <w:proofErr w:type="spellEnd"/>
            <w:r w:rsidRPr="000C5D16">
              <w:rPr>
                <w:rFonts w:ascii="Times New Roman" w:hAnsi="Times New Roman" w:cs="Times New Roman"/>
              </w:rPr>
              <w:t xml:space="preserve"> T, Hiroshima S, et al. CH5424802, a selective ALK inhibitor capable of blocking the resistant gatekeeper mutant. </w:t>
            </w:r>
            <w:r w:rsidRPr="000C5D16">
              <w:rPr>
                <w:rFonts w:ascii="Times New Roman" w:hAnsi="Times New Roman" w:cs="Times New Roman"/>
                <w:i/>
              </w:rPr>
              <w:t xml:space="preserve">Cancer Cell. </w:t>
            </w:r>
            <w:r w:rsidRPr="000C5D16">
              <w:rPr>
                <w:rFonts w:ascii="Times New Roman" w:hAnsi="Times New Roman" w:cs="Times New Roman"/>
              </w:rPr>
              <w:t>2011</w:t>
            </w:r>
            <w:proofErr w:type="gramStart"/>
            <w:r w:rsidRPr="000C5D16">
              <w:rPr>
                <w:rFonts w:ascii="Times New Roman" w:hAnsi="Times New Roman" w:cs="Times New Roman"/>
              </w:rPr>
              <w:t>;19</w:t>
            </w:r>
            <w:proofErr w:type="gramEnd"/>
            <w:r w:rsidRPr="000C5D16">
              <w:rPr>
                <w:rFonts w:ascii="Times New Roman" w:hAnsi="Times New Roman" w:cs="Times New Roman"/>
              </w:rPr>
              <w:t>(5):679-690.</w:t>
            </w:r>
          </w:p>
        </w:tc>
      </w:tr>
      <w:tr w:rsidR="00693190" w14:paraId="71C94FF7" w14:textId="77777777" w:rsidTr="00462116">
        <w:tc>
          <w:tcPr>
            <w:tcW w:w="1414" w:type="dxa"/>
            <w:vMerge/>
            <w:shd w:val="clear" w:color="auto" w:fill="auto"/>
          </w:tcPr>
          <w:p w14:paraId="58C6A1D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73BB5FB" w14:textId="1F406B72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Alectinib-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No </w:t>
            </w:r>
            <w:r w:rsidR="00575659">
              <w:rPr>
                <w:rFonts w:ascii="Times New Roman" w:hAnsi="Times New Roman" w:cs="Times New Roman"/>
                <w:color w:val="000000"/>
              </w:rPr>
              <w:lastRenderedPageBreak/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resistance (first line)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8C1483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D81BD6">
              <w:rPr>
                <w:rFonts w:ascii="Times New Roman" w:hAnsi="Times New Roman" w:cs="Times New Roman"/>
              </w:rPr>
              <w:lastRenderedPageBreak/>
              <w:t>Seto</w:t>
            </w:r>
            <w:proofErr w:type="spellEnd"/>
            <w:r w:rsidRPr="00D81BD6">
              <w:rPr>
                <w:rFonts w:ascii="Times New Roman" w:hAnsi="Times New Roman" w:cs="Times New Roman"/>
              </w:rPr>
              <w:t xml:space="preserve"> T, </w:t>
            </w:r>
            <w:proofErr w:type="spellStart"/>
            <w:r w:rsidRPr="00D81BD6">
              <w:rPr>
                <w:rFonts w:ascii="Times New Roman" w:hAnsi="Times New Roman" w:cs="Times New Roman"/>
              </w:rPr>
              <w:t>Kiura</w:t>
            </w:r>
            <w:proofErr w:type="spellEnd"/>
            <w:r w:rsidRPr="00D81BD6">
              <w:rPr>
                <w:rFonts w:ascii="Times New Roman" w:hAnsi="Times New Roman" w:cs="Times New Roman"/>
              </w:rPr>
              <w:t xml:space="preserve"> K, </w:t>
            </w:r>
            <w:proofErr w:type="spellStart"/>
            <w:r w:rsidRPr="00D81BD6">
              <w:rPr>
                <w:rFonts w:ascii="Times New Roman" w:hAnsi="Times New Roman" w:cs="Times New Roman"/>
              </w:rPr>
              <w:t>Nishio</w:t>
            </w:r>
            <w:proofErr w:type="spellEnd"/>
            <w:r w:rsidRPr="00D81BD6">
              <w:rPr>
                <w:rFonts w:ascii="Times New Roman" w:hAnsi="Times New Roman" w:cs="Times New Roman"/>
              </w:rPr>
              <w:t xml:space="preserve"> M, et al. </w:t>
            </w:r>
            <w:r w:rsidRPr="00D81BD6">
              <w:rPr>
                <w:rFonts w:ascii="Times New Roman" w:hAnsi="Times New Roman" w:cs="Times New Roman"/>
              </w:rPr>
              <w:lastRenderedPageBreak/>
              <w:t xml:space="preserve">CH5424802 (RO5424802) for patients with ALK-rearranged advanced non-small-cell lung cancer (AF-001JP study): a single-arm, open-label, phase 1-2 study. </w:t>
            </w:r>
            <w:r w:rsidRPr="00D81BD6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D81BD6">
              <w:rPr>
                <w:rFonts w:ascii="Times New Roman" w:hAnsi="Times New Roman" w:cs="Times New Roman"/>
              </w:rPr>
              <w:t>2013</w:t>
            </w:r>
            <w:proofErr w:type="gramStart"/>
            <w:r w:rsidRPr="00D81BD6">
              <w:rPr>
                <w:rFonts w:ascii="Times New Roman" w:hAnsi="Times New Roman" w:cs="Times New Roman"/>
              </w:rPr>
              <w:t>;14</w:t>
            </w:r>
            <w:proofErr w:type="gramEnd"/>
            <w:r w:rsidRPr="00D81BD6">
              <w:rPr>
                <w:rFonts w:ascii="Times New Roman" w:hAnsi="Times New Roman" w:cs="Times New Roman"/>
              </w:rPr>
              <w:t>(7):590-598.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9FBF3E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D81BD6">
              <w:rPr>
                <w:rFonts w:ascii="Times New Roman" w:hAnsi="Times New Roman" w:cs="Times New Roman"/>
              </w:rPr>
              <w:lastRenderedPageBreak/>
              <w:t xml:space="preserve">Sakamoto H, </w:t>
            </w:r>
            <w:proofErr w:type="spellStart"/>
            <w:r w:rsidRPr="00D81BD6">
              <w:rPr>
                <w:rFonts w:ascii="Times New Roman" w:hAnsi="Times New Roman" w:cs="Times New Roman"/>
              </w:rPr>
              <w:t>Tsukaguchi</w:t>
            </w:r>
            <w:proofErr w:type="spellEnd"/>
            <w:r w:rsidRPr="00D81BD6">
              <w:rPr>
                <w:rFonts w:ascii="Times New Roman" w:hAnsi="Times New Roman" w:cs="Times New Roman"/>
              </w:rPr>
              <w:t xml:space="preserve"> T, Hiroshima S, </w:t>
            </w:r>
            <w:r w:rsidRPr="00D81BD6">
              <w:rPr>
                <w:rFonts w:ascii="Times New Roman" w:hAnsi="Times New Roman" w:cs="Times New Roman"/>
              </w:rPr>
              <w:lastRenderedPageBreak/>
              <w:t xml:space="preserve">et al. CH5424802, a selective ALK inhibitor capable of blocking the resistant gatekeeper mutant. </w:t>
            </w:r>
            <w:r w:rsidRPr="00D81BD6">
              <w:rPr>
                <w:rFonts w:ascii="Times New Roman" w:hAnsi="Times New Roman" w:cs="Times New Roman"/>
                <w:i/>
              </w:rPr>
              <w:t xml:space="preserve">Cancer Cell. </w:t>
            </w:r>
            <w:r w:rsidRPr="00D81BD6">
              <w:rPr>
                <w:rFonts w:ascii="Times New Roman" w:hAnsi="Times New Roman" w:cs="Times New Roman"/>
              </w:rPr>
              <w:t>2011</w:t>
            </w:r>
            <w:proofErr w:type="gramStart"/>
            <w:r w:rsidRPr="00D81BD6">
              <w:rPr>
                <w:rFonts w:ascii="Times New Roman" w:hAnsi="Times New Roman" w:cs="Times New Roman"/>
              </w:rPr>
              <w:t>;19</w:t>
            </w:r>
            <w:proofErr w:type="gramEnd"/>
            <w:r w:rsidRPr="00D81BD6">
              <w:rPr>
                <w:rFonts w:ascii="Times New Roman" w:hAnsi="Times New Roman" w:cs="Times New Roman"/>
              </w:rPr>
              <w:t>(5):679-690.</w:t>
            </w:r>
          </w:p>
        </w:tc>
      </w:tr>
      <w:tr w:rsidR="00693190" w14:paraId="594BF487" w14:textId="77777777" w:rsidTr="00103688">
        <w:tc>
          <w:tcPr>
            <w:tcW w:w="1414" w:type="dxa"/>
            <w:vMerge/>
            <w:shd w:val="clear" w:color="auto" w:fill="auto"/>
          </w:tcPr>
          <w:p w14:paraId="530DAF84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32D4C" w14:textId="4F437BFD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Ceritinib-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Resistance</w:t>
            </w:r>
          </w:p>
        </w:tc>
        <w:tc>
          <w:tcPr>
            <w:tcW w:w="3410" w:type="dxa"/>
            <w:shd w:val="clear" w:color="auto" w:fill="auto"/>
          </w:tcPr>
          <w:p w14:paraId="2DBDAE5A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FE20E3">
              <w:rPr>
                <w:rFonts w:ascii="Times New Roman" w:hAnsi="Times New Roman" w:cs="Times New Roman"/>
              </w:rPr>
              <w:t>Crino</w:t>
            </w:r>
            <w:proofErr w:type="spellEnd"/>
            <w:r w:rsidRPr="00FE20E3">
              <w:rPr>
                <w:rFonts w:ascii="Times New Roman" w:hAnsi="Times New Roman" w:cs="Times New Roman"/>
              </w:rPr>
              <w:t xml:space="preserve"> L, </w:t>
            </w:r>
            <w:proofErr w:type="spellStart"/>
            <w:r w:rsidRPr="00FE20E3">
              <w:rPr>
                <w:rFonts w:ascii="Times New Roman" w:hAnsi="Times New Roman" w:cs="Times New Roman"/>
              </w:rPr>
              <w:t>Ahn</w:t>
            </w:r>
            <w:proofErr w:type="spellEnd"/>
            <w:r w:rsidRPr="00FE20E3">
              <w:rPr>
                <w:rFonts w:ascii="Times New Roman" w:hAnsi="Times New Roman" w:cs="Times New Roman"/>
              </w:rPr>
              <w:t xml:space="preserve"> MJ, De </w:t>
            </w:r>
            <w:proofErr w:type="spellStart"/>
            <w:r w:rsidRPr="00FE20E3">
              <w:rPr>
                <w:rFonts w:ascii="Times New Roman" w:hAnsi="Times New Roman" w:cs="Times New Roman"/>
              </w:rPr>
              <w:t>Marinis</w:t>
            </w:r>
            <w:proofErr w:type="spellEnd"/>
            <w:r w:rsidRPr="00FE20E3">
              <w:rPr>
                <w:rFonts w:ascii="Times New Roman" w:hAnsi="Times New Roman" w:cs="Times New Roman"/>
              </w:rPr>
              <w:t xml:space="preserve"> F, et al. Multicenter Phase II Study of Whole-Body and Intracranial Activity With Ceritinib in Patients With ALK-Rearranged Non-Small-Cell Lung Cancer Previously Treated With Chemotherapy and Crizotinib: Results From ASCEND-2. </w:t>
            </w:r>
            <w:r w:rsidRPr="00FE20E3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FE20E3">
              <w:rPr>
                <w:rFonts w:ascii="Times New Roman" w:hAnsi="Times New Roman" w:cs="Times New Roman"/>
              </w:rPr>
              <w:t>2016</w:t>
            </w:r>
            <w:proofErr w:type="gramStart"/>
            <w:r w:rsidRPr="00FE20E3">
              <w:rPr>
                <w:rFonts w:ascii="Times New Roman" w:hAnsi="Times New Roman" w:cs="Times New Roman"/>
              </w:rPr>
              <w:t>;34</w:t>
            </w:r>
            <w:proofErr w:type="gramEnd"/>
            <w:r w:rsidRPr="00FE20E3">
              <w:rPr>
                <w:rFonts w:ascii="Times New Roman" w:hAnsi="Times New Roman" w:cs="Times New Roman"/>
              </w:rPr>
              <w:t>(24):2866-2873.</w:t>
            </w:r>
          </w:p>
        </w:tc>
        <w:tc>
          <w:tcPr>
            <w:tcW w:w="3960" w:type="dxa"/>
            <w:shd w:val="clear" w:color="auto" w:fill="auto"/>
          </w:tcPr>
          <w:p w14:paraId="60D68231" w14:textId="77777777" w:rsidR="00693190" w:rsidRPr="00FE20E3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FE20E3">
              <w:rPr>
                <w:rFonts w:ascii="Times New Roman" w:hAnsi="Times New Roman" w:cs="Times New Roman"/>
              </w:rPr>
              <w:t>Friboulet</w:t>
            </w:r>
            <w:proofErr w:type="spellEnd"/>
            <w:r w:rsidRPr="00FE20E3">
              <w:rPr>
                <w:rFonts w:ascii="Times New Roman" w:hAnsi="Times New Roman" w:cs="Times New Roman"/>
              </w:rPr>
              <w:t xml:space="preserve"> L, Li N, Katayama R, et al. The ALK inhibitor ceritinib overcomes crizotinib resistance in non-small cell lung cancer. </w:t>
            </w:r>
            <w:r w:rsidRPr="00FE20E3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FE20E3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FE20E3">
              <w:rPr>
                <w:rFonts w:ascii="Times New Roman" w:hAnsi="Times New Roman" w:cs="Times New Roman"/>
                <w:i/>
              </w:rPr>
              <w:t xml:space="preserve">. </w:t>
            </w:r>
            <w:r w:rsidRPr="00FE20E3">
              <w:rPr>
                <w:rFonts w:ascii="Times New Roman" w:hAnsi="Times New Roman" w:cs="Times New Roman"/>
              </w:rPr>
              <w:t>2014</w:t>
            </w:r>
            <w:proofErr w:type="gramStart"/>
            <w:r w:rsidRPr="00FE20E3">
              <w:rPr>
                <w:rFonts w:ascii="Times New Roman" w:hAnsi="Times New Roman" w:cs="Times New Roman"/>
              </w:rPr>
              <w:t>;4</w:t>
            </w:r>
            <w:proofErr w:type="gramEnd"/>
            <w:r w:rsidRPr="00FE20E3">
              <w:rPr>
                <w:rFonts w:ascii="Times New Roman" w:hAnsi="Times New Roman" w:cs="Times New Roman"/>
              </w:rPr>
              <w:t>(6):662-673.</w:t>
            </w:r>
          </w:p>
          <w:p w14:paraId="204D874A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2C19DE7C" w14:textId="77777777" w:rsidTr="00462116">
        <w:tc>
          <w:tcPr>
            <w:tcW w:w="1414" w:type="dxa"/>
            <w:vMerge/>
            <w:shd w:val="clear" w:color="auto" w:fill="auto"/>
          </w:tcPr>
          <w:p w14:paraId="51F0C64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CF410A0" w14:textId="5ACC8519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Ceritinib-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No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resistance (first line)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5A2E9AB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BF07F9">
              <w:rPr>
                <w:rFonts w:ascii="Times New Roman" w:hAnsi="Times New Roman" w:cs="Times New Roman"/>
              </w:rPr>
              <w:t>Felip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 E, </w:t>
            </w:r>
            <w:proofErr w:type="spellStart"/>
            <w:r w:rsidRPr="00BF07F9">
              <w:rPr>
                <w:rFonts w:ascii="Times New Roman" w:hAnsi="Times New Roman" w:cs="Times New Roman"/>
              </w:rPr>
              <w:t>Orlov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 S, Park K, et al. Phase 2 study of </w:t>
            </w:r>
            <w:proofErr w:type="spellStart"/>
            <w:r w:rsidRPr="00BF07F9">
              <w:rPr>
                <w:rFonts w:ascii="Times New Roman" w:hAnsi="Times New Roman" w:cs="Times New Roman"/>
              </w:rPr>
              <w:t>ceritinib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F07F9">
              <w:rPr>
                <w:rFonts w:ascii="Times New Roman" w:hAnsi="Times New Roman" w:cs="Times New Roman"/>
              </w:rPr>
              <w:t>ALKi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-naïve patients (pts) with ALK-rearranged (ALK+) non-small cell lung cancer (NSCLC): Whole body responses in the overall </w:t>
            </w:r>
            <w:proofErr w:type="spellStart"/>
            <w:r w:rsidRPr="00BF07F9">
              <w:rPr>
                <w:rFonts w:ascii="Times New Roman" w:hAnsi="Times New Roman" w:cs="Times New Roman"/>
              </w:rPr>
              <w:t>pt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 group and in pts with baseline brain metastases (BM). </w:t>
            </w:r>
            <w:r w:rsidRPr="00BF07F9">
              <w:rPr>
                <w:rFonts w:ascii="Times New Roman" w:hAnsi="Times New Roman" w:cs="Times New Roman"/>
                <w:i/>
              </w:rPr>
              <w:t xml:space="preserve">Annals of Oncology. </w:t>
            </w:r>
            <w:r w:rsidRPr="00BF07F9">
              <w:rPr>
                <w:rFonts w:ascii="Times New Roman" w:hAnsi="Times New Roman" w:cs="Times New Roman"/>
              </w:rPr>
              <w:t>2016</w:t>
            </w:r>
            <w:proofErr w:type="gramStart"/>
            <w:r w:rsidRPr="00BF07F9">
              <w:rPr>
                <w:rFonts w:ascii="Times New Roman" w:hAnsi="Times New Roman" w:cs="Times New Roman"/>
              </w:rPr>
              <w:t>;27</w:t>
            </w:r>
            <w:proofErr w:type="gramEnd"/>
            <w:r w:rsidRPr="00BF07F9">
              <w:rPr>
                <w:rFonts w:ascii="Times New Roman" w:hAnsi="Times New Roman" w:cs="Times New Roman"/>
              </w:rPr>
              <w:t>(suppl_6).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8F37C4F" w14:textId="77777777" w:rsidR="00693190" w:rsidRPr="00BF07F9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BF07F9">
              <w:rPr>
                <w:rFonts w:ascii="Times New Roman" w:hAnsi="Times New Roman" w:cs="Times New Roman"/>
              </w:rPr>
              <w:t>Friboulet</w:t>
            </w:r>
            <w:proofErr w:type="spellEnd"/>
            <w:r w:rsidRPr="00BF07F9">
              <w:rPr>
                <w:rFonts w:ascii="Times New Roman" w:hAnsi="Times New Roman" w:cs="Times New Roman"/>
              </w:rPr>
              <w:t xml:space="preserve"> L, Li N, Katayama R, et al. The ALK inhibitor ceritinib overcomes crizotinib resistance in non-small cell lung cancer. </w:t>
            </w:r>
            <w:r w:rsidRPr="00BF07F9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BF07F9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BF07F9">
              <w:rPr>
                <w:rFonts w:ascii="Times New Roman" w:hAnsi="Times New Roman" w:cs="Times New Roman"/>
                <w:i/>
              </w:rPr>
              <w:t xml:space="preserve">. </w:t>
            </w:r>
            <w:r w:rsidRPr="00BF07F9">
              <w:rPr>
                <w:rFonts w:ascii="Times New Roman" w:hAnsi="Times New Roman" w:cs="Times New Roman"/>
              </w:rPr>
              <w:t>2014</w:t>
            </w:r>
            <w:proofErr w:type="gramStart"/>
            <w:r w:rsidRPr="00BF07F9">
              <w:rPr>
                <w:rFonts w:ascii="Times New Roman" w:hAnsi="Times New Roman" w:cs="Times New Roman"/>
              </w:rPr>
              <w:t>;4</w:t>
            </w:r>
            <w:proofErr w:type="gramEnd"/>
            <w:r w:rsidRPr="00BF07F9">
              <w:rPr>
                <w:rFonts w:ascii="Times New Roman" w:hAnsi="Times New Roman" w:cs="Times New Roman"/>
              </w:rPr>
              <w:t>(6):662-673.</w:t>
            </w:r>
          </w:p>
          <w:p w14:paraId="3FF4C442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233E2B65" w14:textId="77777777" w:rsidTr="00103688">
        <w:tc>
          <w:tcPr>
            <w:tcW w:w="1414" w:type="dxa"/>
            <w:vMerge/>
            <w:shd w:val="clear" w:color="auto" w:fill="auto"/>
          </w:tcPr>
          <w:p w14:paraId="777911F6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2FF2D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Dacomitinib-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exon 19 deletion</w:t>
            </w:r>
          </w:p>
        </w:tc>
        <w:tc>
          <w:tcPr>
            <w:tcW w:w="3410" w:type="dxa"/>
            <w:shd w:val="clear" w:color="auto" w:fill="auto"/>
          </w:tcPr>
          <w:p w14:paraId="3FF46872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BF1C26">
              <w:rPr>
                <w:rFonts w:ascii="Times New Roman" w:hAnsi="Times New Roman" w:cs="Times New Roman"/>
              </w:rPr>
              <w:t>Janne</w:t>
            </w:r>
            <w:proofErr w:type="spellEnd"/>
            <w:r w:rsidRPr="00BF1C26">
              <w:rPr>
                <w:rFonts w:ascii="Times New Roman" w:hAnsi="Times New Roman" w:cs="Times New Roman"/>
              </w:rPr>
              <w:t xml:space="preserve"> PA, </w:t>
            </w:r>
            <w:proofErr w:type="spellStart"/>
            <w:r w:rsidRPr="00BF1C26">
              <w:rPr>
                <w:rFonts w:ascii="Times New Roman" w:hAnsi="Times New Roman" w:cs="Times New Roman"/>
              </w:rPr>
              <w:t>Ou</w:t>
            </w:r>
            <w:proofErr w:type="spellEnd"/>
            <w:r w:rsidRPr="00BF1C26">
              <w:rPr>
                <w:rFonts w:ascii="Times New Roman" w:hAnsi="Times New Roman" w:cs="Times New Roman"/>
              </w:rPr>
              <w:t xml:space="preserve"> SI, Kim DW, et al. Dacomitinib as first-line treatment in patients with clinically or molecularly selected advanced non-small-cell lung cancer: a </w:t>
            </w:r>
            <w:proofErr w:type="spellStart"/>
            <w:r w:rsidRPr="00BF1C26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BF1C26">
              <w:rPr>
                <w:rFonts w:ascii="Times New Roman" w:hAnsi="Times New Roman" w:cs="Times New Roman"/>
              </w:rPr>
              <w:t xml:space="preserve">, open-label, phase 2 trial. </w:t>
            </w:r>
            <w:r w:rsidRPr="00BF1C26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BF1C26">
              <w:rPr>
                <w:rFonts w:ascii="Times New Roman" w:hAnsi="Times New Roman" w:cs="Times New Roman"/>
              </w:rPr>
              <w:t>2014</w:t>
            </w:r>
            <w:proofErr w:type="gramStart"/>
            <w:r w:rsidRPr="00BF1C26">
              <w:rPr>
                <w:rFonts w:ascii="Times New Roman" w:hAnsi="Times New Roman" w:cs="Times New Roman"/>
              </w:rPr>
              <w:t>;15</w:t>
            </w:r>
            <w:proofErr w:type="gramEnd"/>
            <w:r w:rsidRPr="00BF1C26">
              <w:rPr>
                <w:rFonts w:ascii="Times New Roman" w:hAnsi="Times New Roman" w:cs="Times New Roman"/>
              </w:rPr>
              <w:t>(13):1433-1441.</w:t>
            </w:r>
          </w:p>
        </w:tc>
        <w:tc>
          <w:tcPr>
            <w:tcW w:w="3960" w:type="dxa"/>
            <w:shd w:val="clear" w:color="auto" w:fill="auto"/>
          </w:tcPr>
          <w:p w14:paraId="1E57A41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273AE2">
              <w:rPr>
                <w:rFonts w:ascii="Times New Roman" w:hAnsi="Times New Roman" w:cs="Times New Roman"/>
              </w:rPr>
              <w:t>Engelman</w:t>
            </w:r>
            <w:proofErr w:type="spellEnd"/>
            <w:r w:rsidRPr="00273AE2">
              <w:rPr>
                <w:rFonts w:ascii="Times New Roman" w:hAnsi="Times New Roman" w:cs="Times New Roman"/>
              </w:rPr>
              <w:t xml:space="preserve"> JA, </w:t>
            </w:r>
            <w:proofErr w:type="spellStart"/>
            <w:r w:rsidRPr="00273AE2">
              <w:rPr>
                <w:rFonts w:ascii="Times New Roman" w:hAnsi="Times New Roman" w:cs="Times New Roman"/>
              </w:rPr>
              <w:t>Zejnullahu</w:t>
            </w:r>
            <w:proofErr w:type="spellEnd"/>
            <w:r w:rsidRPr="00273AE2">
              <w:rPr>
                <w:rFonts w:ascii="Times New Roman" w:hAnsi="Times New Roman" w:cs="Times New Roman"/>
              </w:rPr>
              <w:t xml:space="preserve"> K, Gale CM, et al. PF00299804, an irreversible pan-ERBB inhibitor, is effective in lung cancer models with EGFR and ERBB2 mutations that are resistant to gefitinib. </w:t>
            </w:r>
            <w:r w:rsidRPr="00273AE2">
              <w:rPr>
                <w:rFonts w:ascii="Times New Roman" w:hAnsi="Times New Roman" w:cs="Times New Roman"/>
                <w:i/>
              </w:rPr>
              <w:t xml:space="preserve">Cancer Res. </w:t>
            </w:r>
            <w:r w:rsidRPr="00273AE2">
              <w:rPr>
                <w:rFonts w:ascii="Times New Roman" w:hAnsi="Times New Roman" w:cs="Times New Roman"/>
              </w:rPr>
              <w:t>2007</w:t>
            </w:r>
            <w:proofErr w:type="gramStart"/>
            <w:r w:rsidRPr="00273AE2">
              <w:rPr>
                <w:rFonts w:ascii="Times New Roman" w:hAnsi="Times New Roman" w:cs="Times New Roman"/>
              </w:rPr>
              <w:t>;67</w:t>
            </w:r>
            <w:proofErr w:type="gramEnd"/>
            <w:r w:rsidRPr="00273AE2">
              <w:rPr>
                <w:rFonts w:ascii="Times New Roman" w:hAnsi="Times New Roman" w:cs="Times New Roman"/>
              </w:rPr>
              <w:t>(24):11924-11932.</w:t>
            </w:r>
          </w:p>
        </w:tc>
      </w:tr>
      <w:tr w:rsidR="00693190" w14:paraId="534D960D" w14:textId="77777777" w:rsidTr="00462116">
        <w:tc>
          <w:tcPr>
            <w:tcW w:w="1414" w:type="dxa"/>
            <w:vMerge/>
            <w:shd w:val="clear" w:color="auto" w:fill="auto"/>
          </w:tcPr>
          <w:p w14:paraId="231387E7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F5163F6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Crizotinib-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3074B34D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092A16">
              <w:rPr>
                <w:rFonts w:ascii="Times New Roman" w:hAnsi="Times New Roman" w:cs="Times New Roman"/>
              </w:rPr>
              <w:t>Camidge</w:t>
            </w:r>
            <w:proofErr w:type="spellEnd"/>
            <w:r w:rsidRPr="00092A16">
              <w:rPr>
                <w:rFonts w:ascii="Times New Roman" w:hAnsi="Times New Roman" w:cs="Times New Roman"/>
              </w:rPr>
              <w:t xml:space="preserve"> DR, Bang YJ, Kwak EL, et al. Activity and safety of crizotinib in patients with ALK-positive non-small-cell lung cancer: updated results from a phase 1 study. </w:t>
            </w:r>
            <w:r w:rsidRPr="00092A16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092A16">
              <w:rPr>
                <w:rFonts w:ascii="Times New Roman" w:hAnsi="Times New Roman" w:cs="Times New Roman"/>
              </w:rPr>
              <w:t>2012</w:t>
            </w:r>
            <w:proofErr w:type="gramStart"/>
            <w:r w:rsidRPr="00092A16">
              <w:rPr>
                <w:rFonts w:ascii="Times New Roman" w:hAnsi="Times New Roman" w:cs="Times New Roman"/>
              </w:rPr>
              <w:t>;13</w:t>
            </w:r>
            <w:proofErr w:type="gramEnd"/>
            <w:r w:rsidRPr="00092A16">
              <w:rPr>
                <w:rFonts w:ascii="Times New Roman" w:hAnsi="Times New Roman" w:cs="Times New Roman"/>
              </w:rPr>
              <w:t>(10):1011-1019.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80F702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092A16">
              <w:rPr>
                <w:rFonts w:ascii="Times New Roman" w:hAnsi="Times New Roman" w:cs="Times New Roman"/>
              </w:rPr>
              <w:t xml:space="preserve">Sang J, </w:t>
            </w:r>
            <w:proofErr w:type="spellStart"/>
            <w:r w:rsidRPr="00092A16">
              <w:rPr>
                <w:rFonts w:ascii="Times New Roman" w:hAnsi="Times New Roman" w:cs="Times New Roman"/>
              </w:rPr>
              <w:t>Acquaviva</w:t>
            </w:r>
            <w:proofErr w:type="spellEnd"/>
            <w:r w:rsidRPr="00092A16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092A16">
              <w:rPr>
                <w:rFonts w:ascii="Times New Roman" w:hAnsi="Times New Roman" w:cs="Times New Roman"/>
              </w:rPr>
              <w:t>Friedland</w:t>
            </w:r>
            <w:proofErr w:type="spellEnd"/>
            <w:r w:rsidRPr="00092A16">
              <w:rPr>
                <w:rFonts w:ascii="Times New Roman" w:hAnsi="Times New Roman" w:cs="Times New Roman"/>
              </w:rPr>
              <w:t xml:space="preserve"> JC, et al. Targeted inhibition of the molecular chaperone Hsp90 overcomes ALK inhibitor resistance in non-small cell lung cancer. </w:t>
            </w:r>
            <w:r w:rsidRPr="00092A16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092A16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092A16">
              <w:rPr>
                <w:rFonts w:ascii="Times New Roman" w:hAnsi="Times New Roman" w:cs="Times New Roman"/>
                <w:i/>
              </w:rPr>
              <w:t xml:space="preserve">. </w:t>
            </w:r>
            <w:r w:rsidRPr="00092A16">
              <w:rPr>
                <w:rFonts w:ascii="Times New Roman" w:hAnsi="Times New Roman" w:cs="Times New Roman"/>
              </w:rPr>
              <w:t>2013</w:t>
            </w:r>
            <w:proofErr w:type="gramStart"/>
            <w:r w:rsidRPr="00092A16">
              <w:rPr>
                <w:rFonts w:ascii="Times New Roman" w:hAnsi="Times New Roman" w:cs="Times New Roman"/>
              </w:rPr>
              <w:t>;3</w:t>
            </w:r>
            <w:proofErr w:type="gramEnd"/>
            <w:r w:rsidRPr="00092A16">
              <w:rPr>
                <w:rFonts w:ascii="Times New Roman" w:hAnsi="Times New Roman" w:cs="Times New Roman"/>
              </w:rPr>
              <w:t>(4):430-443.</w:t>
            </w:r>
          </w:p>
        </w:tc>
      </w:tr>
      <w:tr w:rsidR="00693190" w14:paraId="4E832182" w14:textId="77777777" w:rsidTr="00103688">
        <w:tc>
          <w:tcPr>
            <w:tcW w:w="1414" w:type="dxa"/>
            <w:vMerge/>
            <w:shd w:val="clear" w:color="auto" w:fill="auto"/>
          </w:tcPr>
          <w:p w14:paraId="6282586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7100F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Gefitinib-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exon 19 deletion</w:t>
            </w:r>
          </w:p>
        </w:tc>
        <w:tc>
          <w:tcPr>
            <w:tcW w:w="3410" w:type="dxa"/>
            <w:shd w:val="clear" w:color="auto" w:fill="auto"/>
          </w:tcPr>
          <w:p w14:paraId="017FEDB7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7B6C38">
              <w:rPr>
                <w:rFonts w:ascii="Times New Roman" w:hAnsi="Times New Roman" w:cs="Times New Roman"/>
              </w:rPr>
              <w:t>Sequist</w:t>
            </w:r>
            <w:proofErr w:type="spellEnd"/>
            <w:r w:rsidRPr="007B6C38">
              <w:rPr>
                <w:rFonts w:ascii="Times New Roman" w:hAnsi="Times New Roman" w:cs="Times New Roman"/>
              </w:rPr>
              <w:t xml:space="preserve"> LV, Martins RG, </w:t>
            </w:r>
            <w:proofErr w:type="spellStart"/>
            <w:r w:rsidRPr="007B6C38">
              <w:rPr>
                <w:rFonts w:ascii="Times New Roman" w:hAnsi="Times New Roman" w:cs="Times New Roman"/>
              </w:rPr>
              <w:t>Spigel</w:t>
            </w:r>
            <w:proofErr w:type="spellEnd"/>
            <w:r w:rsidRPr="007B6C38">
              <w:rPr>
                <w:rFonts w:ascii="Times New Roman" w:hAnsi="Times New Roman" w:cs="Times New Roman"/>
              </w:rPr>
              <w:t xml:space="preserve"> D, et al. First-line gefitinib in patients with advanced non-small-cell lung cancer harboring somatic EGFR mutations. </w:t>
            </w:r>
            <w:r w:rsidRPr="007B6C38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7B6C38">
              <w:rPr>
                <w:rFonts w:ascii="Times New Roman" w:hAnsi="Times New Roman" w:cs="Times New Roman"/>
              </w:rPr>
              <w:t>2008</w:t>
            </w:r>
            <w:proofErr w:type="gramStart"/>
            <w:r w:rsidRPr="007B6C38">
              <w:rPr>
                <w:rFonts w:ascii="Times New Roman" w:hAnsi="Times New Roman" w:cs="Times New Roman"/>
              </w:rPr>
              <w:t>;26</w:t>
            </w:r>
            <w:proofErr w:type="gramEnd"/>
            <w:r w:rsidRPr="007B6C38">
              <w:rPr>
                <w:rFonts w:ascii="Times New Roman" w:hAnsi="Times New Roman" w:cs="Times New Roman"/>
              </w:rPr>
              <w:t>(15):2442-2449.</w:t>
            </w:r>
          </w:p>
        </w:tc>
        <w:tc>
          <w:tcPr>
            <w:tcW w:w="3960" w:type="dxa"/>
            <w:shd w:val="clear" w:color="auto" w:fill="auto"/>
          </w:tcPr>
          <w:p w14:paraId="23CF25ED" w14:textId="77777777" w:rsidR="00693190" w:rsidRPr="007B6C38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7B6C38">
              <w:rPr>
                <w:rFonts w:ascii="Times New Roman" w:hAnsi="Times New Roman" w:cs="Times New Roman"/>
              </w:rPr>
              <w:t>Naumov</w:t>
            </w:r>
            <w:proofErr w:type="spellEnd"/>
            <w:r w:rsidRPr="007B6C38">
              <w:rPr>
                <w:rFonts w:ascii="Times New Roman" w:hAnsi="Times New Roman" w:cs="Times New Roman"/>
              </w:rPr>
              <w:t xml:space="preserve"> GN, Nilsson MB, </w:t>
            </w:r>
            <w:proofErr w:type="spellStart"/>
            <w:r w:rsidRPr="007B6C38">
              <w:rPr>
                <w:rFonts w:ascii="Times New Roman" w:hAnsi="Times New Roman" w:cs="Times New Roman"/>
              </w:rPr>
              <w:t>Cascone</w:t>
            </w:r>
            <w:proofErr w:type="spellEnd"/>
            <w:r w:rsidRPr="007B6C38">
              <w:rPr>
                <w:rFonts w:ascii="Times New Roman" w:hAnsi="Times New Roman" w:cs="Times New Roman"/>
              </w:rPr>
              <w:t xml:space="preserve"> T, et al. Combined vascular endothelial growth factor receptor and epidermal growth factor receptor (EGFR) blockade inhibits tumor growth in xenograft models of EGFR inhibitor resistance. </w:t>
            </w:r>
            <w:r w:rsidRPr="007B6C38">
              <w:rPr>
                <w:rFonts w:ascii="Times New Roman" w:hAnsi="Times New Roman" w:cs="Times New Roman"/>
                <w:i/>
              </w:rPr>
              <w:t xml:space="preserve">Clin Cancer Res. </w:t>
            </w:r>
            <w:r w:rsidRPr="007B6C38">
              <w:rPr>
                <w:rFonts w:ascii="Times New Roman" w:hAnsi="Times New Roman" w:cs="Times New Roman"/>
              </w:rPr>
              <w:t>2009</w:t>
            </w:r>
            <w:proofErr w:type="gramStart"/>
            <w:r w:rsidRPr="007B6C38">
              <w:rPr>
                <w:rFonts w:ascii="Times New Roman" w:hAnsi="Times New Roman" w:cs="Times New Roman"/>
              </w:rPr>
              <w:t>;15</w:t>
            </w:r>
            <w:proofErr w:type="gramEnd"/>
            <w:r w:rsidRPr="007B6C38">
              <w:rPr>
                <w:rFonts w:ascii="Times New Roman" w:hAnsi="Times New Roman" w:cs="Times New Roman"/>
              </w:rPr>
              <w:t>(10):3484-3494.</w:t>
            </w:r>
          </w:p>
          <w:p w14:paraId="5CEEC186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67176BDB" w14:textId="77777777" w:rsidTr="00462116">
        <w:tc>
          <w:tcPr>
            <w:tcW w:w="1414" w:type="dxa"/>
            <w:vMerge/>
            <w:shd w:val="clear" w:color="auto" w:fill="auto"/>
          </w:tcPr>
          <w:p w14:paraId="17A96912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30A025" w14:textId="58D0721D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Lorlatinib-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Resistance to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rizotinib + an additional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inhibitor, resistance to </w:t>
            </w:r>
            <w:r w:rsidR="00575659">
              <w:rPr>
                <w:rFonts w:ascii="Times New Roman" w:hAnsi="Times New Roman" w:cs="Times New Roman"/>
                <w:color w:val="000000"/>
              </w:rPr>
              <w:t>a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lectinib, or resistance to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eritinib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397C85A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0F4DD5">
              <w:rPr>
                <w:rFonts w:ascii="Times New Roman" w:hAnsi="Times New Roman" w:cs="Times New Roman"/>
              </w:rPr>
              <w:t xml:space="preserve">Solomon BJ, </w:t>
            </w:r>
            <w:proofErr w:type="spellStart"/>
            <w:r w:rsidRPr="000F4DD5">
              <w:rPr>
                <w:rFonts w:ascii="Times New Roman" w:hAnsi="Times New Roman" w:cs="Times New Roman"/>
              </w:rPr>
              <w:t>Besse</w:t>
            </w:r>
            <w:proofErr w:type="spellEnd"/>
            <w:r w:rsidRPr="000F4DD5">
              <w:rPr>
                <w:rFonts w:ascii="Times New Roman" w:hAnsi="Times New Roman" w:cs="Times New Roman"/>
              </w:rPr>
              <w:t xml:space="preserve"> B, </w:t>
            </w:r>
            <w:proofErr w:type="gramStart"/>
            <w:r w:rsidRPr="000F4DD5">
              <w:rPr>
                <w:rFonts w:ascii="Times New Roman" w:hAnsi="Times New Roman" w:cs="Times New Roman"/>
              </w:rPr>
              <w:t>Bauer</w:t>
            </w:r>
            <w:proofErr w:type="gramEnd"/>
            <w:r w:rsidRPr="000F4DD5">
              <w:rPr>
                <w:rFonts w:ascii="Times New Roman" w:hAnsi="Times New Roman" w:cs="Times New Roman"/>
              </w:rPr>
              <w:t xml:space="preserve"> TM, et al. Lorlatinib in patients with ALK-positive non-small-cell lung cancer: results from a global phase 2 study. </w:t>
            </w:r>
            <w:r w:rsidRPr="000F4DD5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0F4DD5">
              <w:rPr>
                <w:rFonts w:ascii="Times New Roman" w:hAnsi="Times New Roman" w:cs="Times New Roman"/>
              </w:rPr>
              <w:t>2018</w:t>
            </w:r>
            <w:proofErr w:type="gramStart"/>
            <w:r w:rsidRPr="000F4DD5">
              <w:rPr>
                <w:rFonts w:ascii="Times New Roman" w:hAnsi="Times New Roman" w:cs="Times New Roman"/>
              </w:rPr>
              <w:t>;19</w:t>
            </w:r>
            <w:proofErr w:type="gramEnd"/>
            <w:r w:rsidRPr="000F4DD5">
              <w:rPr>
                <w:rFonts w:ascii="Times New Roman" w:hAnsi="Times New Roman" w:cs="Times New Roman"/>
              </w:rPr>
              <w:t>(12):1654-1667.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204C2E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0F4DD5">
              <w:rPr>
                <w:rFonts w:ascii="Times New Roman" w:hAnsi="Times New Roman" w:cs="Times New Roman"/>
              </w:rPr>
              <w:t xml:space="preserve">Zou HY, </w:t>
            </w:r>
            <w:proofErr w:type="spellStart"/>
            <w:r w:rsidRPr="000F4DD5">
              <w:rPr>
                <w:rFonts w:ascii="Times New Roman" w:hAnsi="Times New Roman" w:cs="Times New Roman"/>
              </w:rPr>
              <w:t>Friboulet</w:t>
            </w:r>
            <w:proofErr w:type="spellEnd"/>
            <w:r w:rsidRPr="000F4DD5">
              <w:rPr>
                <w:rFonts w:ascii="Times New Roman" w:hAnsi="Times New Roman" w:cs="Times New Roman"/>
              </w:rPr>
              <w:t xml:space="preserve"> L, </w:t>
            </w:r>
            <w:proofErr w:type="spellStart"/>
            <w:r w:rsidRPr="000F4DD5">
              <w:rPr>
                <w:rFonts w:ascii="Times New Roman" w:hAnsi="Times New Roman" w:cs="Times New Roman"/>
              </w:rPr>
              <w:t>Kodack</w:t>
            </w:r>
            <w:proofErr w:type="spellEnd"/>
            <w:r w:rsidRPr="000F4DD5">
              <w:rPr>
                <w:rFonts w:ascii="Times New Roman" w:hAnsi="Times New Roman" w:cs="Times New Roman"/>
              </w:rPr>
              <w:t xml:space="preserve"> DP, et al. PF-06463922, an ALK/ROS1 Inhibitor, Overcomes Resistance to First and Second Generation ALK Inhibitors in Preclinical Models. </w:t>
            </w:r>
            <w:r w:rsidRPr="000F4DD5">
              <w:rPr>
                <w:rFonts w:ascii="Times New Roman" w:hAnsi="Times New Roman" w:cs="Times New Roman"/>
                <w:i/>
              </w:rPr>
              <w:t xml:space="preserve">Cancer Cell. </w:t>
            </w:r>
            <w:r w:rsidRPr="000F4DD5">
              <w:rPr>
                <w:rFonts w:ascii="Times New Roman" w:hAnsi="Times New Roman" w:cs="Times New Roman"/>
              </w:rPr>
              <w:t>2015</w:t>
            </w:r>
            <w:proofErr w:type="gramStart"/>
            <w:r w:rsidRPr="000F4DD5">
              <w:rPr>
                <w:rFonts w:ascii="Times New Roman" w:hAnsi="Times New Roman" w:cs="Times New Roman"/>
              </w:rPr>
              <w:t>;28</w:t>
            </w:r>
            <w:proofErr w:type="gramEnd"/>
            <w:r w:rsidRPr="000F4DD5">
              <w:rPr>
                <w:rFonts w:ascii="Times New Roman" w:hAnsi="Times New Roman" w:cs="Times New Roman"/>
              </w:rPr>
              <w:t>(1):70-81.</w:t>
            </w:r>
          </w:p>
        </w:tc>
      </w:tr>
      <w:tr w:rsidR="00693190" w14:paraId="2ED863AB" w14:textId="77777777" w:rsidTr="00103688">
        <w:tc>
          <w:tcPr>
            <w:tcW w:w="1414" w:type="dxa"/>
            <w:shd w:val="clear" w:color="auto" w:fill="auto"/>
          </w:tcPr>
          <w:p w14:paraId="0891A72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70B10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auto"/>
          </w:tcPr>
          <w:p w14:paraId="2D005AFA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14:paraId="01AEED7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7A745D49" w14:textId="77777777" w:rsidTr="00103688">
        <w:tc>
          <w:tcPr>
            <w:tcW w:w="1414" w:type="dxa"/>
            <w:vMerge w:val="restart"/>
            <w:shd w:val="clear" w:color="auto" w:fill="auto"/>
          </w:tcPr>
          <w:p w14:paraId="3E745983" w14:textId="77777777" w:rsidR="00693190" w:rsidRDefault="00693190" w:rsidP="00103688">
            <w:pPr>
              <w:jc w:val="center"/>
              <w:rPr>
                <w:rFonts w:ascii="Times New Roman" w:hAnsi="Times New Roman" w:cs="Times New Roman"/>
              </w:rPr>
            </w:pPr>
            <w:r w:rsidRPr="009A289F">
              <w:rPr>
                <w:rFonts w:ascii="Times New Roman" w:hAnsi="Times New Roman" w:cs="Times New Roman"/>
                <w:b/>
                <w:bCs/>
              </w:rPr>
              <w:t>Unapprove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ABE86" w14:textId="2A88CCD6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Rociletinib-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014">
              <w:rPr>
                <w:rFonts w:ascii="Times New Roman" w:hAnsi="Times New Roman" w:cs="Times New Roman"/>
                <w:color w:val="000000"/>
              </w:rPr>
              <w:lastRenderedPageBreak/>
              <w:t xml:space="preserve">T790M and </w:t>
            </w:r>
            <w:r w:rsidR="00575659">
              <w:rPr>
                <w:rFonts w:ascii="Times New Roman" w:hAnsi="Times New Roman" w:cs="Times New Roman"/>
                <w:color w:val="000000"/>
              </w:rPr>
              <w:t>e</w:t>
            </w:r>
            <w:r w:rsidRPr="009D4014">
              <w:rPr>
                <w:rFonts w:ascii="Times New Roman" w:hAnsi="Times New Roman" w:cs="Times New Roman"/>
                <w:color w:val="000000"/>
              </w:rPr>
              <w:t>xon 19 deletion</w:t>
            </w:r>
          </w:p>
        </w:tc>
        <w:tc>
          <w:tcPr>
            <w:tcW w:w="3410" w:type="dxa"/>
            <w:shd w:val="clear" w:color="auto" w:fill="auto"/>
          </w:tcPr>
          <w:p w14:paraId="1B8BDC8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69049D">
              <w:rPr>
                <w:rFonts w:ascii="Times New Roman" w:hAnsi="Times New Roman" w:cs="Times New Roman"/>
              </w:rPr>
              <w:lastRenderedPageBreak/>
              <w:t>Sequist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LV, Soria JC, Goldman JW, </w:t>
            </w:r>
            <w:r w:rsidRPr="0069049D">
              <w:rPr>
                <w:rFonts w:ascii="Times New Roman" w:hAnsi="Times New Roman" w:cs="Times New Roman"/>
              </w:rPr>
              <w:lastRenderedPageBreak/>
              <w:t xml:space="preserve">et al. Rociletinib in EGFR-mutated non-small-cell lung cancer. </w:t>
            </w:r>
            <w:r w:rsidRPr="0069049D">
              <w:rPr>
                <w:rFonts w:ascii="Times New Roman" w:hAnsi="Times New Roman" w:cs="Times New Roman"/>
                <w:i/>
              </w:rPr>
              <w:t xml:space="preserve">N </w:t>
            </w:r>
            <w:proofErr w:type="spellStart"/>
            <w:r w:rsidRPr="0069049D">
              <w:rPr>
                <w:rFonts w:ascii="Times New Roman" w:hAnsi="Times New Roman" w:cs="Times New Roman"/>
                <w:i/>
              </w:rPr>
              <w:t>Engl</w:t>
            </w:r>
            <w:proofErr w:type="spellEnd"/>
            <w:r w:rsidRPr="0069049D">
              <w:rPr>
                <w:rFonts w:ascii="Times New Roman" w:hAnsi="Times New Roman" w:cs="Times New Roman"/>
                <w:i/>
              </w:rPr>
              <w:t xml:space="preserve"> J Med. </w:t>
            </w:r>
            <w:r w:rsidRPr="0069049D">
              <w:rPr>
                <w:rFonts w:ascii="Times New Roman" w:hAnsi="Times New Roman" w:cs="Times New Roman"/>
              </w:rPr>
              <w:t>2015</w:t>
            </w:r>
            <w:proofErr w:type="gramStart"/>
            <w:r w:rsidRPr="0069049D">
              <w:rPr>
                <w:rFonts w:ascii="Times New Roman" w:hAnsi="Times New Roman" w:cs="Times New Roman"/>
              </w:rPr>
              <w:t>;372</w:t>
            </w:r>
            <w:proofErr w:type="gramEnd"/>
            <w:r w:rsidRPr="0069049D">
              <w:rPr>
                <w:rFonts w:ascii="Times New Roman" w:hAnsi="Times New Roman" w:cs="Times New Roman"/>
              </w:rPr>
              <w:t>(18):1700-1709.</w:t>
            </w:r>
          </w:p>
        </w:tc>
        <w:tc>
          <w:tcPr>
            <w:tcW w:w="3960" w:type="dxa"/>
            <w:shd w:val="clear" w:color="auto" w:fill="auto"/>
          </w:tcPr>
          <w:p w14:paraId="5F988D5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69049D">
              <w:rPr>
                <w:rFonts w:ascii="Times New Roman" w:hAnsi="Times New Roman" w:cs="Times New Roman"/>
              </w:rPr>
              <w:lastRenderedPageBreak/>
              <w:t xml:space="preserve">Walter AO, </w:t>
            </w:r>
            <w:proofErr w:type="spellStart"/>
            <w:r w:rsidRPr="0069049D">
              <w:rPr>
                <w:rFonts w:ascii="Times New Roman" w:hAnsi="Times New Roman" w:cs="Times New Roman"/>
              </w:rPr>
              <w:t>Sjin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RT, </w:t>
            </w:r>
            <w:proofErr w:type="spellStart"/>
            <w:r w:rsidRPr="0069049D">
              <w:rPr>
                <w:rFonts w:ascii="Times New Roman" w:hAnsi="Times New Roman" w:cs="Times New Roman"/>
              </w:rPr>
              <w:t>Haringsma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HJ, et al. </w:t>
            </w:r>
            <w:r w:rsidRPr="0069049D">
              <w:rPr>
                <w:rFonts w:ascii="Times New Roman" w:hAnsi="Times New Roman" w:cs="Times New Roman"/>
              </w:rPr>
              <w:lastRenderedPageBreak/>
              <w:t xml:space="preserve">Discovery of a mutant-selective covalent inhibitor of EGFR that overcomes T790M-mediated resistance in NSCLC. </w:t>
            </w:r>
            <w:r w:rsidRPr="0069049D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69049D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69049D">
              <w:rPr>
                <w:rFonts w:ascii="Times New Roman" w:hAnsi="Times New Roman" w:cs="Times New Roman"/>
                <w:i/>
              </w:rPr>
              <w:t xml:space="preserve">. </w:t>
            </w:r>
            <w:r w:rsidRPr="0069049D">
              <w:rPr>
                <w:rFonts w:ascii="Times New Roman" w:hAnsi="Times New Roman" w:cs="Times New Roman"/>
              </w:rPr>
              <w:t>2013</w:t>
            </w:r>
            <w:proofErr w:type="gramStart"/>
            <w:r w:rsidRPr="0069049D">
              <w:rPr>
                <w:rFonts w:ascii="Times New Roman" w:hAnsi="Times New Roman" w:cs="Times New Roman"/>
              </w:rPr>
              <w:t>;3</w:t>
            </w:r>
            <w:proofErr w:type="gramEnd"/>
            <w:r w:rsidRPr="0069049D">
              <w:rPr>
                <w:rFonts w:ascii="Times New Roman" w:hAnsi="Times New Roman" w:cs="Times New Roman"/>
              </w:rPr>
              <w:t>(12):1404-1415.</w:t>
            </w:r>
          </w:p>
        </w:tc>
      </w:tr>
      <w:tr w:rsidR="00693190" w14:paraId="08CDDFAB" w14:textId="77777777" w:rsidTr="00462116">
        <w:tc>
          <w:tcPr>
            <w:tcW w:w="1414" w:type="dxa"/>
            <w:vMerge/>
            <w:shd w:val="clear" w:color="auto" w:fill="auto"/>
          </w:tcPr>
          <w:p w14:paraId="5D2BA950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F0B3C33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Rociletinib-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T790M and L858R exon 21 mutation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D115E1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69049D">
              <w:rPr>
                <w:rFonts w:ascii="Times New Roman" w:hAnsi="Times New Roman" w:cs="Times New Roman"/>
              </w:rPr>
              <w:t>Sequist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LV, Soria JC, Goldman JW, et al. Rociletinib in EGFR-mutated non-small-cell lung cancer. </w:t>
            </w:r>
            <w:r w:rsidRPr="0069049D">
              <w:rPr>
                <w:rFonts w:ascii="Times New Roman" w:hAnsi="Times New Roman" w:cs="Times New Roman"/>
                <w:i/>
              </w:rPr>
              <w:t xml:space="preserve">N </w:t>
            </w:r>
            <w:proofErr w:type="spellStart"/>
            <w:r w:rsidRPr="0069049D">
              <w:rPr>
                <w:rFonts w:ascii="Times New Roman" w:hAnsi="Times New Roman" w:cs="Times New Roman"/>
                <w:i/>
              </w:rPr>
              <w:t>Engl</w:t>
            </w:r>
            <w:proofErr w:type="spellEnd"/>
            <w:r w:rsidRPr="0069049D">
              <w:rPr>
                <w:rFonts w:ascii="Times New Roman" w:hAnsi="Times New Roman" w:cs="Times New Roman"/>
                <w:i/>
              </w:rPr>
              <w:t xml:space="preserve"> J Med. </w:t>
            </w:r>
            <w:r w:rsidRPr="0069049D">
              <w:rPr>
                <w:rFonts w:ascii="Times New Roman" w:hAnsi="Times New Roman" w:cs="Times New Roman"/>
              </w:rPr>
              <w:t>2015</w:t>
            </w:r>
            <w:proofErr w:type="gramStart"/>
            <w:r w:rsidRPr="0069049D">
              <w:rPr>
                <w:rFonts w:ascii="Times New Roman" w:hAnsi="Times New Roman" w:cs="Times New Roman"/>
              </w:rPr>
              <w:t>;372</w:t>
            </w:r>
            <w:proofErr w:type="gramEnd"/>
            <w:r w:rsidRPr="0069049D">
              <w:rPr>
                <w:rFonts w:ascii="Times New Roman" w:hAnsi="Times New Roman" w:cs="Times New Roman"/>
              </w:rPr>
              <w:t>(18):1700-1709.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52C7F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69049D">
              <w:rPr>
                <w:rFonts w:ascii="Times New Roman" w:hAnsi="Times New Roman" w:cs="Times New Roman"/>
              </w:rPr>
              <w:t xml:space="preserve">Walter AO, </w:t>
            </w:r>
            <w:proofErr w:type="spellStart"/>
            <w:r w:rsidRPr="0069049D">
              <w:rPr>
                <w:rFonts w:ascii="Times New Roman" w:hAnsi="Times New Roman" w:cs="Times New Roman"/>
              </w:rPr>
              <w:t>Sjin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RT, </w:t>
            </w:r>
            <w:proofErr w:type="spellStart"/>
            <w:r w:rsidRPr="0069049D">
              <w:rPr>
                <w:rFonts w:ascii="Times New Roman" w:hAnsi="Times New Roman" w:cs="Times New Roman"/>
              </w:rPr>
              <w:t>Haringsma</w:t>
            </w:r>
            <w:proofErr w:type="spellEnd"/>
            <w:r w:rsidRPr="0069049D">
              <w:rPr>
                <w:rFonts w:ascii="Times New Roman" w:hAnsi="Times New Roman" w:cs="Times New Roman"/>
              </w:rPr>
              <w:t xml:space="preserve"> HJ, et al. Discovery of a mutant-selective covalent inhibitor of EGFR that overcomes T790M-mediated resistance in NSCLC. </w:t>
            </w:r>
            <w:r w:rsidRPr="0069049D">
              <w:rPr>
                <w:rFonts w:ascii="Times New Roman" w:hAnsi="Times New Roman" w:cs="Times New Roman"/>
                <w:i/>
              </w:rPr>
              <w:t xml:space="preserve">Cancer </w:t>
            </w:r>
            <w:proofErr w:type="spellStart"/>
            <w:r w:rsidRPr="0069049D">
              <w:rPr>
                <w:rFonts w:ascii="Times New Roman" w:hAnsi="Times New Roman" w:cs="Times New Roman"/>
                <w:i/>
              </w:rPr>
              <w:t>Discov</w:t>
            </w:r>
            <w:proofErr w:type="spellEnd"/>
            <w:r w:rsidRPr="0069049D">
              <w:rPr>
                <w:rFonts w:ascii="Times New Roman" w:hAnsi="Times New Roman" w:cs="Times New Roman"/>
                <w:i/>
              </w:rPr>
              <w:t xml:space="preserve">. </w:t>
            </w:r>
            <w:r w:rsidRPr="0069049D">
              <w:rPr>
                <w:rFonts w:ascii="Times New Roman" w:hAnsi="Times New Roman" w:cs="Times New Roman"/>
              </w:rPr>
              <w:t>2013</w:t>
            </w:r>
            <w:proofErr w:type="gramStart"/>
            <w:r w:rsidRPr="0069049D">
              <w:rPr>
                <w:rFonts w:ascii="Times New Roman" w:hAnsi="Times New Roman" w:cs="Times New Roman"/>
              </w:rPr>
              <w:t>;3</w:t>
            </w:r>
            <w:proofErr w:type="gramEnd"/>
            <w:r w:rsidRPr="0069049D">
              <w:rPr>
                <w:rFonts w:ascii="Times New Roman" w:hAnsi="Times New Roman" w:cs="Times New Roman"/>
              </w:rPr>
              <w:t>(12):1404-1415.</w:t>
            </w:r>
          </w:p>
        </w:tc>
      </w:tr>
      <w:tr w:rsidR="00693190" w14:paraId="62955012" w14:textId="77777777" w:rsidTr="00103688">
        <w:tc>
          <w:tcPr>
            <w:tcW w:w="1414" w:type="dxa"/>
            <w:vMerge/>
            <w:shd w:val="clear" w:color="auto" w:fill="auto"/>
          </w:tcPr>
          <w:p w14:paraId="5D0A588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3B9E4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 xml:space="preserve">Sorafenib in combination/erlotinib- 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wild type</w:t>
            </w:r>
          </w:p>
        </w:tc>
        <w:tc>
          <w:tcPr>
            <w:tcW w:w="3410" w:type="dxa"/>
            <w:shd w:val="clear" w:color="auto" w:fill="auto"/>
          </w:tcPr>
          <w:p w14:paraId="512F412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Lind JS, </w:t>
            </w:r>
            <w:proofErr w:type="spellStart"/>
            <w:r w:rsidRPr="002D6051">
              <w:rPr>
                <w:rFonts w:ascii="Times New Roman" w:hAnsi="Times New Roman" w:cs="Times New Roman"/>
              </w:rPr>
              <w:t>Dingemans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051">
              <w:rPr>
                <w:rFonts w:ascii="Times New Roman" w:hAnsi="Times New Roman" w:cs="Times New Roman"/>
              </w:rPr>
              <w:t>AM</w:t>
            </w:r>
            <w:proofErr w:type="gramEnd"/>
            <w:r w:rsidRPr="002D60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051">
              <w:rPr>
                <w:rFonts w:ascii="Times New Roman" w:hAnsi="Times New Roman" w:cs="Times New Roman"/>
              </w:rPr>
              <w:t>Groen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HJ, et al. A multicenter phase II study of erlotinib and sorafenib in chemotherapy-naive patients with advanced non-small cell lung cancer. Clin Cancer Res. 2010</w:t>
            </w:r>
            <w:proofErr w:type="gramStart"/>
            <w:r w:rsidRPr="002D6051">
              <w:rPr>
                <w:rFonts w:ascii="Times New Roman" w:hAnsi="Times New Roman" w:cs="Times New Roman"/>
              </w:rPr>
              <w:t>;16</w:t>
            </w:r>
            <w:proofErr w:type="gramEnd"/>
            <w:r w:rsidRPr="002D6051">
              <w:rPr>
                <w:rFonts w:ascii="Times New Roman" w:hAnsi="Times New Roman" w:cs="Times New Roman"/>
              </w:rPr>
              <w:t>(11):3078-3087.</w:t>
            </w:r>
          </w:p>
        </w:tc>
        <w:tc>
          <w:tcPr>
            <w:tcW w:w="3960" w:type="dxa"/>
            <w:shd w:val="clear" w:color="auto" w:fill="auto"/>
          </w:tcPr>
          <w:p w14:paraId="1CE399F0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2D6051">
              <w:rPr>
                <w:rFonts w:ascii="Times New Roman" w:hAnsi="Times New Roman" w:cs="Times New Roman"/>
              </w:rPr>
              <w:t>Martinelli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E, </w:t>
            </w:r>
            <w:proofErr w:type="spellStart"/>
            <w:r w:rsidRPr="002D6051">
              <w:rPr>
                <w:rFonts w:ascii="Times New Roman" w:hAnsi="Times New Roman" w:cs="Times New Roman"/>
              </w:rPr>
              <w:t>Troiani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T, </w:t>
            </w:r>
            <w:proofErr w:type="spellStart"/>
            <w:r w:rsidRPr="002D6051">
              <w:rPr>
                <w:rFonts w:ascii="Times New Roman" w:hAnsi="Times New Roman" w:cs="Times New Roman"/>
              </w:rPr>
              <w:t>Morgillo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F, et al. Synergistic antitumor activity of sorafenib in combination with epidermal growth factor receptor inhibitors in colorectal and lung cancer cells. </w:t>
            </w:r>
            <w:r w:rsidRPr="002D6051">
              <w:rPr>
                <w:rFonts w:ascii="Times New Roman" w:hAnsi="Times New Roman" w:cs="Times New Roman"/>
                <w:i/>
              </w:rPr>
              <w:t xml:space="preserve">Clin Cancer Res. </w:t>
            </w:r>
            <w:r w:rsidRPr="002D6051">
              <w:rPr>
                <w:rFonts w:ascii="Times New Roman" w:hAnsi="Times New Roman" w:cs="Times New Roman"/>
              </w:rPr>
              <w:t>2010</w:t>
            </w:r>
            <w:proofErr w:type="gramStart"/>
            <w:r w:rsidRPr="002D6051">
              <w:rPr>
                <w:rFonts w:ascii="Times New Roman" w:hAnsi="Times New Roman" w:cs="Times New Roman"/>
              </w:rPr>
              <w:t>;16</w:t>
            </w:r>
            <w:proofErr w:type="gramEnd"/>
            <w:r w:rsidRPr="002D6051">
              <w:rPr>
                <w:rFonts w:ascii="Times New Roman" w:hAnsi="Times New Roman" w:cs="Times New Roman"/>
              </w:rPr>
              <w:t>(20):4990-5001.</w:t>
            </w:r>
          </w:p>
        </w:tc>
      </w:tr>
      <w:tr w:rsidR="00693190" w14:paraId="1B4FF9E7" w14:textId="77777777" w:rsidTr="00462116">
        <w:tc>
          <w:tcPr>
            <w:tcW w:w="1414" w:type="dxa"/>
            <w:vMerge/>
            <w:shd w:val="clear" w:color="auto" w:fill="auto"/>
          </w:tcPr>
          <w:p w14:paraId="152DB21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516A169" w14:textId="38B7863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Ganetespib-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ALK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+, </w:t>
            </w:r>
            <w:r w:rsidR="00575659">
              <w:rPr>
                <w:rFonts w:ascii="Times New Roman" w:hAnsi="Times New Roman" w:cs="Times New Roman"/>
                <w:color w:val="000000"/>
              </w:rPr>
              <w:t>c</w:t>
            </w:r>
            <w:r w:rsidRPr="009D4014">
              <w:rPr>
                <w:rFonts w:ascii="Times New Roman" w:hAnsi="Times New Roman" w:cs="Times New Roman"/>
                <w:color w:val="000000"/>
              </w:rPr>
              <w:t>rizotinib naïve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03AE654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A14E0C">
              <w:rPr>
                <w:rFonts w:ascii="Times New Roman" w:hAnsi="Times New Roman" w:cs="Times New Roman"/>
              </w:rPr>
              <w:t>Socinski</w:t>
            </w:r>
            <w:proofErr w:type="spellEnd"/>
            <w:r w:rsidRPr="00A14E0C">
              <w:rPr>
                <w:rFonts w:ascii="Times New Roman" w:hAnsi="Times New Roman" w:cs="Times New Roman"/>
              </w:rPr>
              <w:t xml:space="preserve"> MA, Goldman J, El-</w:t>
            </w:r>
            <w:proofErr w:type="spellStart"/>
            <w:r w:rsidRPr="00A14E0C">
              <w:rPr>
                <w:rFonts w:ascii="Times New Roman" w:hAnsi="Times New Roman" w:cs="Times New Roman"/>
              </w:rPr>
              <w:t>Hariry</w:t>
            </w:r>
            <w:proofErr w:type="spellEnd"/>
            <w:r w:rsidRPr="00A14E0C">
              <w:rPr>
                <w:rFonts w:ascii="Times New Roman" w:hAnsi="Times New Roman" w:cs="Times New Roman"/>
              </w:rPr>
              <w:t xml:space="preserve"> I, et al. A multicenter phase II study of </w:t>
            </w:r>
            <w:proofErr w:type="spellStart"/>
            <w:r w:rsidRPr="00A14E0C">
              <w:rPr>
                <w:rFonts w:ascii="Times New Roman" w:hAnsi="Times New Roman" w:cs="Times New Roman"/>
              </w:rPr>
              <w:t>ganetespib</w:t>
            </w:r>
            <w:proofErr w:type="spellEnd"/>
            <w:r w:rsidRPr="00A14E0C">
              <w:rPr>
                <w:rFonts w:ascii="Times New Roman" w:hAnsi="Times New Roman" w:cs="Times New Roman"/>
              </w:rPr>
              <w:t xml:space="preserve"> monotherapy in patients with genotypically defined advanced non-small cell lung cancer. </w:t>
            </w:r>
            <w:r w:rsidRPr="00A14E0C">
              <w:rPr>
                <w:rFonts w:ascii="Times New Roman" w:hAnsi="Times New Roman" w:cs="Times New Roman"/>
                <w:i/>
              </w:rPr>
              <w:t xml:space="preserve">Clin Cancer Res. </w:t>
            </w:r>
            <w:r w:rsidRPr="00A14E0C">
              <w:rPr>
                <w:rFonts w:ascii="Times New Roman" w:hAnsi="Times New Roman" w:cs="Times New Roman"/>
              </w:rPr>
              <w:t>2013</w:t>
            </w:r>
            <w:proofErr w:type="gramStart"/>
            <w:r w:rsidRPr="00A14E0C">
              <w:rPr>
                <w:rFonts w:ascii="Times New Roman" w:hAnsi="Times New Roman" w:cs="Times New Roman"/>
              </w:rPr>
              <w:t>;19</w:t>
            </w:r>
            <w:proofErr w:type="gramEnd"/>
            <w:r w:rsidRPr="00A14E0C">
              <w:rPr>
                <w:rFonts w:ascii="Times New Roman" w:hAnsi="Times New Roman" w:cs="Times New Roman"/>
              </w:rPr>
              <w:t>(11):3068-3077.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EA2EC4D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A14E0C">
              <w:rPr>
                <w:rFonts w:ascii="Times New Roman" w:hAnsi="Times New Roman" w:cs="Times New Roman"/>
              </w:rPr>
              <w:t xml:space="preserve">Sang J, </w:t>
            </w:r>
            <w:proofErr w:type="spellStart"/>
            <w:r w:rsidRPr="00A14E0C">
              <w:rPr>
                <w:rFonts w:ascii="Times New Roman" w:hAnsi="Times New Roman" w:cs="Times New Roman"/>
              </w:rPr>
              <w:t>Acquaviva</w:t>
            </w:r>
            <w:proofErr w:type="spellEnd"/>
            <w:r w:rsidRPr="00A14E0C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A14E0C">
              <w:rPr>
                <w:rFonts w:ascii="Times New Roman" w:hAnsi="Times New Roman" w:cs="Times New Roman"/>
              </w:rPr>
              <w:t>Friedland</w:t>
            </w:r>
            <w:proofErr w:type="spellEnd"/>
            <w:r w:rsidRPr="00A14E0C">
              <w:rPr>
                <w:rFonts w:ascii="Times New Roman" w:hAnsi="Times New Roman" w:cs="Times New Roman"/>
              </w:rPr>
              <w:t xml:space="preserve"> JC, et al. Targeted inhibition of the molecular chaperone Hsp90 overcomes ALK inhibitor resistance in non-small cell lung cancer. Cancer </w:t>
            </w:r>
            <w:proofErr w:type="spellStart"/>
            <w:r w:rsidRPr="00A14E0C">
              <w:rPr>
                <w:rFonts w:ascii="Times New Roman" w:hAnsi="Times New Roman" w:cs="Times New Roman"/>
              </w:rPr>
              <w:t>Discov</w:t>
            </w:r>
            <w:proofErr w:type="spellEnd"/>
            <w:r w:rsidRPr="00A14E0C">
              <w:rPr>
                <w:rFonts w:ascii="Times New Roman" w:hAnsi="Times New Roman" w:cs="Times New Roman"/>
              </w:rPr>
              <w:t>. 2013</w:t>
            </w:r>
            <w:proofErr w:type="gramStart"/>
            <w:r w:rsidRPr="00A14E0C">
              <w:rPr>
                <w:rFonts w:ascii="Times New Roman" w:hAnsi="Times New Roman" w:cs="Times New Roman"/>
              </w:rPr>
              <w:t>;3</w:t>
            </w:r>
            <w:proofErr w:type="gramEnd"/>
            <w:r w:rsidRPr="00A14E0C">
              <w:rPr>
                <w:rFonts w:ascii="Times New Roman" w:hAnsi="Times New Roman" w:cs="Times New Roman"/>
              </w:rPr>
              <w:t>(4):430-443.</w:t>
            </w:r>
          </w:p>
        </w:tc>
      </w:tr>
      <w:tr w:rsidR="00693190" w14:paraId="5325E9FB" w14:textId="77777777" w:rsidTr="00103688">
        <w:tc>
          <w:tcPr>
            <w:tcW w:w="1414" w:type="dxa"/>
            <w:vMerge/>
            <w:shd w:val="clear" w:color="auto" w:fill="auto"/>
          </w:tcPr>
          <w:p w14:paraId="6632C1A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CCA83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Salirasib-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KRAS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mutant</w:t>
            </w:r>
          </w:p>
        </w:tc>
        <w:tc>
          <w:tcPr>
            <w:tcW w:w="3410" w:type="dxa"/>
            <w:shd w:val="clear" w:color="auto" w:fill="auto"/>
          </w:tcPr>
          <w:p w14:paraId="6B31D40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E11527">
              <w:rPr>
                <w:rFonts w:ascii="Times New Roman" w:hAnsi="Times New Roman" w:cs="Times New Roman"/>
              </w:rPr>
              <w:t>Riely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GJ, Johnson ML, Medina C, et al. A phase II trial of Salirasib in patients with lung adenocarcinomas with KRAS mutations. </w:t>
            </w:r>
            <w:r w:rsidRPr="00E11527">
              <w:rPr>
                <w:rFonts w:ascii="Times New Roman" w:hAnsi="Times New Roman" w:cs="Times New Roman"/>
                <w:i/>
              </w:rPr>
              <w:t xml:space="preserve">J </w:t>
            </w:r>
            <w:proofErr w:type="spellStart"/>
            <w:r w:rsidRPr="00E11527">
              <w:rPr>
                <w:rFonts w:ascii="Times New Roman" w:hAnsi="Times New Roman" w:cs="Times New Roman"/>
                <w:i/>
              </w:rPr>
              <w:t>Thorac</w:t>
            </w:r>
            <w:proofErr w:type="spellEnd"/>
            <w:r w:rsidRPr="00E1152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1527">
              <w:rPr>
                <w:rFonts w:ascii="Times New Roman" w:hAnsi="Times New Roman" w:cs="Times New Roman"/>
                <w:i/>
              </w:rPr>
              <w:t>Oncol</w:t>
            </w:r>
            <w:proofErr w:type="spellEnd"/>
            <w:r w:rsidRPr="00E11527">
              <w:rPr>
                <w:rFonts w:ascii="Times New Roman" w:hAnsi="Times New Roman" w:cs="Times New Roman"/>
                <w:i/>
              </w:rPr>
              <w:t xml:space="preserve">. </w:t>
            </w:r>
            <w:r w:rsidRPr="00E11527">
              <w:rPr>
                <w:rFonts w:ascii="Times New Roman" w:hAnsi="Times New Roman" w:cs="Times New Roman"/>
              </w:rPr>
              <w:t>2011</w:t>
            </w:r>
            <w:proofErr w:type="gramStart"/>
            <w:r w:rsidRPr="00E11527">
              <w:rPr>
                <w:rFonts w:ascii="Times New Roman" w:hAnsi="Times New Roman" w:cs="Times New Roman"/>
              </w:rPr>
              <w:t>;6</w:t>
            </w:r>
            <w:proofErr w:type="gramEnd"/>
            <w:r w:rsidRPr="00E11527">
              <w:rPr>
                <w:rFonts w:ascii="Times New Roman" w:hAnsi="Times New Roman" w:cs="Times New Roman"/>
              </w:rPr>
              <w:t>(8):1435-1437.</w:t>
            </w:r>
          </w:p>
        </w:tc>
        <w:tc>
          <w:tcPr>
            <w:tcW w:w="3960" w:type="dxa"/>
            <w:shd w:val="clear" w:color="auto" w:fill="auto"/>
          </w:tcPr>
          <w:p w14:paraId="71A146C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E11527">
              <w:rPr>
                <w:rFonts w:ascii="Times New Roman" w:hAnsi="Times New Roman" w:cs="Times New Roman"/>
              </w:rPr>
              <w:t>Zundelevich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E11527">
              <w:rPr>
                <w:rFonts w:ascii="Times New Roman" w:hAnsi="Times New Roman" w:cs="Times New Roman"/>
              </w:rPr>
              <w:t>Elad-Sfadia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G, </w:t>
            </w:r>
            <w:proofErr w:type="spellStart"/>
            <w:r w:rsidRPr="00E11527">
              <w:rPr>
                <w:rFonts w:ascii="Times New Roman" w:hAnsi="Times New Roman" w:cs="Times New Roman"/>
              </w:rPr>
              <w:t>Haklai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 w:rsidRPr="00E11527">
              <w:rPr>
                <w:rFonts w:ascii="Times New Roman" w:hAnsi="Times New Roman" w:cs="Times New Roman"/>
              </w:rPr>
              <w:t>Kloog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Y. Suppression of lung cancer tumor growth in a nude mouse model by the </w:t>
            </w:r>
            <w:proofErr w:type="spellStart"/>
            <w:r w:rsidRPr="00E11527">
              <w:rPr>
                <w:rFonts w:ascii="Times New Roman" w:hAnsi="Times New Roman" w:cs="Times New Roman"/>
              </w:rPr>
              <w:t>Ras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inhibitor </w:t>
            </w:r>
            <w:proofErr w:type="spellStart"/>
            <w:r w:rsidRPr="00E11527">
              <w:rPr>
                <w:rFonts w:ascii="Times New Roman" w:hAnsi="Times New Roman" w:cs="Times New Roman"/>
              </w:rPr>
              <w:t>salirasib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1527">
              <w:rPr>
                <w:rFonts w:ascii="Times New Roman" w:hAnsi="Times New Roman" w:cs="Times New Roman"/>
              </w:rPr>
              <w:t>farnesylthiosalicylic</w:t>
            </w:r>
            <w:proofErr w:type="spellEnd"/>
            <w:r w:rsidRPr="00E11527">
              <w:rPr>
                <w:rFonts w:ascii="Times New Roman" w:hAnsi="Times New Roman" w:cs="Times New Roman"/>
              </w:rPr>
              <w:t xml:space="preserve"> acid). </w:t>
            </w:r>
            <w:proofErr w:type="spellStart"/>
            <w:r w:rsidRPr="00E11527">
              <w:rPr>
                <w:rFonts w:ascii="Times New Roman" w:hAnsi="Times New Roman" w:cs="Times New Roman"/>
                <w:i/>
              </w:rPr>
              <w:t>Mol</w:t>
            </w:r>
            <w:proofErr w:type="spellEnd"/>
            <w:r w:rsidRPr="00E11527">
              <w:rPr>
                <w:rFonts w:ascii="Times New Roman" w:hAnsi="Times New Roman" w:cs="Times New Roman"/>
                <w:i/>
              </w:rPr>
              <w:t xml:space="preserve"> Cancer </w:t>
            </w:r>
            <w:proofErr w:type="spellStart"/>
            <w:r w:rsidRPr="00E11527">
              <w:rPr>
                <w:rFonts w:ascii="Times New Roman" w:hAnsi="Times New Roman" w:cs="Times New Roman"/>
                <w:i/>
              </w:rPr>
              <w:t>Ther</w:t>
            </w:r>
            <w:proofErr w:type="spellEnd"/>
            <w:r w:rsidRPr="00E11527">
              <w:rPr>
                <w:rFonts w:ascii="Times New Roman" w:hAnsi="Times New Roman" w:cs="Times New Roman"/>
                <w:i/>
              </w:rPr>
              <w:t xml:space="preserve">. </w:t>
            </w:r>
            <w:r w:rsidRPr="00E11527">
              <w:rPr>
                <w:rFonts w:ascii="Times New Roman" w:hAnsi="Times New Roman" w:cs="Times New Roman"/>
              </w:rPr>
              <w:t>2007</w:t>
            </w:r>
            <w:proofErr w:type="gramStart"/>
            <w:r w:rsidRPr="00E11527">
              <w:rPr>
                <w:rFonts w:ascii="Times New Roman" w:hAnsi="Times New Roman" w:cs="Times New Roman"/>
              </w:rPr>
              <w:t>;6</w:t>
            </w:r>
            <w:proofErr w:type="gramEnd"/>
            <w:r w:rsidRPr="00E11527">
              <w:rPr>
                <w:rFonts w:ascii="Times New Roman" w:hAnsi="Times New Roman" w:cs="Times New Roman"/>
              </w:rPr>
              <w:t>(6):1765-1773.</w:t>
            </w:r>
          </w:p>
        </w:tc>
      </w:tr>
      <w:tr w:rsidR="00693190" w14:paraId="05BBF452" w14:textId="77777777" w:rsidTr="00462116">
        <w:tc>
          <w:tcPr>
            <w:tcW w:w="1414" w:type="dxa"/>
            <w:vMerge/>
            <w:shd w:val="clear" w:color="auto" w:fill="auto"/>
          </w:tcPr>
          <w:p w14:paraId="708E355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AA17824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Selumetinib-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KRAS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mutant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3F8ACAA1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552D53">
              <w:rPr>
                <w:rFonts w:ascii="Times New Roman" w:hAnsi="Times New Roman" w:cs="Times New Roman"/>
              </w:rPr>
              <w:t>Janne</w:t>
            </w:r>
            <w:proofErr w:type="spellEnd"/>
            <w:r w:rsidRPr="00552D53">
              <w:rPr>
                <w:rFonts w:ascii="Times New Roman" w:hAnsi="Times New Roman" w:cs="Times New Roman"/>
              </w:rPr>
              <w:t xml:space="preserve"> PA, Shaw AT, Pereira JR, et al. Selumetinib plus docetaxel for KRAS-mutant advanced non-small-cell lung cancer: a </w:t>
            </w:r>
            <w:proofErr w:type="spellStart"/>
            <w:r w:rsidRPr="00552D53">
              <w:rPr>
                <w:rFonts w:ascii="Times New Roman" w:hAnsi="Times New Roman" w:cs="Times New Roman"/>
              </w:rPr>
              <w:t>randomised</w:t>
            </w:r>
            <w:proofErr w:type="spellEnd"/>
            <w:r w:rsidRPr="00552D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2D53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552D53">
              <w:rPr>
                <w:rFonts w:ascii="Times New Roman" w:hAnsi="Times New Roman" w:cs="Times New Roman"/>
              </w:rPr>
              <w:t xml:space="preserve">, placebo-controlled, phase 2 study. </w:t>
            </w:r>
            <w:r w:rsidRPr="00552D53">
              <w:rPr>
                <w:rFonts w:ascii="Times New Roman" w:hAnsi="Times New Roman" w:cs="Times New Roman"/>
                <w:i/>
              </w:rPr>
              <w:t xml:space="preserve">Lancet Oncol. </w:t>
            </w:r>
            <w:r w:rsidRPr="00552D53">
              <w:rPr>
                <w:rFonts w:ascii="Times New Roman" w:hAnsi="Times New Roman" w:cs="Times New Roman"/>
              </w:rPr>
              <w:t>2013</w:t>
            </w:r>
            <w:proofErr w:type="gramStart"/>
            <w:r w:rsidRPr="00552D53">
              <w:rPr>
                <w:rFonts w:ascii="Times New Roman" w:hAnsi="Times New Roman" w:cs="Times New Roman"/>
              </w:rPr>
              <w:t>;14</w:t>
            </w:r>
            <w:proofErr w:type="gramEnd"/>
            <w:r w:rsidRPr="00552D53">
              <w:rPr>
                <w:rFonts w:ascii="Times New Roman" w:hAnsi="Times New Roman" w:cs="Times New Roman"/>
              </w:rPr>
              <w:t>(1):38-47.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A8C5C41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552D53">
              <w:rPr>
                <w:rFonts w:ascii="Times New Roman" w:hAnsi="Times New Roman" w:cs="Times New Roman"/>
              </w:rPr>
              <w:t xml:space="preserve">Chen Z, Cheng K, Walton Z, et al. A murine lung cancer co-clinical trial identifies genetic modifiers of therapeutic response. </w:t>
            </w:r>
            <w:r w:rsidRPr="00552D53">
              <w:rPr>
                <w:rFonts w:ascii="Times New Roman" w:hAnsi="Times New Roman" w:cs="Times New Roman"/>
                <w:i/>
              </w:rPr>
              <w:t xml:space="preserve">Nature. </w:t>
            </w:r>
            <w:r w:rsidRPr="00552D53">
              <w:rPr>
                <w:rFonts w:ascii="Times New Roman" w:hAnsi="Times New Roman" w:cs="Times New Roman"/>
              </w:rPr>
              <w:t>2012</w:t>
            </w:r>
            <w:proofErr w:type="gramStart"/>
            <w:r w:rsidRPr="00552D53">
              <w:rPr>
                <w:rFonts w:ascii="Times New Roman" w:hAnsi="Times New Roman" w:cs="Times New Roman"/>
              </w:rPr>
              <w:t>;483</w:t>
            </w:r>
            <w:proofErr w:type="gramEnd"/>
            <w:r w:rsidRPr="00552D53">
              <w:rPr>
                <w:rFonts w:ascii="Times New Roman" w:hAnsi="Times New Roman" w:cs="Times New Roman"/>
              </w:rPr>
              <w:t>(7391):613-617.</w:t>
            </w:r>
          </w:p>
        </w:tc>
      </w:tr>
      <w:tr w:rsidR="00693190" w14:paraId="776ED327" w14:textId="77777777" w:rsidTr="00103688">
        <w:tc>
          <w:tcPr>
            <w:tcW w:w="1414" w:type="dxa"/>
            <w:vMerge/>
            <w:shd w:val="clear" w:color="auto" w:fill="auto"/>
          </w:tcPr>
          <w:p w14:paraId="1698A4F0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C5909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Lapatinib-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EGFR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amplified</w:t>
            </w:r>
          </w:p>
        </w:tc>
        <w:tc>
          <w:tcPr>
            <w:tcW w:w="3410" w:type="dxa"/>
            <w:shd w:val="clear" w:color="auto" w:fill="auto"/>
          </w:tcPr>
          <w:p w14:paraId="03F0A3E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EC12A6">
              <w:rPr>
                <w:rFonts w:ascii="Times New Roman" w:hAnsi="Times New Roman" w:cs="Times New Roman"/>
              </w:rPr>
              <w:t xml:space="preserve">Ross HJ, Blumenschein GR, Jr., </w:t>
            </w:r>
            <w:proofErr w:type="spellStart"/>
            <w:r w:rsidRPr="00EC12A6">
              <w:rPr>
                <w:rFonts w:ascii="Times New Roman" w:hAnsi="Times New Roman" w:cs="Times New Roman"/>
              </w:rPr>
              <w:t>Aisner</w:t>
            </w:r>
            <w:proofErr w:type="spellEnd"/>
            <w:r w:rsidRPr="00EC12A6">
              <w:rPr>
                <w:rFonts w:ascii="Times New Roman" w:hAnsi="Times New Roman" w:cs="Times New Roman"/>
              </w:rPr>
              <w:t xml:space="preserve"> J, et al. Randomized phase II multicenter trial of two schedules of lapatinib as first- or second-line monotherapy in patients with advanced or metastatic non-small cell lung cancer. Clin Cancer Res. 2010;16(6):1938-1949</w:t>
            </w:r>
          </w:p>
        </w:tc>
        <w:tc>
          <w:tcPr>
            <w:tcW w:w="3960" w:type="dxa"/>
            <w:shd w:val="clear" w:color="auto" w:fill="auto"/>
          </w:tcPr>
          <w:p w14:paraId="41CCDC04" w14:textId="77777777" w:rsidR="00693190" w:rsidRPr="00EC12A6" w:rsidRDefault="00693190" w:rsidP="00103688">
            <w:pPr>
              <w:rPr>
                <w:rFonts w:ascii="Times New Roman" w:hAnsi="Times New Roman" w:cs="Times New Roman"/>
              </w:rPr>
            </w:pPr>
            <w:r w:rsidRPr="00EC12A6">
              <w:rPr>
                <w:rFonts w:ascii="Times New Roman" w:hAnsi="Times New Roman" w:cs="Times New Roman"/>
              </w:rPr>
              <w:t xml:space="preserve">Diaz R, </w:t>
            </w:r>
            <w:proofErr w:type="spellStart"/>
            <w:r w:rsidRPr="00EC12A6">
              <w:rPr>
                <w:rFonts w:ascii="Times New Roman" w:hAnsi="Times New Roman" w:cs="Times New Roman"/>
              </w:rPr>
              <w:t>Nguewa</w:t>
            </w:r>
            <w:proofErr w:type="spellEnd"/>
            <w:r w:rsidRPr="00EC12A6">
              <w:rPr>
                <w:rFonts w:ascii="Times New Roman" w:hAnsi="Times New Roman" w:cs="Times New Roman"/>
              </w:rPr>
              <w:t xml:space="preserve"> PA, </w:t>
            </w:r>
            <w:proofErr w:type="spellStart"/>
            <w:r w:rsidRPr="00EC12A6">
              <w:rPr>
                <w:rFonts w:ascii="Times New Roman" w:hAnsi="Times New Roman" w:cs="Times New Roman"/>
              </w:rPr>
              <w:t>Parrondo</w:t>
            </w:r>
            <w:proofErr w:type="spellEnd"/>
            <w:r w:rsidRPr="00EC12A6">
              <w:rPr>
                <w:rFonts w:ascii="Times New Roman" w:hAnsi="Times New Roman" w:cs="Times New Roman"/>
              </w:rPr>
              <w:t xml:space="preserve"> R, et al. Antitumor and antiangiogenic effect of the dual EGFR and HER-2 tyrosine kinase inhibitor lapatinib in a lung cancer model. </w:t>
            </w:r>
            <w:r w:rsidRPr="00EC12A6">
              <w:rPr>
                <w:rFonts w:ascii="Times New Roman" w:hAnsi="Times New Roman" w:cs="Times New Roman"/>
                <w:i/>
              </w:rPr>
              <w:t xml:space="preserve">BMC cancer. </w:t>
            </w:r>
            <w:r w:rsidRPr="00EC12A6">
              <w:rPr>
                <w:rFonts w:ascii="Times New Roman" w:hAnsi="Times New Roman" w:cs="Times New Roman"/>
              </w:rPr>
              <w:t>2010</w:t>
            </w:r>
            <w:proofErr w:type="gramStart"/>
            <w:r w:rsidRPr="00EC12A6">
              <w:rPr>
                <w:rFonts w:ascii="Times New Roman" w:hAnsi="Times New Roman" w:cs="Times New Roman"/>
              </w:rPr>
              <w:t>;10:188</w:t>
            </w:r>
            <w:proofErr w:type="gramEnd"/>
            <w:r w:rsidRPr="00EC12A6">
              <w:rPr>
                <w:rFonts w:ascii="Times New Roman" w:hAnsi="Times New Roman" w:cs="Times New Roman"/>
              </w:rPr>
              <w:t>.</w:t>
            </w:r>
          </w:p>
          <w:p w14:paraId="6B214C0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6DD7F056" w14:textId="77777777" w:rsidTr="00462116">
        <w:tc>
          <w:tcPr>
            <w:tcW w:w="1414" w:type="dxa"/>
            <w:vMerge/>
            <w:shd w:val="clear" w:color="auto" w:fill="auto"/>
          </w:tcPr>
          <w:p w14:paraId="71A76FE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F7E0BE6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Vandetanib-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RET-CCDC6 </w:t>
            </w:r>
            <w:r w:rsidRPr="009D4014">
              <w:rPr>
                <w:rFonts w:ascii="Times New Roman" w:hAnsi="Times New Roman" w:cs="Times New Roman"/>
                <w:color w:val="000000"/>
              </w:rPr>
              <w:t>fusion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19B5BEE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D01139">
              <w:rPr>
                <w:rFonts w:ascii="Times New Roman" w:hAnsi="Times New Roman" w:cs="Times New Roman"/>
              </w:rPr>
              <w:t>Yoh</w:t>
            </w:r>
            <w:proofErr w:type="spellEnd"/>
            <w:r w:rsidRPr="00D01139">
              <w:rPr>
                <w:rFonts w:ascii="Times New Roman" w:hAnsi="Times New Roman" w:cs="Times New Roman"/>
              </w:rPr>
              <w:t xml:space="preserve"> K, </w:t>
            </w:r>
            <w:proofErr w:type="spellStart"/>
            <w:r w:rsidRPr="00D01139">
              <w:rPr>
                <w:rFonts w:ascii="Times New Roman" w:hAnsi="Times New Roman" w:cs="Times New Roman"/>
              </w:rPr>
              <w:t>Seto</w:t>
            </w:r>
            <w:proofErr w:type="spellEnd"/>
            <w:r w:rsidRPr="00D01139">
              <w:rPr>
                <w:rFonts w:ascii="Times New Roman" w:hAnsi="Times New Roman" w:cs="Times New Roman"/>
              </w:rPr>
              <w:t xml:space="preserve"> T, </w:t>
            </w:r>
            <w:proofErr w:type="spellStart"/>
            <w:proofErr w:type="gramStart"/>
            <w:r w:rsidRPr="00D01139">
              <w:rPr>
                <w:rFonts w:ascii="Times New Roman" w:hAnsi="Times New Roman" w:cs="Times New Roman"/>
              </w:rPr>
              <w:t>Satouchi</w:t>
            </w:r>
            <w:proofErr w:type="spellEnd"/>
            <w:proofErr w:type="gramEnd"/>
            <w:r w:rsidRPr="00D01139">
              <w:rPr>
                <w:rFonts w:ascii="Times New Roman" w:hAnsi="Times New Roman" w:cs="Times New Roman"/>
              </w:rPr>
              <w:t xml:space="preserve"> M, et al. Vandetanib in patients with previously treated RET-rearranged advanced non-small-cell lung cancer (LURET): an open-label, </w:t>
            </w:r>
            <w:proofErr w:type="spellStart"/>
            <w:r w:rsidRPr="00D01139">
              <w:rPr>
                <w:rFonts w:ascii="Times New Roman" w:hAnsi="Times New Roman" w:cs="Times New Roman"/>
              </w:rPr>
              <w:t>multicentre</w:t>
            </w:r>
            <w:proofErr w:type="spellEnd"/>
            <w:r w:rsidRPr="00D01139">
              <w:rPr>
                <w:rFonts w:ascii="Times New Roman" w:hAnsi="Times New Roman" w:cs="Times New Roman"/>
              </w:rPr>
              <w:t xml:space="preserve"> phase 2 trial. </w:t>
            </w:r>
            <w:r w:rsidRPr="00D01139">
              <w:rPr>
                <w:rFonts w:ascii="Times New Roman" w:hAnsi="Times New Roman" w:cs="Times New Roman"/>
                <w:i/>
              </w:rPr>
              <w:t xml:space="preserve">The Lancet. Respiratory medicine. </w:t>
            </w:r>
            <w:r w:rsidRPr="00D01139">
              <w:rPr>
                <w:rFonts w:ascii="Times New Roman" w:hAnsi="Times New Roman" w:cs="Times New Roman"/>
              </w:rPr>
              <w:t>2017</w:t>
            </w:r>
            <w:proofErr w:type="gramStart"/>
            <w:r w:rsidRPr="00D01139">
              <w:rPr>
                <w:rFonts w:ascii="Times New Roman" w:hAnsi="Times New Roman" w:cs="Times New Roman"/>
              </w:rPr>
              <w:t>;5</w:t>
            </w:r>
            <w:proofErr w:type="gramEnd"/>
            <w:r w:rsidRPr="00D01139">
              <w:rPr>
                <w:rFonts w:ascii="Times New Roman" w:hAnsi="Times New Roman" w:cs="Times New Roman"/>
              </w:rPr>
              <w:t>(1):42-50.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22B07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D01139">
              <w:rPr>
                <w:rFonts w:ascii="Times New Roman" w:hAnsi="Times New Roman" w:cs="Times New Roman"/>
              </w:rPr>
              <w:t xml:space="preserve">Suzuki M, </w:t>
            </w:r>
            <w:proofErr w:type="spellStart"/>
            <w:r w:rsidRPr="00D01139">
              <w:rPr>
                <w:rFonts w:ascii="Times New Roman" w:hAnsi="Times New Roman" w:cs="Times New Roman"/>
              </w:rPr>
              <w:t>Makinoshima</w:t>
            </w:r>
            <w:proofErr w:type="spellEnd"/>
            <w:r w:rsidRPr="00D01139">
              <w:rPr>
                <w:rFonts w:ascii="Times New Roman" w:hAnsi="Times New Roman" w:cs="Times New Roman"/>
              </w:rPr>
              <w:t xml:space="preserve"> H, Matsumoto S, et al. Identification of a lung adenocarcinoma cell line with CCDC6-RET fusion gene and the effect of RET inhibitors in vitro and in vivo. </w:t>
            </w:r>
            <w:r w:rsidRPr="00D01139">
              <w:rPr>
                <w:rFonts w:ascii="Times New Roman" w:hAnsi="Times New Roman" w:cs="Times New Roman"/>
                <w:i/>
              </w:rPr>
              <w:t xml:space="preserve">Cancer Sci. </w:t>
            </w:r>
            <w:r w:rsidRPr="00D01139">
              <w:rPr>
                <w:rFonts w:ascii="Times New Roman" w:hAnsi="Times New Roman" w:cs="Times New Roman"/>
              </w:rPr>
              <w:t>2013</w:t>
            </w:r>
            <w:proofErr w:type="gramStart"/>
            <w:r w:rsidRPr="00D01139">
              <w:rPr>
                <w:rFonts w:ascii="Times New Roman" w:hAnsi="Times New Roman" w:cs="Times New Roman"/>
              </w:rPr>
              <w:t>;104</w:t>
            </w:r>
            <w:proofErr w:type="gramEnd"/>
            <w:r w:rsidRPr="00D01139">
              <w:rPr>
                <w:rFonts w:ascii="Times New Roman" w:hAnsi="Times New Roman" w:cs="Times New Roman"/>
              </w:rPr>
              <w:t>(7):896-903.</w:t>
            </w:r>
          </w:p>
        </w:tc>
      </w:tr>
      <w:tr w:rsidR="00693190" w14:paraId="5703A2C1" w14:textId="77777777" w:rsidTr="00103688">
        <w:tc>
          <w:tcPr>
            <w:tcW w:w="1414" w:type="dxa"/>
            <w:vMerge/>
            <w:shd w:val="clear" w:color="auto" w:fill="auto"/>
          </w:tcPr>
          <w:p w14:paraId="102BF4CD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B2322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Sunitinib-unselected patients</w:t>
            </w:r>
          </w:p>
        </w:tc>
        <w:tc>
          <w:tcPr>
            <w:tcW w:w="3410" w:type="dxa"/>
            <w:shd w:val="clear" w:color="auto" w:fill="auto"/>
          </w:tcPr>
          <w:p w14:paraId="205F8DD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8D6FCD">
              <w:rPr>
                <w:rFonts w:ascii="Times New Roman" w:hAnsi="Times New Roman" w:cs="Times New Roman"/>
              </w:rPr>
              <w:t xml:space="preserve">Heist RS, Wang X, Hodgson L, et al. CALGB 30704 (Alliance): A randomized phase II study to assess the efficacy of pemetrexed or </w:t>
            </w:r>
            <w:r w:rsidRPr="008D6FCD">
              <w:rPr>
                <w:rFonts w:ascii="Times New Roman" w:hAnsi="Times New Roman" w:cs="Times New Roman"/>
              </w:rPr>
              <w:lastRenderedPageBreak/>
              <w:t xml:space="preserve">sunitinib or pemetrexed plus sunitinib in the second-line treatment of advanced non-small-cell lung cancer. </w:t>
            </w:r>
            <w:r w:rsidRPr="008D6FCD">
              <w:rPr>
                <w:rFonts w:ascii="Times New Roman" w:hAnsi="Times New Roman" w:cs="Times New Roman"/>
                <w:i/>
              </w:rPr>
              <w:t xml:space="preserve">J </w:t>
            </w:r>
            <w:proofErr w:type="spellStart"/>
            <w:r w:rsidRPr="008D6FCD">
              <w:rPr>
                <w:rFonts w:ascii="Times New Roman" w:hAnsi="Times New Roman" w:cs="Times New Roman"/>
                <w:i/>
              </w:rPr>
              <w:t>Thorac</w:t>
            </w:r>
            <w:proofErr w:type="spellEnd"/>
            <w:r w:rsidRPr="008D6F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D6FCD">
              <w:rPr>
                <w:rFonts w:ascii="Times New Roman" w:hAnsi="Times New Roman" w:cs="Times New Roman"/>
                <w:i/>
              </w:rPr>
              <w:t>Oncol</w:t>
            </w:r>
            <w:proofErr w:type="spellEnd"/>
            <w:r w:rsidRPr="008D6FCD">
              <w:rPr>
                <w:rFonts w:ascii="Times New Roman" w:hAnsi="Times New Roman" w:cs="Times New Roman"/>
                <w:i/>
              </w:rPr>
              <w:t xml:space="preserve">. </w:t>
            </w:r>
            <w:r w:rsidRPr="008D6FCD">
              <w:rPr>
                <w:rFonts w:ascii="Times New Roman" w:hAnsi="Times New Roman" w:cs="Times New Roman"/>
              </w:rPr>
              <w:t>2014</w:t>
            </w:r>
            <w:proofErr w:type="gramStart"/>
            <w:r w:rsidRPr="008D6FCD">
              <w:rPr>
                <w:rFonts w:ascii="Times New Roman" w:hAnsi="Times New Roman" w:cs="Times New Roman"/>
              </w:rPr>
              <w:t>;9</w:t>
            </w:r>
            <w:proofErr w:type="gramEnd"/>
            <w:r w:rsidRPr="008D6FCD">
              <w:rPr>
                <w:rFonts w:ascii="Times New Roman" w:hAnsi="Times New Roman" w:cs="Times New Roman"/>
              </w:rPr>
              <w:t>(2):214-221.</w:t>
            </w:r>
          </w:p>
        </w:tc>
        <w:tc>
          <w:tcPr>
            <w:tcW w:w="3960" w:type="dxa"/>
            <w:shd w:val="clear" w:color="auto" w:fill="auto"/>
          </w:tcPr>
          <w:p w14:paraId="0CD15DAE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8D6FCD">
              <w:rPr>
                <w:rFonts w:ascii="Times New Roman" w:hAnsi="Times New Roman" w:cs="Times New Roman"/>
              </w:rPr>
              <w:lastRenderedPageBreak/>
              <w:t>Larrayoz</w:t>
            </w:r>
            <w:proofErr w:type="spellEnd"/>
            <w:r w:rsidRPr="008D6FCD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8D6FCD">
              <w:rPr>
                <w:rFonts w:ascii="Times New Roman" w:hAnsi="Times New Roman" w:cs="Times New Roman"/>
              </w:rPr>
              <w:t>Pio</w:t>
            </w:r>
            <w:proofErr w:type="spellEnd"/>
            <w:r w:rsidRPr="008D6FCD">
              <w:rPr>
                <w:rFonts w:ascii="Times New Roman" w:hAnsi="Times New Roman" w:cs="Times New Roman"/>
              </w:rPr>
              <w:t xml:space="preserve"> R, </w:t>
            </w:r>
            <w:proofErr w:type="spellStart"/>
            <w:r w:rsidRPr="008D6FCD">
              <w:rPr>
                <w:rFonts w:ascii="Times New Roman" w:hAnsi="Times New Roman" w:cs="Times New Roman"/>
              </w:rPr>
              <w:t>Pajares</w:t>
            </w:r>
            <w:proofErr w:type="spellEnd"/>
            <w:r w:rsidRPr="008D6FCD">
              <w:rPr>
                <w:rFonts w:ascii="Times New Roman" w:hAnsi="Times New Roman" w:cs="Times New Roman"/>
              </w:rPr>
              <w:t xml:space="preserve"> MJ, et al. Contrasting responses of non-small cell lung cancer to antiangiogenic therapies depend on histological subtype. </w:t>
            </w:r>
            <w:r w:rsidRPr="008D6FCD">
              <w:rPr>
                <w:rFonts w:ascii="Times New Roman" w:hAnsi="Times New Roman" w:cs="Times New Roman"/>
                <w:i/>
              </w:rPr>
              <w:t xml:space="preserve">EMBO </w:t>
            </w:r>
            <w:r w:rsidRPr="008D6FCD">
              <w:rPr>
                <w:rFonts w:ascii="Times New Roman" w:hAnsi="Times New Roman" w:cs="Times New Roman"/>
                <w:i/>
              </w:rPr>
              <w:lastRenderedPageBreak/>
              <w:t xml:space="preserve">molecular medicine. </w:t>
            </w:r>
            <w:r w:rsidRPr="008D6FCD">
              <w:rPr>
                <w:rFonts w:ascii="Times New Roman" w:hAnsi="Times New Roman" w:cs="Times New Roman"/>
              </w:rPr>
              <w:t>2014</w:t>
            </w:r>
            <w:proofErr w:type="gramStart"/>
            <w:r w:rsidRPr="008D6FCD">
              <w:rPr>
                <w:rFonts w:ascii="Times New Roman" w:hAnsi="Times New Roman" w:cs="Times New Roman"/>
              </w:rPr>
              <w:t>;6</w:t>
            </w:r>
            <w:proofErr w:type="gramEnd"/>
            <w:r w:rsidRPr="008D6FCD">
              <w:rPr>
                <w:rFonts w:ascii="Times New Roman" w:hAnsi="Times New Roman" w:cs="Times New Roman"/>
              </w:rPr>
              <w:t>(4):539-550.</w:t>
            </w:r>
          </w:p>
        </w:tc>
      </w:tr>
      <w:tr w:rsidR="00693190" w14:paraId="55CC836D" w14:textId="77777777" w:rsidTr="00462116">
        <w:tc>
          <w:tcPr>
            <w:tcW w:w="1414" w:type="dxa"/>
            <w:vMerge/>
            <w:shd w:val="clear" w:color="auto" w:fill="auto"/>
          </w:tcPr>
          <w:p w14:paraId="4187B3B2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E059347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Motesanib-unselected patients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6EFB595" w14:textId="77777777" w:rsidR="00693190" w:rsidRPr="00CE6BCB" w:rsidRDefault="00693190" w:rsidP="00103688">
            <w:pPr>
              <w:rPr>
                <w:rFonts w:ascii="Times New Roman" w:hAnsi="Times New Roman" w:cs="Times New Roman"/>
              </w:rPr>
            </w:pPr>
            <w:r w:rsidRPr="00CE6BCB">
              <w:rPr>
                <w:rFonts w:ascii="Times New Roman" w:hAnsi="Times New Roman" w:cs="Times New Roman"/>
              </w:rPr>
              <w:t xml:space="preserve">Blumenschein GR, Jr., </w:t>
            </w:r>
            <w:proofErr w:type="spellStart"/>
            <w:r w:rsidRPr="00CE6BCB">
              <w:rPr>
                <w:rFonts w:ascii="Times New Roman" w:hAnsi="Times New Roman" w:cs="Times New Roman"/>
              </w:rPr>
              <w:t>Kabbinavar</w:t>
            </w:r>
            <w:proofErr w:type="spellEnd"/>
            <w:r w:rsidRPr="00CE6BCB">
              <w:rPr>
                <w:rFonts w:ascii="Times New Roman" w:hAnsi="Times New Roman" w:cs="Times New Roman"/>
              </w:rPr>
              <w:t xml:space="preserve"> F, Menon H, et al. A phase II, multicenter, open-label randomized study of motesanib or bevacizumab in combination with paclitaxel and carboplatin for advanced </w:t>
            </w:r>
            <w:proofErr w:type="spellStart"/>
            <w:r w:rsidRPr="00CE6BCB">
              <w:rPr>
                <w:rFonts w:ascii="Times New Roman" w:hAnsi="Times New Roman" w:cs="Times New Roman"/>
              </w:rPr>
              <w:t>nonsquamous</w:t>
            </w:r>
            <w:proofErr w:type="spellEnd"/>
            <w:r w:rsidRPr="00CE6BCB">
              <w:rPr>
                <w:rFonts w:ascii="Times New Roman" w:hAnsi="Times New Roman" w:cs="Times New Roman"/>
              </w:rPr>
              <w:t xml:space="preserve"> non-small-cell lung cancer. </w:t>
            </w:r>
            <w:r w:rsidRPr="00CE6BCB">
              <w:rPr>
                <w:rFonts w:ascii="Times New Roman" w:hAnsi="Times New Roman" w:cs="Times New Roman"/>
                <w:i/>
              </w:rPr>
              <w:t xml:space="preserve">Ann Oncol. </w:t>
            </w:r>
            <w:r w:rsidRPr="00CE6BCB">
              <w:rPr>
                <w:rFonts w:ascii="Times New Roman" w:hAnsi="Times New Roman" w:cs="Times New Roman"/>
              </w:rPr>
              <w:t>2011</w:t>
            </w:r>
            <w:proofErr w:type="gramStart"/>
            <w:r w:rsidRPr="00CE6BCB">
              <w:rPr>
                <w:rFonts w:ascii="Times New Roman" w:hAnsi="Times New Roman" w:cs="Times New Roman"/>
              </w:rPr>
              <w:t>;22</w:t>
            </w:r>
            <w:proofErr w:type="gramEnd"/>
            <w:r w:rsidRPr="00CE6BCB">
              <w:rPr>
                <w:rFonts w:ascii="Times New Roman" w:hAnsi="Times New Roman" w:cs="Times New Roman"/>
              </w:rPr>
              <w:t>(9):2057-2067.</w:t>
            </w:r>
          </w:p>
          <w:p w14:paraId="3515BDBE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1E1CE6BC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CE6BCB">
              <w:rPr>
                <w:rFonts w:ascii="Times New Roman" w:hAnsi="Times New Roman" w:cs="Times New Roman"/>
              </w:rPr>
              <w:t>Coxon</w:t>
            </w:r>
            <w:proofErr w:type="spellEnd"/>
            <w:r w:rsidRPr="00CE6BCB">
              <w:rPr>
                <w:rFonts w:ascii="Times New Roman" w:hAnsi="Times New Roman" w:cs="Times New Roman"/>
              </w:rPr>
              <w:t xml:space="preserve"> A, Ziegler B, Kaufman S, et al. Antitumor activity of motesanib alone and in combination with cisplatin or docetaxel in multiple human non-small-cell lung cancer xenograft models. </w:t>
            </w:r>
            <w:r w:rsidRPr="00CE6BCB">
              <w:rPr>
                <w:rFonts w:ascii="Times New Roman" w:hAnsi="Times New Roman" w:cs="Times New Roman"/>
                <w:i/>
              </w:rPr>
              <w:t xml:space="preserve">Mol Cancer. </w:t>
            </w:r>
            <w:r w:rsidRPr="00CE6BCB">
              <w:rPr>
                <w:rFonts w:ascii="Times New Roman" w:hAnsi="Times New Roman" w:cs="Times New Roman"/>
              </w:rPr>
              <w:t>2012</w:t>
            </w:r>
            <w:proofErr w:type="gramStart"/>
            <w:r w:rsidRPr="00CE6BCB">
              <w:rPr>
                <w:rFonts w:ascii="Times New Roman" w:hAnsi="Times New Roman" w:cs="Times New Roman"/>
              </w:rPr>
              <w:t>;11:70</w:t>
            </w:r>
            <w:proofErr w:type="gramEnd"/>
            <w:r w:rsidRPr="00CE6BCB">
              <w:rPr>
                <w:rFonts w:ascii="Times New Roman" w:hAnsi="Times New Roman" w:cs="Times New Roman"/>
              </w:rPr>
              <w:t>.</w:t>
            </w:r>
          </w:p>
        </w:tc>
      </w:tr>
      <w:tr w:rsidR="00693190" w14:paraId="0A408546" w14:textId="77777777" w:rsidTr="00103688">
        <w:tc>
          <w:tcPr>
            <w:tcW w:w="1414" w:type="dxa"/>
            <w:vMerge/>
            <w:shd w:val="clear" w:color="auto" w:fill="auto"/>
          </w:tcPr>
          <w:p w14:paraId="21DAD13B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975BC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Cediranib -unselected patients</w:t>
            </w:r>
          </w:p>
        </w:tc>
        <w:tc>
          <w:tcPr>
            <w:tcW w:w="3410" w:type="dxa"/>
            <w:shd w:val="clear" w:color="auto" w:fill="auto"/>
          </w:tcPr>
          <w:p w14:paraId="34469B11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FB3891">
              <w:rPr>
                <w:rFonts w:ascii="Times New Roman" w:hAnsi="Times New Roman" w:cs="Times New Roman"/>
              </w:rPr>
              <w:t>Dy</w:t>
            </w:r>
            <w:proofErr w:type="spellEnd"/>
            <w:r w:rsidRPr="00FB3891">
              <w:rPr>
                <w:rFonts w:ascii="Times New Roman" w:hAnsi="Times New Roman" w:cs="Times New Roman"/>
              </w:rPr>
              <w:t xml:space="preserve"> GK, </w:t>
            </w:r>
            <w:proofErr w:type="spellStart"/>
            <w:r w:rsidRPr="00FB3891">
              <w:rPr>
                <w:rFonts w:ascii="Times New Roman" w:hAnsi="Times New Roman" w:cs="Times New Roman"/>
              </w:rPr>
              <w:t>Mandrekar</w:t>
            </w:r>
            <w:proofErr w:type="spellEnd"/>
            <w:r w:rsidRPr="00FB3891">
              <w:rPr>
                <w:rFonts w:ascii="Times New Roman" w:hAnsi="Times New Roman" w:cs="Times New Roman"/>
              </w:rPr>
              <w:t xml:space="preserve"> SJ, Nelson GD, et al. A randomized phase II study of gemcitabine and carboplatin with or without </w:t>
            </w:r>
            <w:proofErr w:type="spellStart"/>
            <w:r w:rsidRPr="00FB3891">
              <w:rPr>
                <w:rFonts w:ascii="Times New Roman" w:hAnsi="Times New Roman" w:cs="Times New Roman"/>
              </w:rPr>
              <w:t>cediranib</w:t>
            </w:r>
            <w:proofErr w:type="spellEnd"/>
            <w:r w:rsidRPr="00FB3891">
              <w:rPr>
                <w:rFonts w:ascii="Times New Roman" w:hAnsi="Times New Roman" w:cs="Times New Roman"/>
              </w:rPr>
              <w:t xml:space="preserve"> as first-line therapy in advanced non-small-cell lung cancer: North Central Cancer Treatment Group Study N0528. </w:t>
            </w:r>
            <w:r w:rsidRPr="00FB3891">
              <w:rPr>
                <w:rFonts w:ascii="Times New Roman" w:hAnsi="Times New Roman" w:cs="Times New Roman"/>
                <w:i/>
              </w:rPr>
              <w:t xml:space="preserve">J </w:t>
            </w:r>
            <w:proofErr w:type="spellStart"/>
            <w:r w:rsidRPr="00FB3891">
              <w:rPr>
                <w:rFonts w:ascii="Times New Roman" w:hAnsi="Times New Roman" w:cs="Times New Roman"/>
                <w:i/>
              </w:rPr>
              <w:t>Thorac</w:t>
            </w:r>
            <w:proofErr w:type="spellEnd"/>
            <w:r w:rsidRPr="00FB38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B3891">
              <w:rPr>
                <w:rFonts w:ascii="Times New Roman" w:hAnsi="Times New Roman" w:cs="Times New Roman"/>
                <w:i/>
              </w:rPr>
              <w:t>Oncol</w:t>
            </w:r>
            <w:proofErr w:type="spellEnd"/>
            <w:r w:rsidRPr="00FB3891">
              <w:rPr>
                <w:rFonts w:ascii="Times New Roman" w:hAnsi="Times New Roman" w:cs="Times New Roman"/>
                <w:i/>
              </w:rPr>
              <w:t xml:space="preserve">. </w:t>
            </w:r>
            <w:r w:rsidRPr="00FB3891">
              <w:rPr>
                <w:rFonts w:ascii="Times New Roman" w:hAnsi="Times New Roman" w:cs="Times New Roman"/>
              </w:rPr>
              <w:t>2013</w:t>
            </w:r>
            <w:proofErr w:type="gramStart"/>
            <w:r w:rsidRPr="00FB3891">
              <w:rPr>
                <w:rFonts w:ascii="Times New Roman" w:hAnsi="Times New Roman" w:cs="Times New Roman"/>
              </w:rPr>
              <w:t>;8</w:t>
            </w:r>
            <w:proofErr w:type="gramEnd"/>
            <w:r w:rsidRPr="00FB3891">
              <w:rPr>
                <w:rFonts w:ascii="Times New Roman" w:hAnsi="Times New Roman" w:cs="Times New Roman"/>
              </w:rPr>
              <w:t>(1):79-88.</w:t>
            </w:r>
          </w:p>
        </w:tc>
        <w:tc>
          <w:tcPr>
            <w:tcW w:w="3960" w:type="dxa"/>
            <w:shd w:val="clear" w:color="auto" w:fill="auto"/>
          </w:tcPr>
          <w:p w14:paraId="13B7B8FD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FB3891">
              <w:rPr>
                <w:rFonts w:ascii="Times New Roman" w:hAnsi="Times New Roman" w:cs="Times New Roman"/>
              </w:rPr>
              <w:t xml:space="preserve">Wedge SR, Kendrew J, </w:t>
            </w:r>
            <w:proofErr w:type="spellStart"/>
            <w:r w:rsidRPr="00FB3891">
              <w:rPr>
                <w:rFonts w:ascii="Times New Roman" w:hAnsi="Times New Roman" w:cs="Times New Roman"/>
              </w:rPr>
              <w:t>Hennequin</w:t>
            </w:r>
            <w:proofErr w:type="spellEnd"/>
            <w:r w:rsidRPr="00FB3891">
              <w:rPr>
                <w:rFonts w:ascii="Times New Roman" w:hAnsi="Times New Roman" w:cs="Times New Roman"/>
              </w:rPr>
              <w:t xml:space="preserve"> LF, et al. AZD2171: a highly potent, orally bioavailable, vascular endothelial growth factor receptor-2 tyrosine kinase inhibitor for the treatment of cancer. </w:t>
            </w:r>
            <w:r w:rsidRPr="00FB3891">
              <w:rPr>
                <w:rFonts w:ascii="Times New Roman" w:hAnsi="Times New Roman" w:cs="Times New Roman"/>
                <w:i/>
              </w:rPr>
              <w:t xml:space="preserve">Cancer Res. </w:t>
            </w:r>
            <w:r w:rsidRPr="00FB3891">
              <w:rPr>
                <w:rFonts w:ascii="Times New Roman" w:hAnsi="Times New Roman" w:cs="Times New Roman"/>
              </w:rPr>
              <w:t>2005</w:t>
            </w:r>
            <w:proofErr w:type="gramStart"/>
            <w:r w:rsidRPr="00FB3891">
              <w:rPr>
                <w:rFonts w:ascii="Times New Roman" w:hAnsi="Times New Roman" w:cs="Times New Roman"/>
              </w:rPr>
              <w:t>;65</w:t>
            </w:r>
            <w:proofErr w:type="gramEnd"/>
            <w:r w:rsidRPr="00FB3891">
              <w:rPr>
                <w:rFonts w:ascii="Times New Roman" w:hAnsi="Times New Roman" w:cs="Times New Roman"/>
              </w:rPr>
              <w:t>(10):4389-4400.</w:t>
            </w:r>
          </w:p>
        </w:tc>
      </w:tr>
      <w:tr w:rsidR="00693190" w14:paraId="591D0FA8" w14:textId="77777777" w:rsidTr="00462116">
        <w:tc>
          <w:tcPr>
            <w:tcW w:w="1414" w:type="dxa"/>
            <w:vMerge/>
            <w:shd w:val="clear" w:color="auto" w:fill="auto"/>
          </w:tcPr>
          <w:p w14:paraId="68458D3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F477F6D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Pazopanib-unselected patients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4F04986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1F3EC5">
              <w:rPr>
                <w:rFonts w:ascii="Times New Roman" w:hAnsi="Times New Roman" w:cs="Times New Roman"/>
              </w:rPr>
              <w:t>Altorki</w:t>
            </w:r>
            <w:proofErr w:type="spellEnd"/>
            <w:r w:rsidRPr="001F3EC5">
              <w:rPr>
                <w:rFonts w:ascii="Times New Roman" w:hAnsi="Times New Roman" w:cs="Times New Roman"/>
              </w:rPr>
              <w:t xml:space="preserve"> N, Lane ME, Bauer T, et al. Phase II proof-of-concept study of pazopanib monotherapy in treatment-naive patients with stage I/II resectable non-small-cell lung cancer. </w:t>
            </w:r>
            <w:r w:rsidRPr="001F3EC5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1F3EC5">
              <w:rPr>
                <w:rFonts w:ascii="Times New Roman" w:hAnsi="Times New Roman" w:cs="Times New Roman"/>
              </w:rPr>
              <w:t>2010</w:t>
            </w:r>
            <w:proofErr w:type="gramStart"/>
            <w:r w:rsidRPr="001F3EC5">
              <w:rPr>
                <w:rFonts w:ascii="Times New Roman" w:hAnsi="Times New Roman" w:cs="Times New Roman"/>
              </w:rPr>
              <w:t>;28</w:t>
            </w:r>
            <w:proofErr w:type="gramEnd"/>
            <w:r w:rsidRPr="001F3EC5">
              <w:rPr>
                <w:rFonts w:ascii="Times New Roman" w:hAnsi="Times New Roman" w:cs="Times New Roman"/>
              </w:rPr>
              <w:t>(19):3131-3137.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4153C1" w14:textId="77777777" w:rsidR="00693190" w:rsidRPr="001F3EC5" w:rsidRDefault="00693190" w:rsidP="00103688">
            <w:pPr>
              <w:rPr>
                <w:rFonts w:ascii="Times New Roman" w:hAnsi="Times New Roman" w:cs="Times New Roman"/>
              </w:rPr>
            </w:pPr>
            <w:r w:rsidRPr="001F3EC5">
              <w:rPr>
                <w:rFonts w:ascii="Times New Roman" w:hAnsi="Times New Roman" w:cs="Times New Roman"/>
              </w:rPr>
              <w:t xml:space="preserve">Tailor TD, Hanna G, </w:t>
            </w:r>
            <w:proofErr w:type="gramStart"/>
            <w:r w:rsidRPr="001F3EC5">
              <w:rPr>
                <w:rFonts w:ascii="Times New Roman" w:hAnsi="Times New Roman" w:cs="Times New Roman"/>
              </w:rPr>
              <w:t>Yarmolenko</w:t>
            </w:r>
            <w:proofErr w:type="gramEnd"/>
            <w:r w:rsidRPr="001F3EC5">
              <w:rPr>
                <w:rFonts w:ascii="Times New Roman" w:hAnsi="Times New Roman" w:cs="Times New Roman"/>
              </w:rPr>
              <w:t xml:space="preserve"> PS, et al. Effect of pazopanib on tumor microenvironment and liposome delivery. </w:t>
            </w:r>
            <w:proofErr w:type="spellStart"/>
            <w:r w:rsidRPr="001F3EC5">
              <w:rPr>
                <w:rFonts w:ascii="Times New Roman" w:hAnsi="Times New Roman" w:cs="Times New Roman"/>
                <w:i/>
              </w:rPr>
              <w:t>Mol</w:t>
            </w:r>
            <w:proofErr w:type="spellEnd"/>
            <w:r w:rsidRPr="001F3EC5">
              <w:rPr>
                <w:rFonts w:ascii="Times New Roman" w:hAnsi="Times New Roman" w:cs="Times New Roman"/>
                <w:i/>
              </w:rPr>
              <w:t xml:space="preserve"> Cancer </w:t>
            </w:r>
            <w:proofErr w:type="spellStart"/>
            <w:r w:rsidRPr="001F3EC5">
              <w:rPr>
                <w:rFonts w:ascii="Times New Roman" w:hAnsi="Times New Roman" w:cs="Times New Roman"/>
                <w:i/>
              </w:rPr>
              <w:t>Ther</w:t>
            </w:r>
            <w:proofErr w:type="spellEnd"/>
            <w:r w:rsidRPr="001F3EC5">
              <w:rPr>
                <w:rFonts w:ascii="Times New Roman" w:hAnsi="Times New Roman" w:cs="Times New Roman"/>
                <w:i/>
              </w:rPr>
              <w:t xml:space="preserve">. </w:t>
            </w:r>
            <w:r w:rsidRPr="001F3EC5">
              <w:rPr>
                <w:rFonts w:ascii="Times New Roman" w:hAnsi="Times New Roman" w:cs="Times New Roman"/>
              </w:rPr>
              <w:t>2010</w:t>
            </w:r>
            <w:proofErr w:type="gramStart"/>
            <w:r w:rsidRPr="001F3EC5">
              <w:rPr>
                <w:rFonts w:ascii="Times New Roman" w:hAnsi="Times New Roman" w:cs="Times New Roman"/>
              </w:rPr>
              <w:t>;9</w:t>
            </w:r>
            <w:proofErr w:type="gramEnd"/>
            <w:r w:rsidRPr="001F3EC5">
              <w:rPr>
                <w:rFonts w:ascii="Times New Roman" w:hAnsi="Times New Roman" w:cs="Times New Roman"/>
              </w:rPr>
              <w:t>(6):1798-1808.</w:t>
            </w:r>
          </w:p>
          <w:p w14:paraId="1236BDD3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4B170B0B" w14:textId="77777777" w:rsidTr="00103688">
        <w:tc>
          <w:tcPr>
            <w:tcW w:w="1414" w:type="dxa"/>
            <w:vMerge/>
            <w:shd w:val="clear" w:color="auto" w:fill="auto"/>
          </w:tcPr>
          <w:p w14:paraId="4AEE8F3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96CD4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BI 2536-unselected patients</w:t>
            </w:r>
          </w:p>
        </w:tc>
        <w:tc>
          <w:tcPr>
            <w:tcW w:w="3410" w:type="dxa"/>
            <w:shd w:val="clear" w:color="auto" w:fill="auto"/>
          </w:tcPr>
          <w:p w14:paraId="47D0C2CD" w14:textId="77777777" w:rsidR="00693190" w:rsidRPr="00893BB9" w:rsidRDefault="00693190" w:rsidP="00103688">
            <w:pPr>
              <w:rPr>
                <w:rFonts w:ascii="Times New Roman" w:hAnsi="Times New Roman" w:cs="Times New Roman"/>
              </w:rPr>
            </w:pPr>
            <w:r w:rsidRPr="00893BB9">
              <w:rPr>
                <w:rFonts w:ascii="Times New Roman" w:hAnsi="Times New Roman" w:cs="Times New Roman"/>
              </w:rPr>
              <w:t xml:space="preserve">Sebastian M, Reck M, Waller CF, et al. The efficacy and safety of BI 2536, a novel Plk-1 inhibitor, in patients with stage IIIB/IV non-small cell lung cancer who had relapsed after, or failed, chemotherapy: results from an open-label, randomized phase II clinical trial. </w:t>
            </w:r>
            <w:r w:rsidRPr="00893BB9">
              <w:rPr>
                <w:rFonts w:ascii="Times New Roman" w:hAnsi="Times New Roman" w:cs="Times New Roman"/>
                <w:i/>
              </w:rPr>
              <w:t xml:space="preserve">J </w:t>
            </w:r>
            <w:proofErr w:type="spellStart"/>
            <w:r w:rsidRPr="00893BB9">
              <w:rPr>
                <w:rFonts w:ascii="Times New Roman" w:hAnsi="Times New Roman" w:cs="Times New Roman"/>
                <w:i/>
              </w:rPr>
              <w:t>Thorac</w:t>
            </w:r>
            <w:proofErr w:type="spellEnd"/>
            <w:r w:rsidRPr="00893BB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93BB9">
              <w:rPr>
                <w:rFonts w:ascii="Times New Roman" w:hAnsi="Times New Roman" w:cs="Times New Roman"/>
                <w:i/>
              </w:rPr>
              <w:t>Oncol</w:t>
            </w:r>
            <w:proofErr w:type="spellEnd"/>
            <w:r w:rsidRPr="00893BB9">
              <w:rPr>
                <w:rFonts w:ascii="Times New Roman" w:hAnsi="Times New Roman" w:cs="Times New Roman"/>
                <w:i/>
              </w:rPr>
              <w:t xml:space="preserve">. </w:t>
            </w:r>
            <w:r w:rsidRPr="00893BB9">
              <w:rPr>
                <w:rFonts w:ascii="Times New Roman" w:hAnsi="Times New Roman" w:cs="Times New Roman"/>
              </w:rPr>
              <w:t>2010</w:t>
            </w:r>
            <w:proofErr w:type="gramStart"/>
            <w:r w:rsidRPr="00893BB9">
              <w:rPr>
                <w:rFonts w:ascii="Times New Roman" w:hAnsi="Times New Roman" w:cs="Times New Roman"/>
              </w:rPr>
              <w:t>;5</w:t>
            </w:r>
            <w:proofErr w:type="gramEnd"/>
            <w:r w:rsidRPr="00893BB9">
              <w:rPr>
                <w:rFonts w:ascii="Times New Roman" w:hAnsi="Times New Roman" w:cs="Times New Roman"/>
              </w:rPr>
              <w:t>(7):1060-1067.</w:t>
            </w:r>
          </w:p>
          <w:p w14:paraId="2ECE1EB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14:paraId="347E4AEC" w14:textId="77777777" w:rsidR="00693190" w:rsidRPr="00893BB9" w:rsidRDefault="00693190" w:rsidP="00103688">
            <w:pPr>
              <w:rPr>
                <w:rFonts w:ascii="Times New Roman" w:hAnsi="Times New Roman" w:cs="Times New Roman"/>
              </w:rPr>
            </w:pPr>
            <w:proofErr w:type="spellStart"/>
            <w:r w:rsidRPr="00893BB9">
              <w:rPr>
                <w:rFonts w:ascii="Times New Roman" w:hAnsi="Times New Roman" w:cs="Times New Roman"/>
              </w:rPr>
              <w:t>Steegmaier</w:t>
            </w:r>
            <w:proofErr w:type="spellEnd"/>
            <w:r w:rsidRPr="00893BB9">
              <w:rPr>
                <w:rFonts w:ascii="Times New Roman" w:hAnsi="Times New Roman" w:cs="Times New Roman"/>
              </w:rPr>
              <w:t xml:space="preserve"> M, Hoffmann M, Baum A, et al. BI 2536, a potent and selective inhibitor of polo-like kinase 1, inhibits tumor growth in vivo. </w:t>
            </w:r>
            <w:r w:rsidRPr="00893BB9">
              <w:rPr>
                <w:rFonts w:ascii="Times New Roman" w:hAnsi="Times New Roman" w:cs="Times New Roman"/>
                <w:i/>
              </w:rPr>
              <w:t xml:space="preserve">Current </w:t>
            </w:r>
            <w:proofErr w:type="gramStart"/>
            <w:r w:rsidRPr="00893BB9">
              <w:rPr>
                <w:rFonts w:ascii="Times New Roman" w:hAnsi="Times New Roman" w:cs="Times New Roman"/>
                <w:i/>
              </w:rPr>
              <w:t>biology :</w:t>
            </w:r>
            <w:proofErr w:type="gramEnd"/>
            <w:r w:rsidRPr="00893BB9">
              <w:rPr>
                <w:rFonts w:ascii="Times New Roman" w:hAnsi="Times New Roman" w:cs="Times New Roman"/>
                <w:i/>
              </w:rPr>
              <w:t xml:space="preserve"> CB. </w:t>
            </w:r>
            <w:r w:rsidRPr="00893BB9">
              <w:rPr>
                <w:rFonts w:ascii="Times New Roman" w:hAnsi="Times New Roman" w:cs="Times New Roman"/>
              </w:rPr>
              <w:t>2007</w:t>
            </w:r>
            <w:proofErr w:type="gramStart"/>
            <w:r w:rsidRPr="00893BB9">
              <w:rPr>
                <w:rFonts w:ascii="Times New Roman" w:hAnsi="Times New Roman" w:cs="Times New Roman"/>
              </w:rPr>
              <w:t>;17</w:t>
            </w:r>
            <w:proofErr w:type="gramEnd"/>
            <w:r w:rsidRPr="00893BB9">
              <w:rPr>
                <w:rFonts w:ascii="Times New Roman" w:hAnsi="Times New Roman" w:cs="Times New Roman"/>
              </w:rPr>
              <w:t>(4):316-322.</w:t>
            </w:r>
          </w:p>
          <w:p w14:paraId="6C0D08C9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693190" w14:paraId="265A83BE" w14:textId="77777777" w:rsidTr="00462116">
        <w:tc>
          <w:tcPr>
            <w:tcW w:w="1414" w:type="dxa"/>
            <w:vMerge/>
            <w:shd w:val="clear" w:color="auto" w:fill="auto"/>
          </w:tcPr>
          <w:p w14:paraId="4E0F80EF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D225CB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Axitinib-unselected patients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7000B5D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8E6D26">
              <w:rPr>
                <w:rFonts w:ascii="Times New Roman" w:hAnsi="Times New Roman" w:cs="Times New Roman"/>
              </w:rPr>
              <w:t xml:space="preserve">Schiller JH, Larson T, </w:t>
            </w:r>
            <w:proofErr w:type="spellStart"/>
            <w:r w:rsidRPr="008E6D26">
              <w:rPr>
                <w:rFonts w:ascii="Times New Roman" w:hAnsi="Times New Roman" w:cs="Times New Roman"/>
              </w:rPr>
              <w:t>Ou</w:t>
            </w:r>
            <w:proofErr w:type="spellEnd"/>
            <w:r w:rsidRPr="008E6D26">
              <w:rPr>
                <w:rFonts w:ascii="Times New Roman" w:hAnsi="Times New Roman" w:cs="Times New Roman"/>
              </w:rPr>
              <w:t xml:space="preserve"> SH, et al. Efficacy and safety of </w:t>
            </w:r>
            <w:proofErr w:type="spellStart"/>
            <w:r w:rsidRPr="008E6D26">
              <w:rPr>
                <w:rFonts w:ascii="Times New Roman" w:hAnsi="Times New Roman" w:cs="Times New Roman"/>
              </w:rPr>
              <w:t>axitinib</w:t>
            </w:r>
            <w:proofErr w:type="spellEnd"/>
            <w:r w:rsidRPr="008E6D26">
              <w:rPr>
                <w:rFonts w:ascii="Times New Roman" w:hAnsi="Times New Roman" w:cs="Times New Roman"/>
              </w:rPr>
              <w:t xml:space="preserve"> in patients with advanced non-small-cell lung cancer: results from a phase II study. </w:t>
            </w:r>
            <w:r w:rsidRPr="008E6D26">
              <w:rPr>
                <w:rFonts w:ascii="Times New Roman" w:hAnsi="Times New Roman" w:cs="Times New Roman"/>
                <w:i/>
              </w:rPr>
              <w:t xml:space="preserve">J Clin Oncol. </w:t>
            </w:r>
            <w:r w:rsidRPr="008E6D26">
              <w:rPr>
                <w:rFonts w:ascii="Times New Roman" w:hAnsi="Times New Roman" w:cs="Times New Roman"/>
              </w:rPr>
              <w:t>2009</w:t>
            </w:r>
            <w:proofErr w:type="gramStart"/>
            <w:r w:rsidRPr="008E6D26">
              <w:rPr>
                <w:rFonts w:ascii="Times New Roman" w:hAnsi="Times New Roman" w:cs="Times New Roman"/>
              </w:rPr>
              <w:t>;27</w:t>
            </w:r>
            <w:proofErr w:type="gramEnd"/>
            <w:r w:rsidRPr="008E6D26">
              <w:rPr>
                <w:rFonts w:ascii="Times New Roman" w:hAnsi="Times New Roman" w:cs="Times New Roman"/>
              </w:rPr>
              <w:t>(23):3836-3841.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4CAB75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8E6D26">
              <w:rPr>
                <w:rFonts w:ascii="Times New Roman" w:hAnsi="Times New Roman" w:cs="Times New Roman"/>
              </w:rPr>
              <w:t xml:space="preserve">Hu-Lowe DD, Zou HY, </w:t>
            </w:r>
            <w:proofErr w:type="spellStart"/>
            <w:r w:rsidRPr="008E6D26">
              <w:rPr>
                <w:rFonts w:ascii="Times New Roman" w:hAnsi="Times New Roman" w:cs="Times New Roman"/>
              </w:rPr>
              <w:t>Grazzini</w:t>
            </w:r>
            <w:proofErr w:type="spellEnd"/>
            <w:r w:rsidRPr="008E6D26">
              <w:rPr>
                <w:rFonts w:ascii="Times New Roman" w:hAnsi="Times New Roman" w:cs="Times New Roman"/>
              </w:rPr>
              <w:t xml:space="preserve"> ML, et al. Nonclinical </w:t>
            </w:r>
            <w:proofErr w:type="spellStart"/>
            <w:r w:rsidRPr="008E6D26">
              <w:rPr>
                <w:rFonts w:ascii="Times New Roman" w:hAnsi="Times New Roman" w:cs="Times New Roman"/>
              </w:rPr>
              <w:t>antiangiogenesis</w:t>
            </w:r>
            <w:proofErr w:type="spellEnd"/>
            <w:r w:rsidRPr="008E6D26">
              <w:rPr>
                <w:rFonts w:ascii="Times New Roman" w:hAnsi="Times New Roman" w:cs="Times New Roman"/>
              </w:rPr>
              <w:t xml:space="preserve"> and antitumor activities of </w:t>
            </w:r>
            <w:proofErr w:type="spellStart"/>
            <w:r w:rsidRPr="008E6D26">
              <w:rPr>
                <w:rFonts w:ascii="Times New Roman" w:hAnsi="Times New Roman" w:cs="Times New Roman"/>
              </w:rPr>
              <w:t>axitinib</w:t>
            </w:r>
            <w:proofErr w:type="spellEnd"/>
            <w:r w:rsidRPr="008E6D26">
              <w:rPr>
                <w:rFonts w:ascii="Times New Roman" w:hAnsi="Times New Roman" w:cs="Times New Roman"/>
              </w:rPr>
              <w:t xml:space="preserve"> (AG-013736), an oral, potent, and selective inhibitor of vascular endothelial growth factor receptor tyrosine kinases 1, 2, 3. </w:t>
            </w:r>
            <w:r w:rsidRPr="008E6D26">
              <w:rPr>
                <w:rFonts w:ascii="Times New Roman" w:hAnsi="Times New Roman" w:cs="Times New Roman"/>
                <w:i/>
              </w:rPr>
              <w:t xml:space="preserve">Clin Cancer Res. </w:t>
            </w:r>
            <w:r w:rsidRPr="008E6D26">
              <w:rPr>
                <w:rFonts w:ascii="Times New Roman" w:hAnsi="Times New Roman" w:cs="Times New Roman"/>
              </w:rPr>
              <w:t>2008</w:t>
            </w:r>
            <w:proofErr w:type="gramStart"/>
            <w:r w:rsidRPr="008E6D26">
              <w:rPr>
                <w:rFonts w:ascii="Times New Roman" w:hAnsi="Times New Roman" w:cs="Times New Roman"/>
              </w:rPr>
              <w:t>;14</w:t>
            </w:r>
            <w:proofErr w:type="gramEnd"/>
            <w:r w:rsidRPr="008E6D26">
              <w:rPr>
                <w:rFonts w:ascii="Times New Roman" w:hAnsi="Times New Roman" w:cs="Times New Roman"/>
              </w:rPr>
              <w:t>(22):7272-7283.</w:t>
            </w:r>
          </w:p>
        </w:tc>
      </w:tr>
      <w:tr w:rsidR="00693190" w14:paraId="13011A60" w14:textId="77777777" w:rsidTr="00103688">
        <w:tc>
          <w:tcPr>
            <w:tcW w:w="1414" w:type="dxa"/>
            <w:vMerge/>
            <w:shd w:val="clear" w:color="auto" w:fill="auto"/>
          </w:tcPr>
          <w:p w14:paraId="797CDA80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74F78" w14:textId="77777777" w:rsidR="00693190" w:rsidRPr="009D4014" w:rsidRDefault="00693190" w:rsidP="00103688">
            <w:pPr>
              <w:rPr>
                <w:rFonts w:ascii="Times New Roman" w:hAnsi="Times New Roman" w:cs="Times New Roman"/>
              </w:rPr>
            </w:pPr>
            <w:r w:rsidRPr="009D4014">
              <w:rPr>
                <w:rFonts w:ascii="Times New Roman" w:hAnsi="Times New Roman" w:cs="Times New Roman"/>
                <w:color w:val="000000"/>
              </w:rPr>
              <w:t>Trametinib-</w:t>
            </w:r>
            <w:r w:rsidRPr="000F3EDC">
              <w:rPr>
                <w:rFonts w:ascii="Times New Roman" w:hAnsi="Times New Roman" w:cs="Times New Roman"/>
                <w:i/>
                <w:iCs/>
                <w:color w:val="000000"/>
              </w:rPr>
              <w:t>KRAS</w:t>
            </w:r>
            <w:r w:rsidRPr="009D4014">
              <w:rPr>
                <w:rFonts w:ascii="Times New Roman" w:hAnsi="Times New Roman" w:cs="Times New Roman"/>
                <w:color w:val="000000"/>
              </w:rPr>
              <w:t xml:space="preserve"> mutant</w:t>
            </w:r>
          </w:p>
        </w:tc>
        <w:tc>
          <w:tcPr>
            <w:tcW w:w="3410" w:type="dxa"/>
            <w:shd w:val="clear" w:color="auto" w:fill="auto"/>
          </w:tcPr>
          <w:p w14:paraId="701088E1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F45581">
              <w:rPr>
                <w:rFonts w:ascii="Times New Roman" w:hAnsi="Times New Roman" w:cs="Times New Roman"/>
              </w:rPr>
              <w:t xml:space="preserve">Blumenschein GR, Jr., Smit EF, </w:t>
            </w:r>
            <w:proofErr w:type="spellStart"/>
            <w:r w:rsidRPr="00F45581">
              <w:rPr>
                <w:rFonts w:ascii="Times New Roman" w:hAnsi="Times New Roman" w:cs="Times New Roman"/>
              </w:rPr>
              <w:t>Planchard</w:t>
            </w:r>
            <w:proofErr w:type="spellEnd"/>
            <w:r w:rsidRPr="00F45581">
              <w:rPr>
                <w:rFonts w:ascii="Times New Roman" w:hAnsi="Times New Roman" w:cs="Times New Roman"/>
              </w:rPr>
              <w:t xml:space="preserve"> D, et al. A randomized phase II study of the MEK1/MEK2 inhibitor trametinib (GSK1120212) compared with docetaxel in KRAS-mutant advanced non-small-cell lung cancer (NSCLC</w:t>
            </w:r>
            <w:proofErr w:type="gramStart"/>
            <w:r w:rsidRPr="00F45581">
              <w:rPr>
                <w:rFonts w:ascii="Times New Roman" w:hAnsi="Times New Roman" w:cs="Times New Roman"/>
              </w:rPr>
              <w:t>)dagger</w:t>
            </w:r>
            <w:proofErr w:type="gramEnd"/>
            <w:r w:rsidRPr="00F45581">
              <w:rPr>
                <w:rFonts w:ascii="Times New Roman" w:hAnsi="Times New Roman" w:cs="Times New Roman"/>
              </w:rPr>
              <w:t xml:space="preserve">. </w:t>
            </w:r>
            <w:r w:rsidRPr="00F45581">
              <w:rPr>
                <w:rFonts w:ascii="Times New Roman" w:hAnsi="Times New Roman" w:cs="Times New Roman"/>
                <w:i/>
              </w:rPr>
              <w:t xml:space="preserve">Ann Oncol. </w:t>
            </w:r>
            <w:r w:rsidRPr="00F45581">
              <w:rPr>
                <w:rFonts w:ascii="Times New Roman" w:hAnsi="Times New Roman" w:cs="Times New Roman"/>
              </w:rPr>
              <w:t>2015</w:t>
            </w:r>
            <w:proofErr w:type="gramStart"/>
            <w:r w:rsidRPr="00F45581">
              <w:rPr>
                <w:rFonts w:ascii="Times New Roman" w:hAnsi="Times New Roman" w:cs="Times New Roman"/>
              </w:rPr>
              <w:t>;26</w:t>
            </w:r>
            <w:proofErr w:type="gramEnd"/>
            <w:r w:rsidRPr="00F45581">
              <w:rPr>
                <w:rFonts w:ascii="Times New Roman" w:hAnsi="Times New Roman" w:cs="Times New Roman"/>
              </w:rPr>
              <w:t>(5):894-901.</w:t>
            </w:r>
          </w:p>
        </w:tc>
        <w:tc>
          <w:tcPr>
            <w:tcW w:w="3960" w:type="dxa"/>
            <w:shd w:val="clear" w:color="auto" w:fill="auto"/>
          </w:tcPr>
          <w:p w14:paraId="45601B38" w14:textId="77777777" w:rsidR="00693190" w:rsidRDefault="00693190" w:rsidP="00103688">
            <w:pPr>
              <w:rPr>
                <w:rFonts w:ascii="Times New Roman" w:hAnsi="Times New Roman" w:cs="Times New Roman"/>
              </w:rPr>
            </w:pPr>
            <w:r w:rsidRPr="00F45581">
              <w:rPr>
                <w:rFonts w:ascii="Times New Roman" w:hAnsi="Times New Roman" w:cs="Times New Roman"/>
              </w:rPr>
              <w:t xml:space="preserve">Tao Z, Le Blanc JM, Wang C, et al. Coadministration of </w:t>
            </w:r>
            <w:proofErr w:type="spellStart"/>
            <w:r w:rsidRPr="00F45581">
              <w:rPr>
                <w:rFonts w:ascii="Times New Roman" w:hAnsi="Times New Roman" w:cs="Times New Roman"/>
              </w:rPr>
              <w:t>Trametinib</w:t>
            </w:r>
            <w:proofErr w:type="spellEnd"/>
            <w:r w:rsidRPr="00F4558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45581">
              <w:rPr>
                <w:rFonts w:ascii="Times New Roman" w:hAnsi="Times New Roman" w:cs="Times New Roman"/>
              </w:rPr>
              <w:t>Palbociclib</w:t>
            </w:r>
            <w:proofErr w:type="spellEnd"/>
            <w:r w:rsidRPr="00F45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581">
              <w:rPr>
                <w:rFonts w:ascii="Times New Roman" w:hAnsi="Times New Roman" w:cs="Times New Roman"/>
              </w:rPr>
              <w:t>Radiosensitizes</w:t>
            </w:r>
            <w:proofErr w:type="spellEnd"/>
            <w:r w:rsidRPr="00F45581">
              <w:rPr>
                <w:rFonts w:ascii="Times New Roman" w:hAnsi="Times New Roman" w:cs="Times New Roman"/>
              </w:rPr>
              <w:t xml:space="preserve"> KRAS-Mutant Non-Small Cell Lung Cancers In Vitro and In Vivo. </w:t>
            </w:r>
            <w:r w:rsidRPr="00F45581">
              <w:rPr>
                <w:rFonts w:ascii="Times New Roman" w:hAnsi="Times New Roman" w:cs="Times New Roman"/>
                <w:i/>
              </w:rPr>
              <w:t xml:space="preserve">Clin Cancer Res. </w:t>
            </w:r>
            <w:r w:rsidRPr="00F45581">
              <w:rPr>
                <w:rFonts w:ascii="Times New Roman" w:hAnsi="Times New Roman" w:cs="Times New Roman"/>
              </w:rPr>
              <w:t>2016</w:t>
            </w:r>
            <w:proofErr w:type="gramStart"/>
            <w:r w:rsidRPr="00F45581">
              <w:rPr>
                <w:rFonts w:ascii="Times New Roman" w:hAnsi="Times New Roman" w:cs="Times New Roman"/>
              </w:rPr>
              <w:t>;22</w:t>
            </w:r>
            <w:proofErr w:type="gramEnd"/>
            <w:r w:rsidRPr="00F45581">
              <w:rPr>
                <w:rFonts w:ascii="Times New Roman" w:hAnsi="Times New Roman" w:cs="Times New Roman"/>
              </w:rPr>
              <w:t>(1):122-133.</w:t>
            </w:r>
          </w:p>
        </w:tc>
      </w:tr>
    </w:tbl>
    <w:p w14:paraId="2C5D7EFC" w14:textId="77777777" w:rsidR="00693190" w:rsidRDefault="00693190">
      <w:pPr>
        <w:rPr>
          <w:rFonts w:ascii="Times New Roman" w:hAnsi="Times New Roman" w:cs="Times New Roman"/>
        </w:rPr>
      </w:pPr>
    </w:p>
    <w:p w14:paraId="19DD6689" w14:textId="77777777" w:rsidR="00693190" w:rsidRDefault="00693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Table 2: </w:t>
      </w:r>
      <w:r>
        <w:rPr>
          <w:rFonts w:ascii="Times New Roman" w:hAnsi="Times New Roman" w:cs="Times New Roman"/>
        </w:rPr>
        <w:t>Excluded approved drug- indication pairs and excluded unapproved drugs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93190" w14:paraId="6643AD0C" w14:textId="77777777" w:rsidTr="008671E5">
        <w:tc>
          <w:tcPr>
            <w:tcW w:w="5508" w:type="dxa"/>
            <w:shd w:val="clear" w:color="auto" w:fill="D9D9D9" w:themeFill="background1" w:themeFillShade="D9"/>
          </w:tcPr>
          <w:p w14:paraId="5DB35934" w14:textId="77777777" w:rsidR="00693190" w:rsidRPr="008671E5" w:rsidRDefault="00693190" w:rsidP="006931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1E5">
              <w:rPr>
                <w:rFonts w:ascii="Times New Roman" w:hAnsi="Times New Roman" w:cs="Times New Roman"/>
                <w:b/>
                <w:bCs/>
              </w:rPr>
              <w:t>Excluded Approved Drug-Indication Pair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44720C03" w14:textId="77777777" w:rsidR="00693190" w:rsidRPr="008671E5" w:rsidRDefault="00651C27" w:rsidP="00651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1E5">
              <w:rPr>
                <w:rFonts w:ascii="Times New Roman" w:hAnsi="Times New Roman" w:cs="Times New Roman"/>
                <w:b/>
                <w:bCs/>
              </w:rPr>
              <w:t>Excluded Unapproved Drug</w:t>
            </w:r>
          </w:p>
        </w:tc>
      </w:tr>
      <w:tr w:rsidR="00693190" w14:paraId="4E8388BA" w14:textId="77777777" w:rsidTr="00693190">
        <w:tc>
          <w:tcPr>
            <w:tcW w:w="5508" w:type="dxa"/>
          </w:tcPr>
          <w:p w14:paraId="7179459B" w14:textId="77777777" w:rsidR="00B537AF" w:rsidRDefault="00B537AF" w:rsidP="00B537AF">
            <w:pPr>
              <w:ind w:left="360"/>
              <w:rPr>
                <w:rFonts w:ascii="Times New Roman" w:hAnsi="Times New Roman" w:cs="Times New Roman"/>
                <w:iCs/>
              </w:rPr>
            </w:pPr>
          </w:p>
          <w:p w14:paraId="4D529D05" w14:textId="50B2ABE5" w:rsidR="00693190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  <w:iCs/>
              </w:rPr>
              <w:t>Afatinib-</w:t>
            </w:r>
            <w:r w:rsidRPr="00AB6608">
              <w:rPr>
                <w:rFonts w:ascii="Times New Roman" w:hAnsi="Times New Roman" w:cs="Times New Roman"/>
                <w:i/>
              </w:rPr>
              <w:t>EGFR</w:t>
            </w:r>
            <w:r w:rsidRPr="00B537AF">
              <w:rPr>
                <w:rFonts w:ascii="Times New Roman" w:hAnsi="Times New Roman" w:cs="Times New Roman"/>
                <w:iCs/>
              </w:rPr>
              <w:t xml:space="preserve"> exon 21 L858R mutation</w:t>
            </w:r>
          </w:p>
          <w:p w14:paraId="755EA5B9" w14:textId="77777777" w:rsidR="00651C27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  <w:iCs/>
              </w:rPr>
              <w:t>Crizotinib-</w:t>
            </w:r>
            <w:r w:rsidRPr="00AB6608">
              <w:rPr>
                <w:rFonts w:ascii="Times New Roman" w:hAnsi="Times New Roman" w:cs="Times New Roman"/>
                <w:i/>
              </w:rPr>
              <w:t>ROS1</w:t>
            </w:r>
            <w:r w:rsidRPr="00B537AF">
              <w:rPr>
                <w:rFonts w:ascii="Times New Roman" w:hAnsi="Times New Roman" w:cs="Times New Roman"/>
                <w:iCs/>
              </w:rPr>
              <w:t xml:space="preserve"> positive</w:t>
            </w:r>
          </w:p>
          <w:p w14:paraId="4B08B366" w14:textId="77777777" w:rsidR="00651C27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Erlotinib-</w:t>
            </w:r>
            <w:r w:rsidRPr="00AB6608">
              <w:rPr>
                <w:rFonts w:ascii="Times New Roman" w:hAnsi="Times New Roman" w:cs="Times New Roman"/>
                <w:i/>
                <w:iCs/>
              </w:rPr>
              <w:t>EGFR</w:t>
            </w:r>
            <w:r w:rsidRPr="00B537AF">
              <w:rPr>
                <w:rFonts w:ascii="Times New Roman" w:hAnsi="Times New Roman" w:cs="Times New Roman"/>
              </w:rPr>
              <w:t xml:space="preserve"> exon 19 deletion</w:t>
            </w:r>
          </w:p>
          <w:p w14:paraId="27D74060" w14:textId="77777777" w:rsidR="00651C27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 xml:space="preserve">Erlotinib- </w:t>
            </w:r>
            <w:r w:rsidRPr="00AB6608">
              <w:rPr>
                <w:rFonts w:ascii="Times New Roman" w:hAnsi="Times New Roman" w:cs="Times New Roman"/>
                <w:i/>
                <w:iCs/>
              </w:rPr>
              <w:t>EGFR</w:t>
            </w:r>
            <w:r w:rsidRPr="00B537AF">
              <w:rPr>
                <w:rFonts w:ascii="Times New Roman" w:hAnsi="Times New Roman" w:cs="Times New Roman"/>
              </w:rPr>
              <w:t xml:space="preserve"> exon 21 L858R mutation</w:t>
            </w:r>
          </w:p>
          <w:p w14:paraId="07CD6112" w14:textId="77777777" w:rsidR="00651C27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 xml:space="preserve">Gefitinib- </w:t>
            </w:r>
            <w:r w:rsidRPr="00AB6608">
              <w:rPr>
                <w:rFonts w:ascii="Times New Roman" w:hAnsi="Times New Roman" w:cs="Times New Roman"/>
                <w:i/>
                <w:iCs/>
              </w:rPr>
              <w:t>EGFR</w:t>
            </w:r>
            <w:r w:rsidRPr="00B537AF">
              <w:rPr>
                <w:rFonts w:ascii="Times New Roman" w:hAnsi="Times New Roman" w:cs="Times New Roman"/>
              </w:rPr>
              <w:t xml:space="preserve"> exon 21 L858R mutation</w:t>
            </w:r>
          </w:p>
          <w:p w14:paraId="6D1199DF" w14:textId="77777777" w:rsidR="00651C27" w:rsidRPr="00B537AF" w:rsidRDefault="00651C27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Trametinib + Dabrafenib-</w:t>
            </w:r>
            <w:r w:rsidRPr="00B537AF">
              <w:rPr>
                <w:rFonts w:ascii="Times New Roman" w:hAnsi="Times New Roman" w:cs="Times New Roman"/>
                <w:iCs/>
              </w:rPr>
              <w:t xml:space="preserve"> </w:t>
            </w:r>
            <w:r w:rsidRPr="00AB6608">
              <w:rPr>
                <w:rFonts w:ascii="Times New Roman" w:hAnsi="Times New Roman" w:cs="Times New Roman"/>
                <w:i/>
              </w:rPr>
              <w:t>BRAF</w:t>
            </w:r>
            <w:r w:rsidRPr="00B537AF">
              <w:rPr>
                <w:rFonts w:ascii="Times New Roman" w:hAnsi="Times New Roman" w:cs="Times New Roman"/>
                <w:iCs/>
              </w:rPr>
              <w:t xml:space="preserve"> V600E mutation</w:t>
            </w:r>
          </w:p>
        </w:tc>
        <w:tc>
          <w:tcPr>
            <w:tcW w:w="5508" w:type="dxa"/>
          </w:tcPr>
          <w:p w14:paraId="73752DAE" w14:textId="77777777" w:rsidR="00B537AF" w:rsidRDefault="00B537AF" w:rsidP="00B537AF">
            <w:pPr>
              <w:ind w:left="360"/>
              <w:rPr>
                <w:rFonts w:ascii="Times New Roman" w:hAnsi="Times New Roman" w:cs="Times New Roman"/>
              </w:rPr>
            </w:pPr>
          </w:p>
          <w:p w14:paraId="5748F1E7" w14:textId="54704E35" w:rsidR="00693190" w:rsidRPr="00B537AF" w:rsidRDefault="0097117A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Buparlisib</w:t>
            </w:r>
          </w:p>
          <w:p w14:paraId="2475085B" w14:textId="77777777" w:rsidR="0097117A" w:rsidRPr="00B537AF" w:rsidRDefault="0097117A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Cabozantinib</w:t>
            </w:r>
          </w:p>
          <w:p w14:paraId="38CE51F1" w14:textId="77777777" w:rsidR="0097117A" w:rsidRPr="00B537AF" w:rsidRDefault="0097117A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Dasatinib</w:t>
            </w:r>
          </w:p>
          <w:p w14:paraId="5E2A5DF2" w14:textId="77777777" w:rsidR="0097117A" w:rsidRPr="00B537AF" w:rsidRDefault="0097117A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Dinaciclib</w:t>
            </w:r>
          </w:p>
          <w:p w14:paraId="1A62ED20" w14:textId="77777777" w:rsidR="0097117A" w:rsidRPr="00B537AF" w:rsidRDefault="0097117A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Fostamatinib</w:t>
            </w:r>
          </w:p>
          <w:p w14:paraId="602FA0CA" w14:textId="77777777" w:rsidR="0097117A" w:rsidRPr="00B537AF" w:rsidRDefault="008671E5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Linifanib</w:t>
            </w:r>
          </w:p>
          <w:p w14:paraId="1E38601E" w14:textId="77777777" w:rsidR="008671E5" w:rsidRPr="00B537AF" w:rsidRDefault="008671E5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Icotinib</w:t>
            </w:r>
          </w:p>
          <w:p w14:paraId="73CC269A" w14:textId="77777777" w:rsidR="008671E5" w:rsidRPr="00B537AF" w:rsidRDefault="008671E5" w:rsidP="00B537AF">
            <w:pPr>
              <w:ind w:left="360"/>
              <w:rPr>
                <w:rFonts w:ascii="Times New Roman" w:hAnsi="Times New Roman" w:cs="Times New Roman"/>
              </w:rPr>
            </w:pPr>
            <w:r w:rsidRPr="00B537AF">
              <w:rPr>
                <w:rFonts w:ascii="Times New Roman" w:hAnsi="Times New Roman" w:cs="Times New Roman"/>
              </w:rPr>
              <w:t>Neratinib</w:t>
            </w:r>
          </w:p>
          <w:p w14:paraId="7D57BE7F" w14:textId="77777777" w:rsidR="008671E5" w:rsidRDefault="008671E5" w:rsidP="00B537AF">
            <w:pPr>
              <w:ind w:left="360"/>
              <w:rPr>
                <w:rFonts w:ascii="Times New Roman" w:hAnsi="Times New Roman" w:cs="Times New Roman"/>
                <w:iCs/>
              </w:rPr>
            </w:pPr>
            <w:r w:rsidRPr="00B537AF">
              <w:rPr>
                <w:rFonts w:ascii="Times New Roman" w:hAnsi="Times New Roman" w:cs="Times New Roman"/>
                <w:iCs/>
              </w:rPr>
              <w:t>XL-647</w:t>
            </w:r>
          </w:p>
          <w:p w14:paraId="79F1DBA0" w14:textId="716651A9" w:rsidR="00B537AF" w:rsidRPr="00B537AF" w:rsidRDefault="00B537AF" w:rsidP="00B537AF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27212E4D" w14:textId="77777777" w:rsidR="00693190" w:rsidRDefault="00693190">
      <w:pPr>
        <w:rPr>
          <w:rFonts w:ascii="Times New Roman" w:hAnsi="Times New Roman" w:cs="Times New Roman"/>
        </w:rPr>
      </w:pPr>
    </w:p>
    <w:p w14:paraId="3EF9F493" w14:textId="77777777" w:rsidR="000542D2" w:rsidRDefault="00054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287283" w14:textId="3C2F3794" w:rsidR="00651C27" w:rsidRPr="00E270A0" w:rsidRDefault="008671E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3:</w:t>
      </w:r>
      <w:r w:rsidR="00E270A0">
        <w:rPr>
          <w:rFonts w:ascii="Times New Roman" w:hAnsi="Times New Roman" w:cs="Times New Roman"/>
          <w:b/>
          <w:bCs/>
        </w:rPr>
        <w:t xml:space="preserve"> </w:t>
      </w:r>
      <w:r w:rsidR="00E270A0">
        <w:rPr>
          <w:rFonts w:ascii="Times New Roman" w:hAnsi="Times New Roman" w:cs="Times New Roman"/>
        </w:rPr>
        <w:t xml:space="preserve">For 10 randomly selected drug-indication pairs, there is no significant difference between data utilized in the study cohort and the data collected by a </w:t>
      </w:r>
      <w:r w:rsidR="00C86E0B">
        <w:rPr>
          <w:rFonts w:ascii="Times New Roman" w:hAnsi="Times New Roman" w:cs="Times New Roman"/>
        </w:rPr>
        <w:t xml:space="preserve">reviewer </w:t>
      </w:r>
      <w:r w:rsidR="00E270A0">
        <w:rPr>
          <w:rFonts w:ascii="Times New Roman" w:hAnsi="Times New Roman" w:cs="Times New Roman"/>
        </w:rPr>
        <w:t xml:space="preserve">who attempted to replicate the results. </w:t>
      </w:r>
      <w:r w:rsidR="00C86E0B">
        <w:rPr>
          <w:rFonts w:ascii="Times New Roman" w:hAnsi="Times New Roman" w:cs="Times New Roman"/>
        </w:rPr>
        <w:t>The process of replicating the data required identifying 18 publications</w:t>
      </w:r>
      <w:r w:rsidR="00C60C78">
        <w:rPr>
          <w:rFonts w:ascii="Times New Roman" w:hAnsi="Times New Roman" w:cs="Times New Roman"/>
        </w:rPr>
        <w:t xml:space="preserve"> (one preclinical study and one clinical trial produced data for 2 drug-indication pairs)</w:t>
      </w:r>
      <w:r w:rsidR="00C86E0B">
        <w:rPr>
          <w:rFonts w:ascii="Times New Roman" w:hAnsi="Times New Roman" w:cs="Times New Roman"/>
        </w:rPr>
        <w:t xml:space="preserve">. The reviewer </w:t>
      </w:r>
      <w:r w:rsidR="003E1487">
        <w:rPr>
          <w:rFonts w:ascii="Times New Roman" w:hAnsi="Times New Roman" w:cs="Times New Roman"/>
        </w:rPr>
        <w:t xml:space="preserve">identified </w:t>
      </w:r>
      <w:r w:rsidR="00C86E0B">
        <w:rPr>
          <w:rFonts w:ascii="Times New Roman" w:hAnsi="Times New Roman" w:cs="Times New Roman"/>
        </w:rPr>
        <w:t>17/18 publications</w:t>
      </w:r>
      <w:r w:rsidR="003E1487">
        <w:rPr>
          <w:rFonts w:ascii="Times New Roman" w:hAnsi="Times New Roman" w:cs="Times New Roman"/>
        </w:rPr>
        <w:t xml:space="preserve"> of the publications used in the study</w:t>
      </w:r>
      <w:r w:rsidR="00C86E0B">
        <w:rPr>
          <w:rFonts w:ascii="Times New Roman" w:hAnsi="Times New Roman" w:cs="Times New Roman"/>
        </w:rPr>
        <w:t xml:space="preserve">. For the sole discrepancy, the reviewer’s publication would have been correct due to the presence of an additional 3 citations on Google Scholar. Therefore, we included the reviewer’s discrepant data to see if a minor discrepancy would create a statistically significant difference in the results. However, there remained no significant difference between mean study and mean replication data.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542D2" w14:paraId="5A58C89B" w14:textId="77777777" w:rsidTr="000542D2">
        <w:tc>
          <w:tcPr>
            <w:tcW w:w="2754" w:type="dxa"/>
            <w:shd w:val="clear" w:color="auto" w:fill="D9D9D9" w:themeFill="background1" w:themeFillShade="D9"/>
          </w:tcPr>
          <w:p w14:paraId="28BDCD87" w14:textId="77777777" w:rsidR="000542D2" w:rsidRPr="000542D2" w:rsidRDefault="000542D2" w:rsidP="00054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Clinical Characteristic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48287E4" w14:textId="77777777" w:rsidR="000542D2" w:rsidRDefault="000542D2" w:rsidP="00054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 xml:space="preserve">Study Cohort </w:t>
            </w:r>
            <w:r>
              <w:rPr>
                <w:rFonts w:ascii="Times New Roman" w:hAnsi="Times New Roman" w:cs="Times New Roman"/>
                <w:b/>
                <w:bCs/>
              </w:rPr>
              <w:t>(10 randomly selected DIPs)</w:t>
            </w:r>
          </w:p>
          <w:p w14:paraId="6EA3F31E" w14:textId="491396AD" w:rsidR="00E270A0" w:rsidRPr="000542D2" w:rsidRDefault="00E270A0" w:rsidP="00054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</w:t>
            </w:r>
            <w:r w:rsidR="006A4415">
              <w:rPr>
                <w:rFonts w:ascii="Times New Roman" w:hAnsi="Times New Roman" w:cs="Times New Roman"/>
                <w:b/>
                <w:bCs/>
              </w:rPr>
              <w:t>tandard error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2B2B611" w14:textId="77777777" w:rsidR="000542D2" w:rsidRDefault="000542D2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 xml:space="preserve">Independent Reviewer </w:t>
            </w:r>
            <w:r>
              <w:rPr>
                <w:rFonts w:ascii="Times New Roman" w:hAnsi="Times New Roman" w:cs="Times New Roman"/>
                <w:b/>
                <w:bCs/>
              </w:rPr>
              <w:t>(10 randomly selected DIPs)</w:t>
            </w:r>
          </w:p>
          <w:p w14:paraId="3CFF80DE" w14:textId="2CFA05DD" w:rsidR="00E270A0" w:rsidRPr="000542D2" w:rsidRDefault="00E270A0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</w:t>
            </w:r>
            <w:r w:rsidR="006A4415">
              <w:rPr>
                <w:rFonts w:ascii="Times New Roman" w:hAnsi="Times New Roman" w:cs="Times New Roman"/>
                <w:b/>
                <w:bCs/>
              </w:rPr>
              <w:t>tandard error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0FFA48F" w14:textId="77777777" w:rsidR="000542D2" w:rsidRPr="000542D2" w:rsidRDefault="000542D2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0542D2" w14:paraId="0A10DEF8" w14:textId="77777777" w:rsidTr="000542D2">
        <w:tc>
          <w:tcPr>
            <w:tcW w:w="2754" w:type="dxa"/>
          </w:tcPr>
          <w:p w14:paraId="1B14C72A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N-intention to treat</w:t>
            </w:r>
          </w:p>
        </w:tc>
        <w:tc>
          <w:tcPr>
            <w:tcW w:w="2754" w:type="dxa"/>
          </w:tcPr>
          <w:p w14:paraId="07295C78" w14:textId="0A21ED5D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143.7 </w:t>
            </w:r>
            <w:r w:rsidR="001E6058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26.33</w:t>
            </w:r>
            <w:r w:rsidR="001E60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58CD22A3" w14:textId="0F37329D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143.9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26.37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50B6A626" w14:textId="7E4EF521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0.9958</w:t>
            </w:r>
          </w:p>
        </w:tc>
      </w:tr>
      <w:tr w:rsidR="000542D2" w14:paraId="764D2D1D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4446776E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N-selected patient population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E609EA9" w14:textId="6949E23C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64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20.66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BB3A238" w14:textId="6F2FD950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65.4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20.94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5631C9A" w14:textId="6FC1970C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0.9626</w:t>
            </w:r>
          </w:p>
        </w:tc>
      </w:tr>
      <w:tr w:rsidR="000542D2" w14:paraId="12470586" w14:textId="77777777" w:rsidTr="000542D2">
        <w:tc>
          <w:tcPr>
            <w:tcW w:w="2754" w:type="dxa"/>
          </w:tcPr>
          <w:p w14:paraId="09C8A467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Stable Disease</w:t>
            </w:r>
          </w:p>
        </w:tc>
        <w:tc>
          <w:tcPr>
            <w:tcW w:w="2754" w:type="dxa"/>
          </w:tcPr>
          <w:p w14:paraId="7157C86D" w14:textId="511809D5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32.36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4.527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4FB0E29A" w14:textId="795DFEBB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35.01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4.391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4FF20217" w14:textId="5D0851D7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0.6860</w:t>
            </w:r>
          </w:p>
        </w:tc>
      </w:tr>
      <w:tr w:rsidR="000542D2" w14:paraId="4E0D0F23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49AB9F00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Female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7FF9B1D" w14:textId="4F078FD3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59.15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3.201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3EE98C1" w14:textId="6216A059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59.15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3.201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366E932" w14:textId="6C653411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82901A8" w14:textId="77777777" w:rsidTr="000542D2">
        <w:tc>
          <w:tcPr>
            <w:tcW w:w="2754" w:type="dxa"/>
          </w:tcPr>
          <w:p w14:paraId="660A81D0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Median age</w:t>
            </w:r>
          </w:p>
        </w:tc>
        <w:tc>
          <w:tcPr>
            <w:tcW w:w="2754" w:type="dxa"/>
          </w:tcPr>
          <w:p w14:paraId="3C22E912" w14:textId="5BFF932D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60.6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1.352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22542F95" w14:textId="40DF6336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60.6 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1.352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12B22B04" w14:textId="250E8158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61CF335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383175A1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White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C7A7508" w14:textId="40FF0237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63.09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7.74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0E8A20D" w14:textId="3F643C24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63.09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7.74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79DA703" w14:textId="6B13AA3E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7CD9CD3B" w14:textId="77777777" w:rsidTr="000542D2">
        <w:tc>
          <w:tcPr>
            <w:tcW w:w="2754" w:type="dxa"/>
          </w:tcPr>
          <w:p w14:paraId="2FAB1F48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Asian</w:t>
            </w:r>
          </w:p>
        </w:tc>
        <w:tc>
          <w:tcPr>
            <w:tcW w:w="2754" w:type="dxa"/>
          </w:tcPr>
          <w:p w14:paraId="52DBDDA1" w14:textId="38C8D386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11.24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57D24679" w14:textId="2E3456CB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11.24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38E679C2" w14:textId="02153EF9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66275E36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4AA354C2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ECOG = 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6F767EC" w14:textId="5470232D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41.76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4.337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C5AB396" w14:textId="0EFE5D7C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41.76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4.337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EA835DF" w14:textId="7D9B7878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2F1D9644" w14:textId="77777777" w:rsidTr="000542D2">
        <w:tc>
          <w:tcPr>
            <w:tcW w:w="2754" w:type="dxa"/>
          </w:tcPr>
          <w:p w14:paraId="0F563249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ECOG = 1</w:t>
            </w:r>
          </w:p>
        </w:tc>
        <w:tc>
          <w:tcPr>
            <w:tcW w:w="2754" w:type="dxa"/>
          </w:tcPr>
          <w:p w14:paraId="78D3C6E0" w14:textId="2937BDB8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53.96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4.481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6F816D98" w14:textId="339F7063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53.96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4.481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5356418D" w14:textId="7D7DC102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8B73610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1D1A7297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ECOG = 2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AAAD410" w14:textId="2555A502" w:rsidR="000542D2" w:rsidRDefault="00642775" w:rsidP="000542D2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3.714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1.835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6962F0C" w14:textId="280FCC32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 xml:space="preserve">3.714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642775">
              <w:rPr>
                <w:rFonts w:ascii="Times New Roman" w:hAnsi="Times New Roman" w:cs="Times New Roman"/>
              </w:rPr>
              <w:t>1.835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A97B2E7" w14:textId="7A433A67" w:rsidR="000542D2" w:rsidRDefault="00642775" w:rsidP="001E6058">
            <w:pPr>
              <w:jc w:val="center"/>
              <w:rPr>
                <w:rFonts w:ascii="Times New Roman" w:hAnsi="Times New Roman" w:cs="Times New Roman"/>
              </w:rPr>
            </w:pPr>
            <w:r w:rsidRPr="00642775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3CD8140" w14:textId="77777777" w:rsidTr="000542D2">
        <w:tc>
          <w:tcPr>
            <w:tcW w:w="2754" w:type="dxa"/>
          </w:tcPr>
          <w:p w14:paraId="07A1DE1B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Patients who are current or former smokers</w:t>
            </w:r>
          </w:p>
        </w:tc>
        <w:tc>
          <w:tcPr>
            <w:tcW w:w="2754" w:type="dxa"/>
          </w:tcPr>
          <w:p w14:paraId="67D26090" w14:textId="33E4E852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40.29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8.903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0CCF5B58" w14:textId="1F7A5E71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40.29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8.903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09EFE915" w14:textId="236328A0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4D568212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0DE45E0D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Adenocarcinoma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CF8DE7C" w14:textId="424214A8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87.43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4.49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27BF2A5" w14:textId="5B50E9A0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87.88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4.356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818753E" w14:textId="6FE35643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0.9442</w:t>
            </w:r>
          </w:p>
        </w:tc>
      </w:tr>
      <w:tr w:rsidR="000542D2" w14:paraId="66143F2B" w14:textId="77777777" w:rsidTr="000542D2">
        <w:tc>
          <w:tcPr>
            <w:tcW w:w="2754" w:type="dxa"/>
          </w:tcPr>
          <w:p w14:paraId="0AC8CF60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Squamous carcinoma</w:t>
            </w:r>
          </w:p>
        </w:tc>
        <w:tc>
          <w:tcPr>
            <w:tcW w:w="2754" w:type="dxa"/>
          </w:tcPr>
          <w:p w14:paraId="54C83964" w14:textId="48D0E747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5.871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1.958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204E8EEA" w14:textId="1A52B322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5.871</w:t>
            </w:r>
            <w:r w:rsidR="00190190">
              <w:rPr>
                <w:rFonts w:ascii="Times New Roman" w:hAnsi="Times New Roman" w:cs="Times New Roman"/>
              </w:rPr>
              <w:t xml:space="preserve">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1.958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00CD7BD5" w14:textId="248D7C4F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77F921C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31C83595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Patients with CNS metastasis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8BC55B7" w14:textId="60BC5722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50.5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5.485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C313D5A" w14:textId="67896482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50.5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5.485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80B6071" w14:textId="042B1F4A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541B4C86" w14:textId="77777777" w:rsidTr="000542D2">
        <w:tc>
          <w:tcPr>
            <w:tcW w:w="2754" w:type="dxa"/>
          </w:tcPr>
          <w:p w14:paraId="54152BD0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>% Patients who received prior chemotherapy</w:t>
            </w:r>
          </w:p>
        </w:tc>
        <w:tc>
          <w:tcPr>
            <w:tcW w:w="2754" w:type="dxa"/>
          </w:tcPr>
          <w:p w14:paraId="4B3EBD21" w14:textId="64FBE52C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66.38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14.99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40EA6A6A" w14:textId="77BCC2F3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59.4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13.57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7C012CA9" w14:textId="44FA6BCC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0.7353</w:t>
            </w:r>
          </w:p>
        </w:tc>
      </w:tr>
      <w:tr w:rsidR="000542D2" w14:paraId="30F7F939" w14:textId="77777777" w:rsidTr="00F6076F">
        <w:tc>
          <w:tcPr>
            <w:tcW w:w="2754" w:type="dxa"/>
            <w:shd w:val="clear" w:color="auto" w:fill="D9D9D9" w:themeFill="background1" w:themeFillShade="D9"/>
          </w:tcPr>
          <w:p w14:paraId="365397B5" w14:textId="77777777" w:rsidR="000542D2" w:rsidRPr="001A3837" w:rsidRDefault="000542D2" w:rsidP="000542D2">
            <w:pPr>
              <w:jc w:val="center"/>
              <w:rPr>
                <w:rFonts w:ascii="Times New Roman" w:hAnsi="Times New Roman" w:cs="Times New Roman"/>
              </w:rPr>
            </w:pPr>
            <w:r w:rsidRPr="001A3837">
              <w:rPr>
                <w:rFonts w:ascii="Times New Roman" w:hAnsi="Times New Roman" w:cs="Times New Roman"/>
              </w:rPr>
              <w:t xml:space="preserve">% Stage </w:t>
            </w: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FEFCB3A" w14:textId="30AB4E52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87.4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4.354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D544D0E" w14:textId="3159CE63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87.4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4.354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61CFBE2" w14:textId="1C06AB00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6ABB834A" w14:textId="77777777" w:rsidTr="00103688">
        <w:tc>
          <w:tcPr>
            <w:tcW w:w="2754" w:type="dxa"/>
            <w:shd w:val="clear" w:color="auto" w:fill="auto"/>
          </w:tcPr>
          <w:p w14:paraId="3420DDAB" w14:textId="05656236" w:rsidR="000542D2" w:rsidRPr="001A3837" w:rsidRDefault="00921CCC" w:rsidP="0005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ORR</w:t>
            </w:r>
          </w:p>
        </w:tc>
        <w:tc>
          <w:tcPr>
            <w:tcW w:w="2754" w:type="dxa"/>
          </w:tcPr>
          <w:p w14:paraId="6BE4BA6A" w14:textId="458E6157" w:rsidR="000542D2" w:rsidRDefault="00CE0C92" w:rsidP="000542D2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46.97 </w:t>
            </w:r>
            <w:r w:rsidR="00AF1FCD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8.921</w:t>
            </w:r>
            <w:r w:rsidR="00AF1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40D077C8" w14:textId="16582AD3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46.97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8.921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1890167D" w14:textId="500A2F52" w:rsidR="000542D2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&gt;0.9999</w:t>
            </w:r>
          </w:p>
        </w:tc>
      </w:tr>
      <w:tr w:rsidR="000542D2" w14:paraId="05937C0F" w14:textId="77777777" w:rsidTr="00103688">
        <w:tc>
          <w:tcPr>
            <w:tcW w:w="2754" w:type="dxa"/>
            <w:shd w:val="clear" w:color="auto" w:fill="D9D9D9" w:themeFill="background1" w:themeFillShade="D9"/>
          </w:tcPr>
          <w:p w14:paraId="36A88B78" w14:textId="46C4797A" w:rsidR="000542D2" w:rsidRPr="000542D2" w:rsidRDefault="006A4415" w:rsidP="00054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Pre-clinical metric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056505C" w14:textId="77777777" w:rsidR="006A4415" w:rsidRDefault="006A4415" w:rsidP="006A44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 xml:space="preserve">Study Cohort </w:t>
            </w:r>
            <w:r>
              <w:rPr>
                <w:rFonts w:ascii="Times New Roman" w:hAnsi="Times New Roman" w:cs="Times New Roman"/>
                <w:b/>
                <w:bCs/>
              </w:rPr>
              <w:t>(10 randomly selected DIPs)</w:t>
            </w:r>
          </w:p>
          <w:p w14:paraId="7AFB4F69" w14:textId="07D15C32" w:rsidR="000542D2" w:rsidRPr="000542D2" w:rsidRDefault="006A4415" w:rsidP="006A44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(standard error)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8A5364B" w14:textId="77777777" w:rsidR="006A4415" w:rsidRDefault="006A4415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 xml:space="preserve">Independent Reviewer </w:t>
            </w:r>
            <w:r>
              <w:rPr>
                <w:rFonts w:ascii="Times New Roman" w:hAnsi="Times New Roman" w:cs="Times New Roman"/>
                <w:b/>
                <w:bCs/>
              </w:rPr>
              <w:t>(10 randomly selected DIPs)</w:t>
            </w:r>
          </w:p>
          <w:p w14:paraId="162260AA" w14:textId="30F220AE" w:rsidR="000542D2" w:rsidRPr="000542D2" w:rsidRDefault="006A4415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(standard error)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FE3146D" w14:textId="77777777" w:rsidR="000542D2" w:rsidRPr="000542D2" w:rsidRDefault="000542D2" w:rsidP="001E60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2D2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E270A0" w14:paraId="3BB701CE" w14:textId="77777777" w:rsidTr="000542D2">
        <w:tc>
          <w:tcPr>
            <w:tcW w:w="2754" w:type="dxa"/>
          </w:tcPr>
          <w:p w14:paraId="060AF27E" w14:textId="77777777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2754" w:type="dxa"/>
          </w:tcPr>
          <w:p w14:paraId="6D05713C" w14:textId="5E560386" w:rsidR="00E270A0" w:rsidRDefault="00CE0C92" w:rsidP="00E270A0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13.75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5.656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04D6041C" w14:textId="36C5C5AD" w:rsidR="00E270A0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14.1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6.644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21685CA6" w14:textId="5FB35B00" w:rsidR="00E270A0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0.9684</w:t>
            </w:r>
          </w:p>
        </w:tc>
      </w:tr>
      <w:tr w:rsidR="00E270A0" w14:paraId="4E56AFA2" w14:textId="77777777" w:rsidTr="00093C9C">
        <w:tc>
          <w:tcPr>
            <w:tcW w:w="2754" w:type="dxa"/>
            <w:shd w:val="clear" w:color="auto" w:fill="D9D9D9" w:themeFill="background1" w:themeFillShade="D9"/>
          </w:tcPr>
          <w:p w14:paraId="76CD09D5" w14:textId="77777777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Duration animal monitoring</w:t>
            </w:r>
            <w:r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32FF33F4" w14:textId="42E808C0" w:rsidR="00E270A0" w:rsidRDefault="00CE0C92" w:rsidP="00E270A0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57.4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22.75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378EFFC" w14:textId="2A1D262A" w:rsidR="00E270A0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56.5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22.92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19B4FF1" w14:textId="63762503" w:rsidR="00E270A0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>0.9781</w:t>
            </w:r>
          </w:p>
        </w:tc>
      </w:tr>
      <w:tr w:rsidR="00E270A0" w14:paraId="76EDD8EC" w14:textId="77777777" w:rsidTr="00103688">
        <w:tc>
          <w:tcPr>
            <w:tcW w:w="2754" w:type="dxa"/>
            <w:shd w:val="clear" w:color="auto" w:fill="auto"/>
          </w:tcPr>
          <w:p w14:paraId="6E9CC6F2" w14:textId="77777777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2754" w:type="dxa"/>
          </w:tcPr>
          <w:p w14:paraId="0F891DBD" w14:textId="093F0BDC" w:rsidR="00E270A0" w:rsidRDefault="00CE0C92" w:rsidP="00E270A0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7.3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0.6333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1A469DD3" w14:textId="631F5BF9" w:rsidR="00E270A0" w:rsidRDefault="00CE0C92" w:rsidP="001E6058">
            <w:pPr>
              <w:jc w:val="center"/>
              <w:rPr>
                <w:rFonts w:ascii="Times New Roman" w:hAnsi="Times New Roman" w:cs="Times New Roman"/>
              </w:rPr>
            </w:pPr>
            <w:r w:rsidRPr="00CE0C92">
              <w:rPr>
                <w:rFonts w:ascii="Times New Roman" w:hAnsi="Times New Roman" w:cs="Times New Roman"/>
              </w:rPr>
              <w:t xml:space="preserve">7.5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CE0C92">
              <w:rPr>
                <w:rFonts w:ascii="Times New Roman" w:hAnsi="Times New Roman" w:cs="Times New Roman"/>
              </w:rPr>
              <w:t>0.6191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</w:tcPr>
          <w:p w14:paraId="22216A0A" w14:textId="347C156E" w:rsidR="00E270A0" w:rsidRDefault="00DA2B6F" w:rsidP="001E6058">
            <w:pPr>
              <w:jc w:val="center"/>
              <w:rPr>
                <w:rFonts w:ascii="Times New Roman" w:hAnsi="Times New Roman" w:cs="Times New Roman"/>
              </w:rPr>
            </w:pPr>
            <w:r w:rsidRPr="00DA2B6F">
              <w:rPr>
                <w:rFonts w:ascii="Times New Roman" w:hAnsi="Times New Roman" w:cs="Times New Roman"/>
              </w:rPr>
              <w:t>0.8239</w:t>
            </w:r>
          </w:p>
        </w:tc>
      </w:tr>
      <w:tr w:rsidR="00E270A0" w14:paraId="6C661D34" w14:textId="77777777" w:rsidTr="00093C9C">
        <w:tc>
          <w:tcPr>
            <w:tcW w:w="2754" w:type="dxa"/>
            <w:shd w:val="clear" w:color="auto" w:fill="D9D9D9" w:themeFill="background1" w:themeFillShade="D9"/>
          </w:tcPr>
          <w:p w14:paraId="1DA7C707" w14:textId="77777777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88B2398" w14:textId="657827E3" w:rsidR="00E270A0" w:rsidRDefault="00DA2B6F" w:rsidP="00E270A0">
            <w:pPr>
              <w:jc w:val="center"/>
              <w:rPr>
                <w:rFonts w:ascii="Times New Roman" w:hAnsi="Times New Roman" w:cs="Times New Roman"/>
              </w:rPr>
            </w:pPr>
            <w:r w:rsidRPr="00DA2B6F">
              <w:rPr>
                <w:rFonts w:ascii="Times New Roman" w:hAnsi="Times New Roman" w:cs="Times New Roman"/>
              </w:rPr>
              <w:t xml:space="preserve">121.8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DA2B6F">
              <w:rPr>
                <w:rFonts w:ascii="Times New Roman" w:hAnsi="Times New Roman" w:cs="Times New Roman"/>
              </w:rPr>
              <w:t>29.52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CE16612" w14:textId="01EA3B02" w:rsidR="00E270A0" w:rsidRDefault="00DA2B6F" w:rsidP="001E6058">
            <w:pPr>
              <w:jc w:val="center"/>
              <w:rPr>
                <w:rFonts w:ascii="Times New Roman" w:hAnsi="Times New Roman" w:cs="Times New Roman"/>
              </w:rPr>
            </w:pPr>
            <w:r w:rsidRPr="00DA2B6F">
              <w:rPr>
                <w:rFonts w:ascii="Times New Roman" w:hAnsi="Times New Roman" w:cs="Times New Roman"/>
              </w:rPr>
              <w:t xml:space="preserve">119.6 </w:t>
            </w:r>
            <w:r w:rsidR="00190190">
              <w:rPr>
                <w:rFonts w:ascii="Times New Roman" w:hAnsi="Times New Roman" w:cs="Times New Roman"/>
              </w:rPr>
              <w:t>(</w:t>
            </w:r>
            <w:r w:rsidRPr="00DA2B6F">
              <w:rPr>
                <w:rFonts w:ascii="Times New Roman" w:hAnsi="Times New Roman" w:cs="Times New Roman"/>
              </w:rPr>
              <w:t>29.79</w:t>
            </w:r>
            <w:r w:rsidR="00190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E1590F1" w14:textId="61E3DBC2" w:rsidR="00E270A0" w:rsidRDefault="00DA2B6F" w:rsidP="001E6058">
            <w:pPr>
              <w:jc w:val="center"/>
              <w:rPr>
                <w:rFonts w:ascii="Times New Roman" w:hAnsi="Times New Roman" w:cs="Times New Roman"/>
              </w:rPr>
            </w:pPr>
            <w:r w:rsidRPr="00DA2B6F">
              <w:rPr>
                <w:rFonts w:ascii="Times New Roman" w:hAnsi="Times New Roman" w:cs="Times New Roman"/>
              </w:rPr>
              <w:t>0.9587</w:t>
            </w:r>
          </w:p>
        </w:tc>
      </w:tr>
      <w:tr w:rsidR="00E270A0" w14:paraId="06B779FA" w14:textId="77777777" w:rsidTr="00093C9C">
        <w:tc>
          <w:tcPr>
            <w:tcW w:w="2754" w:type="dxa"/>
            <w:shd w:val="clear" w:color="auto" w:fill="FFFFFF" w:themeFill="background1"/>
          </w:tcPr>
          <w:p w14:paraId="7AC3816B" w14:textId="62E8B330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Mouse model</w:t>
            </w:r>
            <w:r w:rsidR="00F57B3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54" w:type="dxa"/>
            <w:shd w:val="clear" w:color="auto" w:fill="FFFFFF" w:themeFill="background1"/>
          </w:tcPr>
          <w:p w14:paraId="3C3EE605" w14:textId="3C910968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HC = </w:t>
            </w:r>
            <w:r>
              <w:rPr>
                <w:rFonts w:ascii="Times New Roman" w:hAnsi="Times New Roman" w:cs="Times New Roman"/>
              </w:rPr>
              <w:t>90%</w:t>
            </w:r>
          </w:p>
          <w:p w14:paraId="540B1BAA" w14:textId="5416B6EC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PDX = 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49313E65" w14:textId="2A745CFE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GEM = 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3948DBCF" w14:textId="5D28F3E7" w:rsidR="00E270A0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MC = </w:t>
            </w: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754" w:type="dxa"/>
            <w:shd w:val="clear" w:color="auto" w:fill="FFFFFF" w:themeFill="background1"/>
          </w:tcPr>
          <w:p w14:paraId="2FD552E5" w14:textId="1C109213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HC = </w:t>
            </w:r>
            <w:r w:rsidR="00C86E0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25D9D543" w14:textId="0DA99BA8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PDX = 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30D73C6A" w14:textId="50F33519" w:rsidR="0053599D" w:rsidRPr="0053599D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GEM = 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3B256A71" w14:textId="50AEE070" w:rsidR="00E270A0" w:rsidRDefault="0053599D" w:rsidP="0053599D">
            <w:pPr>
              <w:jc w:val="center"/>
              <w:rPr>
                <w:rFonts w:ascii="Times New Roman" w:hAnsi="Times New Roman" w:cs="Times New Roman"/>
              </w:rPr>
            </w:pPr>
            <w:r w:rsidRPr="0053599D">
              <w:rPr>
                <w:rFonts w:ascii="Times New Roman" w:hAnsi="Times New Roman" w:cs="Times New Roman"/>
              </w:rPr>
              <w:t xml:space="preserve">MC = 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754" w:type="dxa"/>
            <w:shd w:val="clear" w:color="auto" w:fill="FFFFFF" w:themeFill="background1"/>
          </w:tcPr>
          <w:p w14:paraId="25714D84" w14:textId="067456DA" w:rsidR="00E270A0" w:rsidRDefault="0053599D" w:rsidP="001E6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70A0" w14:paraId="4D0C9DA8" w14:textId="77777777" w:rsidTr="00093C9C">
        <w:tc>
          <w:tcPr>
            <w:tcW w:w="2754" w:type="dxa"/>
            <w:shd w:val="clear" w:color="auto" w:fill="D9D9D9" w:themeFill="background1" w:themeFillShade="D9"/>
          </w:tcPr>
          <w:p w14:paraId="47CF2810" w14:textId="77777777" w:rsidR="00E270A0" w:rsidRPr="00E87A7C" w:rsidRDefault="00E270A0" w:rsidP="00E270A0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II?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140C926" w14:textId="60CE3C35" w:rsidR="00E270A0" w:rsidRDefault="00F57B31" w:rsidP="00E27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D71A0C0" w14:textId="15717A07" w:rsidR="00E270A0" w:rsidRDefault="00F57B31" w:rsidP="001E6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6B30DFF5" w14:textId="20C2CB0C" w:rsidR="00E270A0" w:rsidRDefault="00F57B31" w:rsidP="001E6058">
            <w:pPr>
              <w:jc w:val="center"/>
              <w:rPr>
                <w:rFonts w:ascii="Times New Roman" w:hAnsi="Times New Roman" w:cs="Times New Roman"/>
              </w:rPr>
            </w:pPr>
            <w:r w:rsidRPr="00F57B31">
              <w:rPr>
                <w:rFonts w:ascii="Times New Roman" w:hAnsi="Times New Roman" w:cs="Times New Roman"/>
              </w:rPr>
              <w:t>&gt;0.9999</w:t>
            </w:r>
          </w:p>
        </w:tc>
      </w:tr>
    </w:tbl>
    <w:p w14:paraId="1A4C4DD6" w14:textId="21F471C7" w:rsidR="002A4BFB" w:rsidRPr="00C86E0B" w:rsidRDefault="0053599D">
      <w:pPr>
        <w:rPr>
          <w:rFonts w:ascii="Times New Roman" w:hAnsi="Times New Roman" w:cs="Times New Roman"/>
        </w:rPr>
      </w:pPr>
      <w:r w:rsidRPr="00C86E0B">
        <w:rPr>
          <w:rFonts w:ascii="Times New Roman" w:hAnsi="Times New Roman" w:cs="Times New Roman"/>
        </w:rPr>
        <w:t xml:space="preserve">* </w:t>
      </w:r>
      <w:r w:rsidR="00C86E0B" w:rsidRPr="00C86E0B">
        <w:rPr>
          <w:rFonts w:ascii="Times New Roman" w:hAnsi="Times New Roman" w:cs="Times New Roman"/>
        </w:rPr>
        <w:t xml:space="preserve">Chi square test </w:t>
      </w:r>
      <w:r w:rsidR="00DD6F26">
        <w:rPr>
          <w:rFonts w:ascii="Times New Roman" w:hAnsi="Times New Roman" w:cs="Times New Roman"/>
        </w:rPr>
        <w:t xml:space="preserve">was </w:t>
      </w:r>
      <w:r w:rsidR="00C86E0B" w:rsidRPr="00C86E0B">
        <w:rPr>
          <w:rFonts w:ascii="Times New Roman" w:hAnsi="Times New Roman" w:cs="Times New Roman"/>
        </w:rPr>
        <w:t xml:space="preserve">not performed due to the presence of zero as an expected value. All mouse models matched except for 1/10. The sole discrepancy resulted from the selection of a different publication by the reviewer than was utilized in the study. </w:t>
      </w:r>
      <w:r w:rsidRPr="00C86E0B">
        <w:rPr>
          <w:rFonts w:ascii="Times New Roman" w:hAnsi="Times New Roman" w:cs="Times New Roman"/>
        </w:rPr>
        <w:t>HC = human cell line xenograft, PDX = patient derived xenograft, GEM = genetically engineered mouse model, MC = mouse cell line xenograft</w:t>
      </w:r>
    </w:p>
    <w:p w14:paraId="7C52C75B" w14:textId="77777777" w:rsidR="002A4BFB" w:rsidRDefault="002A4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00039E" w14:textId="399DCEE2" w:rsidR="00103688" w:rsidRPr="005A35C0" w:rsidRDefault="006F3D33" w:rsidP="00103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</w:t>
      </w:r>
      <w:r w:rsidR="00103688">
        <w:rPr>
          <w:rFonts w:ascii="Times New Roman" w:hAnsi="Times New Roman" w:cs="Times New Roman"/>
          <w:b/>
          <w:bCs/>
        </w:rPr>
        <w:t xml:space="preserve">Table 4: </w:t>
      </w:r>
      <w:r w:rsidR="00103688">
        <w:rPr>
          <w:rFonts w:ascii="Times New Roman" w:hAnsi="Times New Roman" w:cs="Times New Roman"/>
        </w:rPr>
        <w:t>There is minimal effect of mouse-patient matching type on the relationship between preclinical metrics and ORR. P values in bold are significant. When Unselected to Unselected drugs (n = 6, “Matched Drugs”) were removed from the analysis, similar differences in preclinical metrics between ORR High and ORR Low drugs remained.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2"/>
        <w:gridCol w:w="1506"/>
        <w:gridCol w:w="1554"/>
      </w:tblGrid>
      <w:tr w:rsidR="00885B64" w:rsidRPr="00E87A7C" w14:paraId="22F9535B" w14:textId="77777777" w:rsidTr="00103688">
        <w:tc>
          <w:tcPr>
            <w:tcW w:w="1632" w:type="dxa"/>
          </w:tcPr>
          <w:p w14:paraId="3D9E38D8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506" w:type="dxa"/>
          </w:tcPr>
          <w:p w14:paraId="79F77C39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All drugs- ORR ≥ 50 v. ORR &lt; 50</w:t>
            </w:r>
          </w:p>
        </w:tc>
        <w:tc>
          <w:tcPr>
            <w:tcW w:w="1554" w:type="dxa"/>
          </w:tcPr>
          <w:p w14:paraId="26659B08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Matched drugs- ORR ≥ 50 v. ORR &lt; 50</w:t>
            </w:r>
          </w:p>
        </w:tc>
      </w:tr>
      <w:tr w:rsidR="00885B64" w:rsidRPr="00E87A7C" w14:paraId="5AD3D54D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51FF8E8B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540C4515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75C3279E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64" w:rsidRPr="00E87A7C" w14:paraId="33556664" w14:textId="77777777" w:rsidTr="00103688">
        <w:tc>
          <w:tcPr>
            <w:tcW w:w="1632" w:type="dxa"/>
          </w:tcPr>
          <w:p w14:paraId="0BAAE363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/</w:t>
            </w:r>
            <w:r w:rsidRPr="00E87A7C">
              <w:rPr>
                <w:rFonts w:ascii="Times New Roman" w:hAnsi="Times New Roman" w:cs="Times New Roman"/>
              </w:rPr>
              <w:t>C Ratio</w:t>
            </w:r>
          </w:p>
        </w:tc>
        <w:tc>
          <w:tcPr>
            <w:tcW w:w="1506" w:type="dxa"/>
          </w:tcPr>
          <w:p w14:paraId="35E1FC78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0.0043</w:t>
            </w:r>
          </w:p>
        </w:tc>
        <w:tc>
          <w:tcPr>
            <w:tcW w:w="1554" w:type="dxa"/>
          </w:tcPr>
          <w:p w14:paraId="399F6794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0.0110</w:t>
            </w:r>
          </w:p>
        </w:tc>
      </w:tr>
      <w:tr w:rsidR="00885B64" w:rsidRPr="00E87A7C" w14:paraId="5AAFDAD6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6E45EB0F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/</w:t>
            </w:r>
            <w:r w:rsidRPr="00E87A7C">
              <w:rPr>
                <w:rFonts w:ascii="Times New Roman" w:hAnsi="Times New Roman" w:cs="Times New Roman"/>
              </w:rPr>
              <w:t>C Ratio = 0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0B578B66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0.0143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388B7FBA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0.1063</w:t>
            </w:r>
          </w:p>
        </w:tc>
      </w:tr>
      <w:tr w:rsidR="00885B64" w:rsidRPr="00E87A7C" w14:paraId="7A03D4AB" w14:textId="77777777" w:rsidTr="00103688">
        <w:tc>
          <w:tcPr>
            <w:tcW w:w="1632" w:type="dxa"/>
          </w:tcPr>
          <w:p w14:paraId="276B1C89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Mouse model</w:t>
            </w:r>
          </w:p>
        </w:tc>
        <w:tc>
          <w:tcPr>
            <w:tcW w:w="1506" w:type="dxa"/>
          </w:tcPr>
          <w:p w14:paraId="5332709C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0.2483</w:t>
            </w:r>
          </w:p>
        </w:tc>
        <w:tc>
          <w:tcPr>
            <w:tcW w:w="1554" w:type="dxa"/>
          </w:tcPr>
          <w:p w14:paraId="5116FD64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0.5357</w:t>
            </w:r>
          </w:p>
        </w:tc>
      </w:tr>
      <w:tr w:rsidR="00885B64" w:rsidRPr="00E87A7C" w14:paraId="1EC59889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0002A12E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Duration animal monitoring</w:t>
            </w:r>
            <w:r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FEE1B54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0.8259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C9B598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0.7009</w:t>
            </w:r>
          </w:p>
        </w:tc>
      </w:tr>
      <w:tr w:rsidR="00885B64" w:rsidRPr="00E87A7C" w14:paraId="1E087170" w14:textId="77777777" w:rsidTr="00103688">
        <w:tc>
          <w:tcPr>
            <w:tcW w:w="1632" w:type="dxa"/>
          </w:tcPr>
          <w:p w14:paraId="1D797E30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506" w:type="dxa"/>
          </w:tcPr>
          <w:p w14:paraId="58EAB6AD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0.0310</w:t>
            </w:r>
          </w:p>
        </w:tc>
        <w:tc>
          <w:tcPr>
            <w:tcW w:w="1554" w:type="dxa"/>
          </w:tcPr>
          <w:p w14:paraId="3F6EF060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0.0499</w:t>
            </w:r>
          </w:p>
        </w:tc>
      </w:tr>
      <w:tr w:rsidR="00885B64" w:rsidRPr="00E87A7C" w14:paraId="44E7B16C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44F4920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59212AB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0.1267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7FE30FF2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0.2606</w:t>
            </w:r>
          </w:p>
        </w:tc>
      </w:tr>
      <w:tr w:rsidR="00885B64" w:rsidRPr="00E87A7C" w14:paraId="6A7A406C" w14:textId="77777777" w:rsidTr="00103688">
        <w:tc>
          <w:tcPr>
            <w:tcW w:w="1632" w:type="dxa"/>
          </w:tcPr>
          <w:p w14:paraId="078E557A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</w:t>
            </w:r>
          </w:p>
        </w:tc>
        <w:tc>
          <w:tcPr>
            <w:tcW w:w="1506" w:type="dxa"/>
          </w:tcPr>
          <w:p w14:paraId="7A71E99B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0.0821</w:t>
            </w:r>
          </w:p>
        </w:tc>
        <w:tc>
          <w:tcPr>
            <w:tcW w:w="1554" w:type="dxa"/>
          </w:tcPr>
          <w:p w14:paraId="7F1BD9AA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0.1436</w:t>
            </w:r>
          </w:p>
        </w:tc>
      </w:tr>
      <w:tr w:rsidR="00885B64" w:rsidRPr="00E87A7C" w14:paraId="2B1CDA27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6F065E33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6258CB1A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0.0065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37498F6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0.3494</w:t>
            </w:r>
          </w:p>
        </w:tc>
      </w:tr>
    </w:tbl>
    <w:p w14:paraId="0CE9DA45" w14:textId="77777777" w:rsidR="00885B64" w:rsidRDefault="00885B64" w:rsidP="00885B64"/>
    <w:p w14:paraId="02674337" w14:textId="77777777" w:rsidR="00885B64" w:rsidRDefault="00885B64" w:rsidP="00885B64">
      <w:pPr>
        <w:rPr>
          <w:rFonts w:ascii="Times New Roman" w:hAnsi="Times New Roman" w:cs="Times New Roman"/>
          <w:b/>
          <w:bCs/>
        </w:rPr>
      </w:pPr>
    </w:p>
    <w:p w14:paraId="4E8A46A8" w14:textId="77777777" w:rsidR="00885B64" w:rsidRDefault="00885B64" w:rsidP="00885B64">
      <w:pPr>
        <w:rPr>
          <w:rFonts w:ascii="Times New Roman" w:hAnsi="Times New Roman" w:cs="Times New Roman"/>
          <w:b/>
          <w:bCs/>
        </w:rPr>
      </w:pPr>
    </w:p>
    <w:p w14:paraId="0353031E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21D9E627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41222130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5F80C518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6B736105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65085741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3341E9C5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7E91674B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6D4D40E9" w14:textId="77777777" w:rsidR="006F3D33" w:rsidRDefault="006F3D33" w:rsidP="00103688">
      <w:pPr>
        <w:rPr>
          <w:rFonts w:ascii="Times New Roman" w:hAnsi="Times New Roman" w:cs="Times New Roman"/>
          <w:b/>
          <w:bCs/>
        </w:rPr>
      </w:pPr>
    </w:p>
    <w:p w14:paraId="6CA97713" w14:textId="3A874DA8" w:rsidR="00103688" w:rsidRPr="005A35C0" w:rsidRDefault="006F3D33" w:rsidP="00103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103688">
        <w:rPr>
          <w:rFonts w:ascii="Times New Roman" w:hAnsi="Times New Roman" w:cs="Times New Roman"/>
          <w:b/>
          <w:bCs/>
        </w:rPr>
        <w:t xml:space="preserve">Table 5: </w:t>
      </w:r>
      <w:r w:rsidR="00103688">
        <w:rPr>
          <w:rFonts w:ascii="Times New Roman" w:hAnsi="Times New Roman" w:cs="Times New Roman"/>
        </w:rPr>
        <w:t>There is minimal effect of mouse-patient matching type on the relationship between preclinical metrics and ORR. P values in bold are significant. When Unselected to Unselected drugs (n = 6, “Matched Drugs”) were removed from the analysis, similar differences in preclinical metrics between Approved and Unapproved drugs remained.</w:t>
      </w:r>
    </w:p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632"/>
        <w:gridCol w:w="1677"/>
        <w:gridCol w:w="1304"/>
      </w:tblGrid>
      <w:tr w:rsidR="00885B64" w:rsidRPr="00E87A7C" w14:paraId="384E4021" w14:textId="77777777" w:rsidTr="00103688">
        <w:tc>
          <w:tcPr>
            <w:tcW w:w="1632" w:type="dxa"/>
          </w:tcPr>
          <w:p w14:paraId="50360151" w14:textId="77777777" w:rsidR="00885B64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Variable</w:t>
            </w:r>
          </w:p>
          <w:p w14:paraId="42DD54CC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400ADDD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All Drugs-Approved vs. Unapproved</w:t>
            </w:r>
          </w:p>
        </w:tc>
        <w:tc>
          <w:tcPr>
            <w:tcW w:w="1304" w:type="dxa"/>
          </w:tcPr>
          <w:p w14:paraId="7BEC6E3E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Matched Drugs-Approved vs. Unapproved</w:t>
            </w:r>
          </w:p>
        </w:tc>
      </w:tr>
      <w:tr w:rsidR="00885B64" w:rsidRPr="00E87A7C" w14:paraId="46C791CD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2CFEF25A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4BA441A8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14:paraId="7777B780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64" w:rsidRPr="00E87A7C" w14:paraId="6CB6A7AE" w14:textId="77777777" w:rsidTr="00103688">
        <w:tc>
          <w:tcPr>
            <w:tcW w:w="1632" w:type="dxa"/>
          </w:tcPr>
          <w:p w14:paraId="7131395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1677" w:type="dxa"/>
          </w:tcPr>
          <w:p w14:paraId="0870BC16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0.0303</w:t>
            </w:r>
          </w:p>
        </w:tc>
        <w:tc>
          <w:tcPr>
            <w:tcW w:w="1304" w:type="dxa"/>
          </w:tcPr>
          <w:p w14:paraId="67EC3B95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0.0914</w:t>
            </w:r>
          </w:p>
        </w:tc>
      </w:tr>
      <w:tr w:rsidR="00885B64" w:rsidRPr="00E87A7C" w14:paraId="57B0F4D3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364BB546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 = 0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1760A09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0.1837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86BB94F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0.6479</w:t>
            </w:r>
          </w:p>
        </w:tc>
      </w:tr>
      <w:tr w:rsidR="00885B64" w:rsidRPr="00E87A7C" w14:paraId="15D229D8" w14:textId="77777777" w:rsidTr="00103688">
        <w:tc>
          <w:tcPr>
            <w:tcW w:w="1632" w:type="dxa"/>
          </w:tcPr>
          <w:p w14:paraId="3AAD167F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Mouse model</w:t>
            </w:r>
          </w:p>
        </w:tc>
        <w:tc>
          <w:tcPr>
            <w:tcW w:w="1677" w:type="dxa"/>
          </w:tcPr>
          <w:p w14:paraId="1D44E9CB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0.5700</w:t>
            </w:r>
          </w:p>
        </w:tc>
        <w:tc>
          <w:tcPr>
            <w:tcW w:w="1304" w:type="dxa"/>
          </w:tcPr>
          <w:p w14:paraId="77C9DA8C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0.8868</w:t>
            </w:r>
          </w:p>
        </w:tc>
      </w:tr>
      <w:tr w:rsidR="00885B64" w:rsidRPr="00E87A7C" w14:paraId="0E085BE6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3A9BF60C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Duration animal monitoring</w:t>
            </w:r>
            <w:r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0C3AF524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0.6073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CDB243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0.9843</w:t>
            </w:r>
          </w:p>
        </w:tc>
      </w:tr>
      <w:tr w:rsidR="00885B64" w:rsidRPr="00E87A7C" w14:paraId="0039C1ED" w14:textId="77777777" w:rsidTr="00103688">
        <w:tc>
          <w:tcPr>
            <w:tcW w:w="1632" w:type="dxa"/>
          </w:tcPr>
          <w:p w14:paraId="71BA2FD6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677" w:type="dxa"/>
          </w:tcPr>
          <w:p w14:paraId="0ECA282B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0.0079</w:t>
            </w:r>
          </w:p>
        </w:tc>
        <w:tc>
          <w:tcPr>
            <w:tcW w:w="1304" w:type="dxa"/>
          </w:tcPr>
          <w:p w14:paraId="7C73C42C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0.0125</w:t>
            </w:r>
          </w:p>
        </w:tc>
      </w:tr>
      <w:tr w:rsidR="00885B64" w:rsidRPr="00E87A7C" w14:paraId="2B5897FC" w14:textId="77777777" w:rsidTr="00103688">
        <w:tc>
          <w:tcPr>
            <w:tcW w:w="1632" w:type="dxa"/>
            <w:shd w:val="clear" w:color="auto" w:fill="D9D9D9" w:themeFill="background1" w:themeFillShade="D9"/>
          </w:tcPr>
          <w:p w14:paraId="42D150FA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8014106"/>
            <w:r w:rsidRPr="00E87A7C">
              <w:rPr>
                <w:rFonts w:ascii="Times New Roman" w:hAnsi="Times New Roman" w:cs="Times New Roman"/>
              </w:rPr>
              <w:t>N pubs before date of Phase II</w:t>
            </w:r>
            <w:bookmarkEnd w:id="1"/>
          </w:p>
        </w:tc>
        <w:tc>
          <w:tcPr>
            <w:tcW w:w="1677" w:type="dxa"/>
            <w:shd w:val="clear" w:color="auto" w:fill="D9D9D9" w:themeFill="background1" w:themeFillShade="D9"/>
          </w:tcPr>
          <w:p w14:paraId="731C6348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0.0439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319AEEE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0.1013</w:t>
            </w:r>
          </w:p>
        </w:tc>
      </w:tr>
      <w:tr w:rsidR="00885B64" w:rsidRPr="00E87A7C" w14:paraId="03181F11" w14:textId="77777777" w:rsidTr="00103688">
        <w:tc>
          <w:tcPr>
            <w:tcW w:w="1632" w:type="dxa"/>
          </w:tcPr>
          <w:p w14:paraId="00CB68E1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8013945"/>
            <w:r w:rsidRPr="00E87A7C">
              <w:rPr>
                <w:rFonts w:ascii="Times New Roman" w:hAnsi="Times New Roman" w:cs="Times New Roman"/>
              </w:rPr>
              <w:t>Drug is approved for other cancers before Phase II</w:t>
            </w:r>
            <w:bookmarkEnd w:id="2"/>
          </w:p>
        </w:tc>
        <w:tc>
          <w:tcPr>
            <w:tcW w:w="1677" w:type="dxa"/>
          </w:tcPr>
          <w:p w14:paraId="16833A69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hAnsi="Times New Roman" w:cs="Times New Roman"/>
                <w:b/>
                <w:bCs/>
              </w:rPr>
              <w:t>0.0176</w:t>
            </w:r>
          </w:p>
        </w:tc>
        <w:tc>
          <w:tcPr>
            <w:tcW w:w="1304" w:type="dxa"/>
          </w:tcPr>
          <w:p w14:paraId="43648A3D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eastAsia="Times New Roman" w:hAnsi="Times New Roman" w:cs="Times New Roman"/>
                <w:b/>
                <w:bCs/>
              </w:rPr>
              <w:t>0.0205</w:t>
            </w:r>
          </w:p>
        </w:tc>
      </w:tr>
      <w:tr w:rsidR="00885B64" w:rsidRPr="00E87A7C" w14:paraId="4E248AFC" w14:textId="77777777" w:rsidTr="00103688">
        <w:trPr>
          <w:trHeight w:val="70"/>
        </w:trPr>
        <w:tc>
          <w:tcPr>
            <w:tcW w:w="1632" w:type="dxa"/>
            <w:shd w:val="clear" w:color="auto" w:fill="D9D9D9" w:themeFill="background1" w:themeFillShade="D9"/>
          </w:tcPr>
          <w:p w14:paraId="4F6C8353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0F6F12E" w14:textId="77777777" w:rsidR="00885B64" w:rsidRPr="0070298D" w:rsidRDefault="00885B64" w:rsidP="00103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98D">
              <w:rPr>
                <w:rFonts w:ascii="Times New Roman" w:hAnsi="Times New Roman" w:cs="Times New Roman"/>
                <w:b/>
                <w:bCs/>
              </w:rPr>
              <w:t>0.0066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C8F3D03" w14:textId="77777777" w:rsidR="00885B64" w:rsidRPr="00E87A7C" w:rsidRDefault="00885B64" w:rsidP="00103688">
            <w:pPr>
              <w:jc w:val="center"/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eastAsia="Times New Roman" w:hAnsi="Times New Roman" w:cs="Times New Roman"/>
              </w:rPr>
              <w:t>0.0777</w:t>
            </w:r>
          </w:p>
        </w:tc>
      </w:tr>
    </w:tbl>
    <w:p w14:paraId="6AF4B8CA" w14:textId="77777777" w:rsidR="00885B64" w:rsidRDefault="00885B64" w:rsidP="00885B64">
      <w:pPr>
        <w:rPr>
          <w:rFonts w:ascii="Times New Roman" w:hAnsi="Times New Roman" w:cs="Times New Roman"/>
        </w:rPr>
      </w:pPr>
    </w:p>
    <w:p w14:paraId="49621604" w14:textId="77777777" w:rsidR="00885B64" w:rsidRDefault="00885B64" w:rsidP="00885B64">
      <w:pPr>
        <w:rPr>
          <w:rFonts w:ascii="Times New Roman" w:hAnsi="Times New Roman" w:cs="Times New Roman"/>
        </w:rPr>
      </w:pPr>
    </w:p>
    <w:p w14:paraId="52F38260" w14:textId="77777777" w:rsidR="00885B64" w:rsidRDefault="00885B64" w:rsidP="00885B64">
      <w:pPr>
        <w:rPr>
          <w:rFonts w:ascii="Times New Roman" w:hAnsi="Times New Roman" w:cs="Times New Roman"/>
        </w:rPr>
      </w:pPr>
    </w:p>
    <w:p w14:paraId="62DD7E6E" w14:textId="77777777" w:rsidR="00885B64" w:rsidRDefault="00885B64" w:rsidP="00885B64">
      <w:pPr>
        <w:rPr>
          <w:rFonts w:ascii="Times New Roman" w:hAnsi="Times New Roman" w:cs="Times New Roman"/>
        </w:rPr>
      </w:pPr>
    </w:p>
    <w:p w14:paraId="16A9F5D8" w14:textId="77777777" w:rsidR="00885B64" w:rsidRDefault="00885B64" w:rsidP="00885B64">
      <w:pPr>
        <w:rPr>
          <w:rFonts w:ascii="Times New Roman" w:hAnsi="Times New Roman" w:cs="Times New Roman"/>
        </w:rPr>
      </w:pPr>
    </w:p>
    <w:p w14:paraId="5747490E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4A3EA48A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581CE093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4592696B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4BFF2A8C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61C1C5FD" w14:textId="77777777" w:rsidR="00103688" w:rsidRDefault="00103688" w:rsidP="00885B64">
      <w:pPr>
        <w:rPr>
          <w:rFonts w:ascii="Times New Roman" w:hAnsi="Times New Roman" w:cs="Times New Roman"/>
          <w:b/>
          <w:bCs/>
        </w:rPr>
      </w:pPr>
    </w:p>
    <w:p w14:paraId="1A32ED27" w14:textId="2EC0BF05" w:rsidR="006E3E79" w:rsidRDefault="006E3E79" w:rsidP="001447A2">
      <w:pPr>
        <w:rPr>
          <w:rFonts w:ascii="Times New Roman" w:hAnsi="Times New Roman" w:cs="Times New Roman"/>
          <w:b/>
          <w:bCs/>
        </w:rPr>
      </w:pPr>
    </w:p>
    <w:p w14:paraId="336CF217" w14:textId="77777777" w:rsidR="006E3E79" w:rsidRDefault="006E3E79" w:rsidP="001447A2">
      <w:pPr>
        <w:rPr>
          <w:rFonts w:ascii="Times New Roman" w:hAnsi="Times New Roman" w:cs="Times New Roman"/>
          <w:b/>
          <w:bCs/>
        </w:rPr>
      </w:pPr>
    </w:p>
    <w:p w14:paraId="0DC4D44E" w14:textId="1020CB38" w:rsidR="001447A2" w:rsidRDefault="001447A2" w:rsidP="0014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85B6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By multivariate logistic regression analysis, no pre-clinical metrics are independently associated with approval status.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95"/>
        <w:gridCol w:w="1695"/>
      </w:tblGrid>
      <w:tr w:rsidR="001447A2" w14:paraId="1654A58B" w14:textId="77777777" w:rsidTr="00103688">
        <w:tc>
          <w:tcPr>
            <w:tcW w:w="5604" w:type="dxa"/>
            <w:gridSpan w:val="3"/>
          </w:tcPr>
          <w:p w14:paraId="531174B3" w14:textId="77777777" w:rsidR="001447A2" w:rsidRPr="008824D1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Approved</w:t>
            </w:r>
            <w:r w:rsidRPr="008824D1">
              <w:rPr>
                <w:rFonts w:ascii="Times New Roman" w:hAnsi="Times New Roman" w:cs="Times New Roman"/>
                <w:b/>
                <w:bCs/>
              </w:rPr>
              <w:t xml:space="preserve"> Categorical All Drugs</w:t>
            </w:r>
            <w:r>
              <w:rPr>
                <w:rFonts w:ascii="Times New Roman" w:hAnsi="Times New Roman" w:cs="Times New Roman"/>
                <w:b/>
                <w:bCs/>
              </w:rPr>
              <w:t>-Probability modeled is “Drug is unapproved”</w:t>
            </w:r>
          </w:p>
          <w:p w14:paraId="5FB6D1FD" w14:textId="77777777" w:rsidR="001447A2" w:rsidRDefault="001447A2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Testing H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Beta = 0: Chi square = </w:t>
            </w:r>
            <w:r w:rsidRPr="00B71E25">
              <w:rPr>
                <w:rFonts w:ascii="Times New Roman" w:eastAsia="Times New Roman" w:hAnsi="Times New Roman" w:cs="Times New Roman"/>
                <w:sz w:val="24"/>
                <w:szCs w:val="24"/>
              </w:rPr>
              <w:t>35.9935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 </w:t>
            </w:r>
            <w:r w:rsidRPr="00B71E25">
              <w:rPr>
                <w:rFonts w:ascii="Times New Roman" w:eastAsia="Times New Roman" w:hAnsi="Times New Roman" w:cs="Times New Roman"/>
                <w:sz w:val="24"/>
                <w:szCs w:val="24"/>
              </w:rPr>
              <w:t>&lt;.0001</w:t>
            </w:r>
          </w:p>
          <w:p w14:paraId="03A2C462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1447A2" w14:paraId="2FEF103E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485F72FA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Predictor Variable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0CAC47A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Pr="00686619">
              <w:rPr>
                <w:rFonts w:ascii="Times New Roman" w:hAnsi="Times New Roman" w:cs="Times New Roman"/>
                <w:b/>
                <w:bCs/>
              </w:rPr>
              <w:t xml:space="preserve"> Estimate (</w:t>
            </w:r>
            <w:r>
              <w:rPr>
                <w:rFonts w:ascii="Times New Roman" w:hAnsi="Times New Roman" w:cs="Times New Roman"/>
                <w:b/>
                <w:bCs/>
              </w:rPr>
              <w:t>standard error</w:t>
            </w:r>
            <w:r w:rsidRPr="0068661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DE04620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447A2" w14:paraId="28B3F273" w14:textId="77777777" w:rsidTr="00103688">
        <w:tc>
          <w:tcPr>
            <w:tcW w:w="1914" w:type="dxa"/>
          </w:tcPr>
          <w:p w14:paraId="014EF378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1995" w:type="dxa"/>
          </w:tcPr>
          <w:p w14:paraId="4CDEE702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0.289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666D">
              <w:rPr>
                <w:rFonts w:ascii="Times New Roman" w:hAnsi="Times New Roman" w:cs="Times New Roman"/>
              </w:rPr>
              <w:t>2.594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1E511C35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0.9112</w:t>
            </w:r>
          </w:p>
        </w:tc>
      </w:tr>
      <w:tr w:rsidR="001447A2" w14:paraId="57B7886A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1A68ED69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668A17F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4.812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666D">
              <w:rPr>
                <w:rFonts w:ascii="Times New Roman" w:hAnsi="Times New Roman" w:cs="Times New Roman"/>
              </w:rPr>
              <w:t>19.85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7086280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0.8085</w:t>
            </w:r>
          </w:p>
        </w:tc>
      </w:tr>
      <w:tr w:rsidR="001447A2" w14:paraId="488DC30D" w14:textId="77777777" w:rsidTr="00103688">
        <w:tc>
          <w:tcPr>
            <w:tcW w:w="1914" w:type="dxa"/>
          </w:tcPr>
          <w:p w14:paraId="36F92206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1995" w:type="dxa"/>
          </w:tcPr>
          <w:p w14:paraId="0E9B2004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-0.12</w:t>
            </w:r>
            <w:r>
              <w:rPr>
                <w:rFonts w:ascii="Times New Roman" w:hAnsi="Times New Roman" w:cs="Times New Roman"/>
              </w:rPr>
              <w:t>4 (</w:t>
            </w:r>
            <w:r w:rsidRPr="0051666D">
              <w:rPr>
                <w:rFonts w:ascii="Times New Roman" w:hAnsi="Times New Roman" w:cs="Times New Roman"/>
              </w:rPr>
              <w:t>0.38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95" w:type="dxa"/>
          </w:tcPr>
          <w:p w14:paraId="7027F924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0.7448</w:t>
            </w:r>
          </w:p>
        </w:tc>
      </w:tr>
      <w:tr w:rsidR="001447A2" w14:paraId="187E0AC3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0180B600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II?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41D2BD2C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31.282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666D">
              <w:rPr>
                <w:rFonts w:ascii="Times New Roman" w:hAnsi="Times New Roman" w:cs="Times New Roman"/>
              </w:rPr>
              <w:t>194.4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CB00A0A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0.8721</w:t>
            </w:r>
          </w:p>
        </w:tc>
      </w:tr>
      <w:tr w:rsidR="001447A2" w14:paraId="1B27EAC3" w14:textId="77777777" w:rsidTr="00103688">
        <w:tc>
          <w:tcPr>
            <w:tcW w:w="1914" w:type="dxa"/>
          </w:tcPr>
          <w:p w14:paraId="366F883F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995" w:type="dxa"/>
          </w:tcPr>
          <w:p w14:paraId="6FCAB592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2.768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95710">
              <w:rPr>
                <w:rFonts w:ascii="Times New Roman" w:hAnsi="Times New Roman" w:cs="Times New Roman"/>
              </w:rPr>
              <w:t>16.822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4EA49654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640FC0">
              <w:rPr>
                <w:rFonts w:ascii="Times New Roman" w:hAnsi="Times New Roman" w:cs="Times New Roman"/>
              </w:rPr>
              <w:t>0.8693</w:t>
            </w:r>
          </w:p>
        </w:tc>
      </w:tr>
      <w:tr w:rsidR="001447A2" w14:paraId="1F8C2248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6565F0F0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12D90693" w14:textId="77777777" w:rsidR="001447A2" w:rsidRPr="00640FC0" w:rsidRDefault="001447A2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ADDF1A5" w14:textId="77777777" w:rsidR="001447A2" w:rsidRPr="00640FC0" w:rsidRDefault="001447A2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1447A2" w14:paraId="047C5D5D" w14:textId="77777777" w:rsidTr="00103688">
        <w:tc>
          <w:tcPr>
            <w:tcW w:w="5604" w:type="dxa"/>
            <w:gridSpan w:val="3"/>
          </w:tcPr>
          <w:p w14:paraId="5E0BE7BD" w14:textId="77777777" w:rsidR="001447A2" w:rsidRPr="008824D1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Approved </w:t>
            </w:r>
            <w:r w:rsidRPr="008824D1">
              <w:rPr>
                <w:rFonts w:ascii="Times New Roman" w:hAnsi="Times New Roman" w:cs="Times New Roman"/>
                <w:b/>
                <w:bCs/>
              </w:rPr>
              <w:t xml:space="preserve">Categorical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Matched </w:t>
            </w:r>
            <w:r w:rsidRPr="008824D1">
              <w:rPr>
                <w:rFonts w:ascii="Times New Roman" w:hAnsi="Times New Roman" w:cs="Times New Roman"/>
                <w:b/>
                <w:bCs/>
              </w:rPr>
              <w:t>Drugs</w:t>
            </w:r>
            <w:r>
              <w:rPr>
                <w:rFonts w:ascii="Times New Roman" w:hAnsi="Times New Roman" w:cs="Times New Roman"/>
                <w:b/>
                <w:bCs/>
              </w:rPr>
              <w:t>-Probability modeled is “Drug is unapproved”</w:t>
            </w:r>
          </w:p>
          <w:p w14:paraId="09C637B9" w14:textId="77777777" w:rsidR="001447A2" w:rsidRDefault="001447A2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Testing H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Beta = 0: Chi square = </w:t>
            </w:r>
            <w:r w:rsidRPr="00035A66">
              <w:rPr>
                <w:rFonts w:ascii="Times New Roman" w:hAnsi="Times New Roman" w:cs="Times New Roman"/>
              </w:rPr>
              <w:t>30.7370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 = </w:t>
            </w:r>
            <w:r w:rsidRPr="00035A66">
              <w:rPr>
                <w:rFonts w:ascii="Times New Roman" w:eastAsia="Times New Roman" w:hAnsi="Times New Roman" w:cs="Times New Roman"/>
                <w:sz w:val="24"/>
                <w:szCs w:val="24"/>
              </w:rPr>
              <w:t>&lt;.0001</w:t>
            </w:r>
          </w:p>
          <w:p w14:paraId="14546391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1447A2" w14:paraId="059E162A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3216684A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Predictor Variable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20ABBEDE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Pr="00686619">
              <w:rPr>
                <w:rFonts w:ascii="Times New Roman" w:hAnsi="Times New Roman" w:cs="Times New Roman"/>
                <w:b/>
                <w:bCs/>
              </w:rPr>
              <w:t xml:space="preserve"> Estimate (</w:t>
            </w:r>
            <w:r>
              <w:rPr>
                <w:rFonts w:ascii="Times New Roman" w:hAnsi="Times New Roman" w:cs="Times New Roman"/>
                <w:b/>
                <w:bCs/>
              </w:rPr>
              <w:t>standard error</w:t>
            </w:r>
            <w:r w:rsidRPr="0068661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7C61845" w14:textId="77777777" w:rsidR="001447A2" w:rsidRPr="00AA733D" w:rsidRDefault="001447A2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447A2" w14:paraId="36BD3F2E" w14:textId="77777777" w:rsidTr="00103688">
        <w:tc>
          <w:tcPr>
            <w:tcW w:w="1914" w:type="dxa"/>
          </w:tcPr>
          <w:p w14:paraId="1CC50FEB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1995" w:type="dxa"/>
          </w:tcPr>
          <w:p w14:paraId="4F0068DC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0.171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43652">
              <w:rPr>
                <w:rFonts w:ascii="Times New Roman" w:hAnsi="Times New Roman" w:cs="Times New Roman"/>
              </w:rPr>
              <w:t>0.87</w:t>
            </w: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695" w:type="dxa"/>
          </w:tcPr>
          <w:p w14:paraId="5DC3AC7E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0.8452</w:t>
            </w:r>
          </w:p>
        </w:tc>
      </w:tr>
      <w:tr w:rsidR="001447A2" w14:paraId="09C3D925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152DA6A6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35EE71A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4.22</w:t>
            </w:r>
            <w:r>
              <w:rPr>
                <w:rFonts w:ascii="Times New Roman" w:hAnsi="Times New Roman" w:cs="Times New Roman"/>
              </w:rPr>
              <w:t>3 (</w:t>
            </w:r>
            <w:r w:rsidRPr="00B43652">
              <w:rPr>
                <w:rFonts w:ascii="Times New Roman" w:hAnsi="Times New Roman" w:cs="Times New Roman"/>
              </w:rPr>
              <w:t>5.478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AD49E26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0.4408</w:t>
            </w:r>
          </w:p>
        </w:tc>
      </w:tr>
      <w:tr w:rsidR="001447A2" w14:paraId="7732DFBD" w14:textId="77777777" w:rsidTr="00103688">
        <w:tc>
          <w:tcPr>
            <w:tcW w:w="1914" w:type="dxa"/>
          </w:tcPr>
          <w:p w14:paraId="396E22E7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1995" w:type="dxa"/>
          </w:tcPr>
          <w:p w14:paraId="513DD62D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-0.08</w:t>
            </w:r>
            <w:r>
              <w:rPr>
                <w:rFonts w:ascii="Times New Roman" w:hAnsi="Times New Roman" w:cs="Times New Roman"/>
              </w:rPr>
              <w:t>2 (</w:t>
            </w:r>
            <w:r w:rsidRPr="00B43652">
              <w:rPr>
                <w:rFonts w:ascii="Times New Roman" w:hAnsi="Times New Roman" w:cs="Times New Roman"/>
              </w:rPr>
              <w:t>0.11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95" w:type="dxa"/>
          </w:tcPr>
          <w:p w14:paraId="4C4E6985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0.4695</w:t>
            </w:r>
          </w:p>
        </w:tc>
      </w:tr>
      <w:tr w:rsidR="001447A2" w14:paraId="3325B711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75BE6059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II?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23833EEE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11.827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43652">
              <w:rPr>
                <w:rFonts w:ascii="Times New Roman" w:hAnsi="Times New Roman" w:cs="Times New Roman"/>
              </w:rPr>
              <w:t>41.967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D11E907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0.7781</w:t>
            </w:r>
          </w:p>
        </w:tc>
      </w:tr>
      <w:tr w:rsidR="001447A2" w14:paraId="6932A03C" w14:textId="77777777" w:rsidTr="00103688">
        <w:tc>
          <w:tcPr>
            <w:tcW w:w="1914" w:type="dxa"/>
          </w:tcPr>
          <w:p w14:paraId="48ECD507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995" w:type="dxa"/>
          </w:tcPr>
          <w:p w14:paraId="40B53CD1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-9.372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43652">
              <w:rPr>
                <w:rFonts w:ascii="Times New Roman" w:hAnsi="Times New Roman" w:cs="Times New Roman"/>
              </w:rPr>
              <w:t>42.096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03EAFE83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  <w:r w:rsidRPr="00035A66">
              <w:rPr>
                <w:rFonts w:ascii="Times New Roman" w:hAnsi="Times New Roman" w:cs="Times New Roman"/>
              </w:rPr>
              <w:t>0.8238</w:t>
            </w:r>
          </w:p>
        </w:tc>
      </w:tr>
      <w:tr w:rsidR="001447A2" w14:paraId="2B02CB0A" w14:textId="77777777" w:rsidTr="00103688">
        <w:tc>
          <w:tcPr>
            <w:tcW w:w="1914" w:type="dxa"/>
            <w:shd w:val="clear" w:color="auto" w:fill="D9D9D9" w:themeFill="background1" w:themeFillShade="D9"/>
          </w:tcPr>
          <w:p w14:paraId="563A03EC" w14:textId="77777777" w:rsidR="001447A2" w:rsidRDefault="001447A2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0AB564AE" w14:textId="77777777" w:rsidR="001447A2" w:rsidRPr="00035A66" w:rsidRDefault="001447A2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E428EC" w14:textId="77777777" w:rsidR="001447A2" w:rsidRPr="00035A66" w:rsidRDefault="001447A2" w:rsidP="00103688">
            <w:pPr>
              <w:rPr>
                <w:rFonts w:ascii="Times New Roman" w:hAnsi="Times New Roman" w:cs="Times New Roman"/>
              </w:rPr>
            </w:pPr>
          </w:p>
        </w:tc>
      </w:tr>
    </w:tbl>
    <w:p w14:paraId="31D11D3C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52CDBC6E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7A786AA2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244D1748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057AF0F9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083C783E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5B294027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7F76C1EE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72972FDA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6506F438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199616E1" w14:textId="77777777" w:rsidR="006F3D33" w:rsidRDefault="006F3D33">
      <w:pPr>
        <w:rPr>
          <w:rFonts w:ascii="Times New Roman" w:hAnsi="Times New Roman" w:cs="Times New Roman"/>
          <w:b/>
          <w:bCs/>
        </w:rPr>
      </w:pPr>
    </w:p>
    <w:p w14:paraId="0EB6EC3E" w14:textId="56D3E21B" w:rsidR="005E5C95" w:rsidRDefault="008C0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</w:t>
      </w:r>
      <w:r w:rsidR="00885B6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: </w:t>
      </w:r>
      <w:bookmarkStart w:id="3" w:name="_Hlk20337744"/>
      <w:r>
        <w:rPr>
          <w:rFonts w:ascii="Times New Roman" w:hAnsi="Times New Roman" w:cs="Times New Roman"/>
        </w:rPr>
        <w:t xml:space="preserve">By multivariate logistic regression analysis, no pre-clinical metrics are independently associated with achieving an ORR </w:t>
      </w:r>
      <w:r w:rsidR="00AA733D">
        <w:rPr>
          <w:rFonts w:ascii="Times New Roman" w:hAnsi="Times New Roman" w:cs="Times New Roman"/>
        </w:rPr>
        <w:t xml:space="preserve">threshold value of </w:t>
      </w:r>
      <w:r>
        <w:rPr>
          <w:rFonts w:ascii="Times New Roman" w:hAnsi="Times New Roman" w:cs="Times New Roman"/>
        </w:rPr>
        <w:t xml:space="preserve">50%. 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95"/>
        <w:gridCol w:w="1695"/>
      </w:tblGrid>
      <w:tr w:rsidR="00AA733D" w14:paraId="3C73116F" w14:textId="77777777" w:rsidTr="00103688">
        <w:tc>
          <w:tcPr>
            <w:tcW w:w="5604" w:type="dxa"/>
            <w:gridSpan w:val="3"/>
          </w:tcPr>
          <w:p w14:paraId="1A91B582" w14:textId="77777777" w:rsidR="00AA733D" w:rsidRPr="008824D1" w:rsidRDefault="00AA733D" w:rsidP="00AA733D">
            <w:pPr>
              <w:rPr>
                <w:rFonts w:ascii="Times New Roman" w:hAnsi="Times New Roman" w:cs="Times New Roman"/>
                <w:b/>
                <w:bCs/>
              </w:rPr>
            </w:pPr>
            <w:r w:rsidRPr="008824D1">
              <w:rPr>
                <w:rFonts w:ascii="Times New Roman" w:hAnsi="Times New Roman" w:cs="Times New Roman"/>
                <w:b/>
                <w:bCs/>
              </w:rPr>
              <w:t>ORR Categorical All Drugs</w:t>
            </w:r>
            <w:r>
              <w:rPr>
                <w:rFonts w:ascii="Times New Roman" w:hAnsi="Times New Roman" w:cs="Times New Roman"/>
                <w:b/>
                <w:bCs/>
              </w:rPr>
              <w:t>-Probability modeled is ORR &lt;50%</w:t>
            </w:r>
          </w:p>
          <w:p w14:paraId="62ECEB6E" w14:textId="77777777" w:rsidR="00AA733D" w:rsidRDefault="00AA733D" w:rsidP="00AA7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Testing H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Beta = 0: Chi square = </w:t>
            </w: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</w:rPr>
              <w:t>27.6719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 &lt; 0.0001</w:t>
            </w:r>
          </w:p>
          <w:p w14:paraId="3610C56F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AA733D" w14:paraId="689DE818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2570AE8F" w14:textId="77777777" w:rsidR="00AA733D" w:rsidRPr="00AA733D" w:rsidRDefault="00AA733D" w:rsidP="00103688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18586016"/>
            <w:r w:rsidRPr="00AA733D">
              <w:rPr>
                <w:rFonts w:ascii="Times New Roman" w:hAnsi="Times New Roman" w:cs="Times New Roman"/>
                <w:b/>
                <w:bCs/>
              </w:rPr>
              <w:t>Predictor Variable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EE5789E" w14:textId="33038AB3" w:rsidR="00AA733D" w:rsidRPr="00AA733D" w:rsidRDefault="001923DA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Pr="00686619">
              <w:rPr>
                <w:rFonts w:ascii="Times New Roman" w:hAnsi="Times New Roman" w:cs="Times New Roman"/>
                <w:b/>
                <w:bCs/>
              </w:rPr>
              <w:t xml:space="preserve"> Estimate (</w:t>
            </w:r>
            <w:r>
              <w:rPr>
                <w:rFonts w:ascii="Times New Roman" w:hAnsi="Times New Roman" w:cs="Times New Roman"/>
                <w:b/>
                <w:bCs/>
              </w:rPr>
              <w:t>standard error</w:t>
            </w:r>
            <w:r w:rsidRPr="0068661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45128FA" w14:textId="77777777" w:rsidR="00AA733D" w:rsidRPr="00AA733D" w:rsidRDefault="00AA733D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AA733D" w14:paraId="25B7CDE3" w14:textId="77777777" w:rsidTr="00103688">
        <w:tc>
          <w:tcPr>
            <w:tcW w:w="1914" w:type="dxa"/>
          </w:tcPr>
          <w:p w14:paraId="0CDDC281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1995" w:type="dxa"/>
          </w:tcPr>
          <w:p w14:paraId="327B83EA" w14:textId="6B4A9C85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923DA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r w:rsidR="00C47C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47807290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0.2152</w:t>
            </w:r>
          </w:p>
        </w:tc>
      </w:tr>
      <w:tr w:rsidR="00AA733D" w14:paraId="17B035FD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1762538F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22C637A" w14:textId="2863954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A725D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923DA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0.913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BF10095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0.1575</w:t>
            </w:r>
          </w:p>
        </w:tc>
      </w:tr>
      <w:tr w:rsidR="00AA733D" w14:paraId="207B430F" w14:textId="77777777" w:rsidTr="00103688">
        <w:tc>
          <w:tcPr>
            <w:tcW w:w="1914" w:type="dxa"/>
          </w:tcPr>
          <w:p w14:paraId="5E13E713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1995" w:type="dxa"/>
          </w:tcPr>
          <w:p w14:paraId="3C94BEA3" w14:textId="5019FBD3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3DA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(0.009)</w:t>
            </w:r>
          </w:p>
        </w:tc>
        <w:tc>
          <w:tcPr>
            <w:tcW w:w="1695" w:type="dxa"/>
          </w:tcPr>
          <w:p w14:paraId="31623AEC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0.9403</w:t>
            </w:r>
          </w:p>
        </w:tc>
      </w:tr>
      <w:tr w:rsidR="00AA733D" w14:paraId="42CC539B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33C84954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II?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25B1DBCE" w14:textId="6D1C3A0D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2.347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3DA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(2.13</w:t>
            </w:r>
            <w:r w:rsidR="00C47C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23DA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34A41D5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0.2713</w:t>
            </w:r>
          </w:p>
        </w:tc>
      </w:tr>
      <w:tr w:rsidR="00AA733D" w14:paraId="7B30F976" w14:textId="77777777" w:rsidTr="00103688">
        <w:tc>
          <w:tcPr>
            <w:tcW w:w="1914" w:type="dxa"/>
          </w:tcPr>
          <w:p w14:paraId="33B0493C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995" w:type="dxa"/>
          </w:tcPr>
          <w:p w14:paraId="0CF65A2B" w14:textId="423E4AFB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4.877</w:t>
            </w:r>
            <w:r w:rsidR="00C47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47C3F" w:rsidRP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  <w:r w:rsidR="00C47C3F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695" w:type="dxa"/>
          </w:tcPr>
          <w:p w14:paraId="61EDCF27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DF75CC">
              <w:rPr>
                <w:rFonts w:ascii="Times New Roman" w:eastAsia="Times New Roman" w:hAnsi="Times New Roman" w:cs="Times New Roman"/>
                <w:sz w:val="24"/>
                <w:szCs w:val="24"/>
              </w:rPr>
              <w:t>0.0935</w:t>
            </w:r>
          </w:p>
        </w:tc>
      </w:tr>
      <w:tr w:rsidR="00AA733D" w14:paraId="306F28F5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20DF0C18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27DFC1AC" w14:textId="77777777" w:rsidR="00AA733D" w:rsidRPr="00DF75CC" w:rsidRDefault="00AA733D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E15ABDD" w14:textId="77777777" w:rsidR="00AA733D" w:rsidRPr="00DF75CC" w:rsidRDefault="00AA733D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33D" w14:paraId="7ADC49A4" w14:textId="77777777" w:rsidTr="00103688">
        <w:tc>
          <w:tcPr>
            <w:tcW w:w="5604" w:type="dxa"/>
            <w:gridSpan w:val="3"/>
          </w:tcPr>
          <w:p w14:paraId="33831985" w14:textId="77777777" w:rsidR="00AA733D" w:rsidRPr="008824D1" w:rsidRDefault="00AA733D" w:rsidP="00AA733D">
            <w:pPr>
              <w:rPr>
                <w:rFonts w:ascii="Times New Roman" w:hAnsi="Times New Roman" w:cs="Times New Roman"/>
                <w:b/>
                <w:bCs/>
              </w:rPr>
            </w:pPr>
            <w:r w:rsidRPr="008824D1">
              <w:rPr>
                <w:rFonts w:ascii="Times New Roman" w:hAnsi="Times New Roman" w:cs="Times New Roman"/>
                <w:b/>
                <w:bCs/>
              </w:rPr>
              <w:t xml:space="preserve">ORR Categorical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Matched </w:t>
            </w:r>
            <w:r w:rsidRPr="008824D1">
              <w:rPr>
                <w:rFonts w:ascii="Times New Roman" w:hAnsi="Times New Roman" w:cs="Times New Roman"/>
                <w:b/>
                <w:bCs/>
              </w:rPr>
              <w:t>Drugs</w:t>
            </w:r>
            <w:r>
              <w:rPr>
                <w:rFonts w:ascii="Times New Roman" w:hAnsi="Times New Roman" w:cs="Times New Roman"/>
                <w:b/>
                <w:bCs/>
              </w:rPr>
              <w:t>-Probability modeled is ORR &lt;50%</w:t>
            </w:r>
          </w:p>
          <w:p w14:paraId="4776C6FA" w14:textId="77777777" w:rsidR="00AA733D" w:rsidRDefault="00AA733D" w:rsidP="00AA7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Testing H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Beta = 0: Chi square = </w:t>
            </w:r>
            <w:r w:rsidRPr="000B6E9A">
              <w:rPr>
                <w:rFonts w:ascii="Times New Roman" w:eastAsia="Times New Roman" w:hAnsi="Times New Roman" w:cs="Times New Roman"/>
                <w:sz w:val="24"/>
                <w:szCs w:val="24"/>
              </w:rPr>
              <w:t>16.0726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 = </w:t>
            </w:r>
            <w:r w:rsidRPr="000B6E9A">
              <w:rPr>
                <w:rFonts w:ascii="Times New Roman" w:eastAsia="Times New Roman" w:hAnsi="Times New Roman" w:cs="Times New Roman"/>
                <w:sz w:val="24"/>
                <w:szCs w:val="24"/>
              </w:rPr>
              <w:t>0.0066</w:t>
            </w:r>
          </w:p>
          <w:p w14:paraId="32BC3F7C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</w:p>
        </w:tc>
      </w:tr>
      <w:tr w:rsidR="00AA733D" w14:paraId="2FEBD34E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7002115C" w14:textId="77777777" w:rsidR="00AA733D" w:rsidRPr="00AA733D" w:rsidRDefault="00AA733D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Predictor Variable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1A60EF22" w14:textId="789E7C4C" w:rsidR="00AA733D" w:rsidRPr="00AA733D" w:rsidRDefault="001923DA" w:rsidP="001036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β</w:t>
            </w:r>
            <w:r w:rsidRPr="00686619">
              <w:rPr>
                <w:rFonts w:ascii="Times New Roman" w:hAnsi="Times New Roman" w:cs="Times New Roman"/>
                <w:b/>
                <w:bCs/>
              </w:rPr>
              <w:t xml:space="preserve"> Estimate (</w:t>
            </w:r>
            <w:r>
              <w:rPr>
                <w:rFonts w:ascii="Times New Roman" w:hAnsi="Times New Roman" w:cs="Times New Roman"/>
                <w:b/>
                <w:bCs/>
              </w:rPr>
              <w:t>standard error</w:t>
            </w:r>
            <w:r w:rsidRPr="0068661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3C2B6CF" w14:textId="77777777" w:rsidR="00AA733D" w:rsidRPr="00AA733D" w:rsidRDefault="00AA733D" w:rsidP="00103688">
            <w:pPr>
              <w:rPr>
                <w:rFonts w:ascii="Times New Roman" w:hAnsi="Times New Roman" w:cs="Times New Roman"/>
                <w:b/>
                <w:bCs/>
              </w:rPr>
            </w:pPr>
            <w:r w:rsidRPr="00AA733D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AA733D" w14:paraId="5D185154" w14:textId="77777777" w:rsidTr="00103688">
        <w:tc>
          <w:tcPr>
            <w:tcW w:w="1914" w:type="dxa"/>
          </w:tcPr>
          <w:p w14:paraId="05162258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TC Ratio</w:t>
            </w:r>
          </w:p>
        </w:tc>
        <w:tc>
          <w:tcPr>
            <w:tcW w:w="1995" w:type="dxa"/>
          </w:tcPr>
          <w:p w14:paraId="3D3036A0" w14:textId="4AB58B8B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4D9C" w:rsidRP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695" w:type="dxa"/>
          </w:tcPr>
          <w:p w14:paraId="7DAC7BDA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0.2165</w:t>
            </w:r>
          </w:p>
        </w:tc>
      </w:tr>
      <w:tr w:rsidR="00AA733D" w14:paraId="61E7FABA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08F4FC87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mice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98887EE" w14:textId="1A62BF56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4D9C" w:rsidRP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5D39AD7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A725D">
              <w:rPr>
                <w:rFonts w:ascii="Times New Roman" w:eastAsia="Times New Roman" w:hAnsi="Times New Roman" w:cs="Times New Roman"/>
                <w:sz w:val="24"/>
                <w:szCs w:val="24"/>
              </w:rPr>
              <w:t>0.1655</w:t>
            </w:r>
          </w:p>
        </w:tc>
      </w:tr>
      <w:tr w:rsidR="00AA733D" w14:paraId="604E6AE1" w14:textId="77777777" w:rsidTr="00103688">
        <w:tc>
          <w:tcPr>
            <w:tcW w:w="1914" w:type="dxa"/>
          </w:tcPr>
          <w:p w14:paraId="1B8A9C7F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N pubs before date of Phase II</w:t>
            </w:r>
          </w:p>
        </w:tc>
        <w:tc>
          <w:tcPr>
            <w:tcW w:w="1995" w:type="dxa"/>
          </w:tcPr>
          <w:p w14:paraId="2FA26F55" w14:textId="224F5016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4D9C" w:rsidRP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695" w:type="dxa"/>
          </w:tcPr>
          <w:p w14:paraId="0595D664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0.9342</w:t>
            </w:r>
          </w:p>
        </w:tc>
      </w:tr>
      <w:tr w:rsidR="00AA733D" w14:paraId="3CC9067D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3B672E8D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E87A7C">
              <w:rPr>
                <w:rFonts w:ascii="Times New Roman" w:hAnsi="Times New Roman" w:cs="Times New Roman"/>
              </w:rPr>
              <w:t>Drug is approved for other cancers before Phase II?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071B7E2" w14:textId="57C01E3A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A725D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4D9C" w:rsidRP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2.148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5A818B8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0.2842</w:t>
            </w:r>
          </w:p>
        </w:tc>
      </w:tr>
      <w:tr w:rsidR="00AA733D" w14:paraId="05DFECF0" w14:textId="77777777" w:rsidTr="00103688">
        <w:tc>
          <w:tcPr>
            <w:tcW w:w="1914" w:type="dxa"/>
          </w:tcPr>
          <w:p w14:paraId="070ABEDF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Matching Type</w:t>
            </w:r>
          </w:p>
        </w:tc>
        <w:tc>
          <w:tcPr>
            <w:tcW w:w="1995" w:type="dxa"/>
          </w:tcPr>
          <w:p w14:paraId="42491786" w14:textId="005486CB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4.759</w:t>
            </w:r>
            <w:r w:rsidR="0019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4D9C" w:rsidRP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3.009</w:t>
            </w:r>
            <w:r w:rsidR="004C4D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09185776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  <w:r w:rsidRPr="00FB4C12">
              <w:rPr>
                <w:rFonts w:ascii="Times New Roman" w:eastAsia="Times New Roman" w:hAnsi="Times New Roman" w:cs="Times New Roman"/>
                <w:sz w:val="24"/>
                <w:szCs w:val="24"/>
              </w:rPr>
              <w:t>0.1137</w:t>
            </w:r>
          </w:p>
        </w:tc>
      </w:tr>
      <w:tr w:rsidR="00AA733D" w14:paraId="768E0D78" w14:textId="77777777" w:rsidTr="00AA733D">
        <w:tc>
          <w:tcPr>
            <w:tcW w:w="1914" w:type="dxa"/>
            <w:shd w:val="clear" w:color="auto" w:fill="D9D9D9" w:themeFill="background1" w:themeFillShade="D9"/>
          </w:tcPr>
          <w:p w14:paraId="7A9166F6" w14:textId="77777777" w:rsidR="00AA733D" w:rsidRDefault="00AA733D" w:rsidP="00103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14:paraId="3727D8EA" w14:textId="77777777" w:rsidR="00AA733D" w:rsidRPr="00FB4C12" w:rsidRDefault="00AA733D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EB95211" w14:textId="77777777" w:rsidR="00AA733D" w:rsidRPr="00FB4C12" w:rsidRDefault="00AA733D" w:rsidP="00103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42A7B6BF" w14:textId="77777777" w:rsidR="008C0379" w:rsidRPr="008C0379" w:rsidRDefault="008C0379">
      <w:pPr>
        <w:rPr>
          <w:rFonts w:ascii="Times New Roman" w:hAnsi="Times New Roman" w:cs="Times New Roman"/>
        </w:rPr>
      </w:pPr>
    </w:p>
    <w:p w14:paraId="5D2CAB90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4B5955E8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1620C9A4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0DE168C2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14C06DEC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4D3244B1" w14:textId="77777777" w:rsidR="006F3D33" w:rsidRDefault="006F3D33" w:rsidP="00503DA1">
      <w:pPr>
        <w:rPr>
          <w:rFonts w:ascii="Times New Roman" w:hAnsi="Times New Roman" w:cs="Times New Roman"/>
          <w:b/>
          <w:bCs/>
        </w:rPr>
      </w:pPr>
    </w:p>
    <w:p w14:paraId="2E760E51" w14:textId="77777777" w:rsidR="006F3D33" w:rsidRDefault="006F3D33" w:rsidP="006F3D33">
      <w:pPr>
        <w:rPr>
          <w:rFonts w:ascii="Times New Roman" w:hAnsi="Times New Roman" w:cs="Times New Roman"/>
          <w:b/>
          <w:bCs/>
        </w:rPr>
      </w:pPr>
    </w:p>
    <w:p w14:paraId="3C2A9B9C" w14:textId="77777777" w:rsidR="006F3D33" w:rsidRDefault="006F3D33" w:rsidP="006F3D33">
      <w:pPr>
        <w:rPr>
          <w:rFonts w:ascii="Times New Roman" w:hAnsi="Times New Roman" w:cs="Times New Roman"/>
          <w:b/>
          <w:bCs/>
        </w:rPr>
      </w:pPr>
    </w:p>
    <w:p w14:paraId="2F8EA658" w14:textId="77777777" w:rsidR="006F3D33" w:rsidRDefault="006F3D33" w:rsidP="006F3D33">
      <w:pPr>
        <w:rPr>
          <w:rFonts w:ascii="Times New Roman" w:hAnsi="Times New Roman" w:cs="Times New Roman"/>
          <w:b/>
          <w:bCs/>
        </w:rPr>
      </w:pPr>
    </w:p>
    <w:p w14:paraId="4EB9DD95" w14:textId="77777777" w:rsidR="006F3D33" w:rsidRDefault="006F3D33" w:rsidP="006F3D33">
      <w:pPr>
        <w:rPr>
          <w:rFonts w:ascii="Times New Roman" w:hAnsi="Times New Roman" w:cs="Times New Roman"/>
          <w:b/>
          <w:bCs/>
        </w:rPr>
      </w:pPr>
    </w:p>
    <w:p w14:paraId="2AED853A" w14:textId="0E903E7C" w:rsidR="006F3D33" w:rsidRPr="008E27F3" w:rsidRDefault="006F3D33" w:rsidP="006F3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Figure 1: </w:t>
      </w:r>
      <w:r>
        <w:rPr>
          <w:rFonts w:ascii="Times New Roman" w:hAnsi="Times New Roman" w:cs="Times New Roman"/>
        </w:rPr>
        <w:t xml:space="preserve">Patient characteristics correlate with ORR in phase II clinical trials. There is a significant positive correlation between ORR and the percent of patients in the phase II study with female sex </w:t>
      </w:r>
      <w:r>
        <w:rPr>
          <w:rFonts w:ascii="Times New Roman" w:hAnsi="Times New Roman" w:cs="Times New Roman"/>
          <w:b/>
          <w:bCs/>
        </w:rPr>
        <w:t xml:space="preserve">(1A), </w:t>
      </w:r>
      <w:r>
        <w:rPr>
          <w:rFonts w:ascii="Times New Roman" w:hAnsi="Times New Roman" w:cs="Times New Roman"/>
        </w:rPr>
        <w:t xml:space="preserve">Asian ethnicity </w:t>
      </w:r>
      <w:r>
        <w:rPr>
          <w:rFonts w:ascii="Times New Roman" w:hAnsi="Times New Roman" w:cs="Times New Roman"/>
          <w:b/>
          <w:bCs/>
        </w:rPr>
        <w:t>(1B)</w:t>
      </w:r>
      <w:r>
        <w:rPr>
          <w:rFonts w:ascii="Times New Roman" w:hAnsi="Times New Roman" w:cs="Times New Roman"/>
        </w:rPr>
        <w:t xml:space="preserve">, and adenocarcinoma </w:t>
      </w:r>
      <w:r>
        <w:rPr>
          <w:rFonts w:ascii="Times New Roman" w:hAnsi="Times New Roman" w:cs="Times New Roman"/>
          <w:b/>
          <w:bCs/>
        </w:rPr>
        <w:t>(1C)</w:t>
      </w:r>
      <w:r>
        <w:rPr>
          <w:rFonts w:ascii="Times New Roman" w:hAnsi="Times New Roman" w:cs="Times New Roman"/>
        </w:rPr>
        <w:t xml:space="preserve">. There is a significant negative correlation between ORR and the percent of patients in the phase II study with white ethnicity </w:t>
      </w:r>
      <w:r>
        <w:rPr>
          <w:rFonts w:ascii="Times New Roman" w:hAnsi="Times New Roman" w:cs="Times New Roman"/>
          <w:b/>
          <w:bCs/>
        </w:rPr>
        <w:t>(1D)</w:t>
      </w:r>
      <w:r>
        <w:rPr>
          <w:rFonts w:ascii="Times New Roman" w:hAnsi="Times New Roman" w:cs="Times New Roman"/>
        </w:rPr>
        <w:t xml:space="preserve">, squamous histology </w:t>
      </w:r>
      <w:r>
        <w:rPr>
          <w:rFonts w:ascii="Times New Roman" w:hAnsi="Times New Roman" w:cs="Times New Roman"/>
          <w:b/>
          <w:bCs/>
        </w:rPr>
        <w:t>(1E)</w:t>
      </w:r>
      <w:r>
        <w:rPr>
          <w:rFonts w:ascii="Times New Roman" w:hAnsi="Times New Roman" w:cs="Times New Roman"/>
        </w:rPr>
        <w:t xml:space="preserve">, and a history of smoking </w:t>
      </w:r>
      <w:r>
        <w:rPr>
          <w:rFonts w:ascii="Times New Roman" w:hAnsi="Times New Roman" w:cs="Times New Roman"/>
          <w:b/>
          <w:bCs/>
        </w:rPr>
        <w:t>(1F)</w:t>
      </w:r>
      <w:r>
        <w:rPr>
          <w:rFonts w:ascii="Times New Roman" w:hAnsi="Times New Roman" w:cs="Times New Roman"/>
        </w:rPr>
        <w:t xml:space="preserve">. </w:t>
      </w:r>
    </w:p>
    <w:p w14:paraId="27F041BC" w14:textId="77777777" w:rsidR="00503DA1" w:rsidRDefault="00503DA1" w:rsidP="00503DA1">
      <w:r>
        <w:rPr>
          <w:rFonts w:ascii="Times New Roman" w:hAnsi="Times New Roman" w:cs="Times New Roman"/>
          <w:b/>
          <w:bCs/>
        </w:rPr>
        <w:t xml:space="preserve"> </w:t>
      </w:r>
      <w:r>
        <w:object w:dxaOrig="6235" w:dyaOrig="4644" w14:anchorId="1D3BB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69pt" o:ole="">
            <v:imagedata r:id="rId6" o:title=""/>
          </v:shape>
          <o:OLEObject Type="Embed" ProgID="Prism7.Document" ShapeID="_x0000_i1025" DrawAspect="Content" ObjectID="_1657002360" r:id="rId7"/>
        </w:object>
      </w:r>
      <w:r>
        <w:object w:dxaOrig="6005" w:dyaOrig="4673" w14:anchorId="1768E2C5">
          <v:shape id="_x0000_i1026" type="#_x0000_t75" style="width:229.5pt;height:179pt" o:ole="">
            <v:imagedata r:id="rId8" o:title=""/>
          </v:shape>
          <o:OLEObject Type="Embed" ProgID="Prism7.Document" ShapeID="_x0000_i1026" DrawAspect="Content" ObjectID="_1657002361" r:id="rId9"/>
        </w:object>
      </w:r>
      <w:r>
        <w:object w:dxaOrig="6005" w:dyaOrig="4615" w14:anchorId="2DD04B67">
          <v:shape id="_x0000_i1027" type="#_x0000_t75" style="width:224.5pt;height:172.5pt" o:ole="">
            <v:imagedata r:id="rId10" o:title=""/>
          </v:shape>
          <o:OLEObject Type="Embed" ProgID="Prism7.Document" ShapeID="_x0000_i1027" DrawAspect="Content" ObjectID="_1657002362" r:id="rId11"/>
        </w:object>
      </w:r>
      <w:r>
        <w:object w:dxaOrig="6710" w:dyaOrig="4673" w14:anchorId="2AE96BDC">
          <v:shape id="_x0000_i1028" type="#_x0000_t75" style="width:251.5pt;height:175.5pt" o:ole="">
            <v:imagedata r:id="rId12" o:title=""/>
          </v:shape>
          <o:OLEObject Type="Embed" ProgID="Prism7.Document" ShapeID="_x0000_i1028" DrawAspect="Content" ObjectID="_1657002363" r:id="rId13"/>
        </w:object>
      </w:r>
    </w:p>
    <w:p w14:paraId="47168491" w14:textId="77777777" w:rsidR="00503DA1" w:rsidRDefault="00503DA1" w:rsidP="00503DA1">
      <w:r>
        <w:object w:dxaOrig="6005" w:dyaOrig="4687" w14:anchorId="57DBAEA9">
          <v:shape id="_x0000_i1029" type="#_x0000_t75" style="width:232.5pt;height:181.5pt" o:ole="">
            <v:imagedata r:id="rId14" o:title=""/>
          </v:shape>
          <o:OLEObject Type="Embed" ProgID="Prism7.Document" ShapeID="_x0000_i1029" DrawAspect="Content" ObjectID="_1657002364" r:id="rId15"/>
        </w:object>
      </w:r>
      <w:r>
        <w:object w:dxaOrig="6005" w:dyaOrig="4730" w14:anchorId="21C87E23">
          <v:shape id="_x0000_i1030" type="#_x0000_t75" style="width:233.5pt;height:183pt" o:ole="">
            <v:imagedata r:id="rId16" o:title=""/>
          </v:shape>
          <o:OLEObject Type="Embed" ProgID="Prism7.Document" ShapeID="_x0000_i1030" DrawAspect="Content" ObjectID="_1657002365" r:id="rId17"/>
        </w:object>
      </w:r>
    </w:p>
    <w:p w14:paraId="45E87C27" w14:textId="77777777" w:rsidR="00503DA1" w:rsidRPr="00A678F8" w:rsidRDefault="00503DA1" w:rsidP="00503DA1">
      <w:pPr>
        <w:rPr>
          <w:rFonts w:ascii="Times New Roman" w:hAnsi="Times New Roman" w:cs="Times New Roman"/>
        </w:rPr>
      </w:pPr>
    </w:p>
    <w:p w14:paraId="097079AA" w14:textId="7C3D99A9" w:rsidR="007A6700" w:rsidRPr="003529C4" w:rsidRDefault="007A6700" w:rsidP="007A6700">
      <w:pPr>
        <w:rPr>
          <w:rFonts w:ascii="Times New Roman" w:hAnsi="Times New Roman" w:cs="Times New Roman"/>
          <w:b/>
          <w:bCs/>
        </w:rPr>
      </w:pPr>
    </w:p>
    <w:sectPr w:rsidR="007A6700" w:rsidRPr="003529C4" w:rsidSect="00693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5D6E"/>
    <w:multiLevelType w:val="hybridMultilevel"/>
    <w:tmpl w:val="50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89"/>
    <w:rsid w:val="000542D2"/>
    <w:rsid w:val="00083155"/>
    <w:rsid w:val="00093C9C"/>
    <w:rsid w:val="000A188F"/>
    <w:rsid w:val="000F3EDC"/>
    <w:rsid w:val="00103688"/>
    <w:rsid w:val="00140179"/>
    <w:rsid w:val="001447A2"/>
    <w:rsid w:val="00162C3B"/>
    <w:rsid w:val="00166DA0"/>
    <w:rsid w:val="00167A63"/>
    <w:rsid w:val="00172F18"/>
    <w:rsid w:val="001850F1"/>
    <w:rsid w:val="00190190"/>
    <w:rsid w:val="001923DA"/>
    <w:rsid w:val="001E6058"/>
    <w:rsid w:val="001F1CC6"/>
    <w:rsid w:val="001F59EF"/>
    <w:rsid w:val="00234051"/>
    <w:rsid w:val="002A4BFB"/>
    <w:rsid w:val="003D6EC3"/>
    <w:rsid w:val="003E1487"/>
    <w:rsid w:val="00440536"/>
    <w:rsid w:val="00441ED2"/>
    <w:rsid w:val="00462116"/>
    <w:rsid w:val="004960A0"/>
    <w:rsid w:val="004C4D9C"/>
    <w:rsid w:val="00503DA1"/>
    <w:rsid w:val="00504EA0"/>
    <w:rsid w:val="00510F51"/>
    <w:rsid w:val="0051666D"/>
    <w:rsid w:val="0053599D"/>
    <w:rsid w:val="00575659"/>
    <w:rsid w:val="005861D8"/>
    <w:rsid w:val="005E5C95"/>
    <w:rsid w:val="00601464"/>
    <w:rsid w:val="00642775"/>
    <w:rsid w:val="00651C27"/>
    <w:rsid w:val="00651CDA"/>
    <w:rsid w:val="00693190"/>
    <w:rsid w:val="006A4415"/>
    <w:rsid w:val="006B707A"/>
    <w:rsid w:val="006E3E79"/>
    <w:rsid w:val="006F3D33"/>
    <w:rsid w:val="0070085E"/>
    <w:rsid w:val="00732552"/>
    <w:rsid w:val="0075458A"/>
    <w:rsid w:val="007A6700"/>
    <w:rsid w:val="007D7D57"/>
    <w:rsid w:val="008235F9"/>
    <w:rsid w:val="0085189C"/>
    <w:rsid w:val="008671E5"/>
    <w:rsid w:val="00885B64"/>
    <w:rsid w:val="008C0379"/>
    <w:rsid w:val="00921CCC"/>
    <w:rsid w:val="00926D1C"/>
    <w:rsid w:val="00930C35"/>
    <w:rsid w:val="00947856"/>
    <w:rsid w:val="0097117A"/>
    <w:rsid w:val="009A289F"/>
    <w:rsid w:val="00A85868"/>
    <w:rsid w:val="00A95710"/>
    <w:rsid w:val="00AA733D"/>
    <w:rsid w:val="00AB6608"/>
    <w:rsid w:val="00AF1FCD"/>
    <w:rsid w:val="00B03BCA"/>
    <w:rsid w:val="00B247FD"/>
    <w:rsid w:val="00B43652"/>
    <w:rsid w:val="00B537AF"/>
    <w:rsid w:val="00BB0C80"/>
    <w:rsid w:val="00C47C3F"/>
    <w:rsid w:val="00C6053E"/>
    <w:rsid w:val="00C60C78"/>
    <w:rsid w:val="00C86E0B"/>
    <w:rsid w:val="00C94FDA"/>
    <w:rsid w:val="00CE0C92"/>
    <w:rsid w:val="00D600A5"/>
    <w:rsid w:val="00DA2B6F"/>
    <w:rsid w:val="00DA6B0A"/>
    <w:rsid w:val="00DD6F26"/>
    <w:rsid w:val="00E11768"/>
    <w:rsid w:val="00E1524C"/>
    <w:rsid w:val="00E20B89"/>
    <w:rsid w:val="00E270A0"/>
    <w:rsid w:val="00E371D9"/>
    <w:rsid w:val="00E96BAB"/>
    <w:rsid w:val="00EA0A30"/>
    <w:rsid w:val="00EE4D35"/>
    <w:rsid w:val="00F06AE5"/>
    <w:rsid w:val="00F101C3"/>
    <w:rsid w:val="00F412EB"/>
    <w:rsid w:val="00F57B31"/>
    <w:rsid w:val="00F6076F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E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9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9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6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MaggsRy4321@gmail.com</cp:lastModifiedBy>
  <cp:revision>2</cp:revision>
  <dcterms:created xsi:type="dcterms:W3CDTF">2020-07-23T13:39:00Z</dcterms:created>
  <dcterms:modified xsi:type="dcterms:W3CDTF">2020-07-23T13:39:00Z</dcterms:modified>
</cp:coreProperties>
</file>