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4905DE78" w:rsidR="00994A3D" w:rsidRPr="00EC2597" w:rsidRDefault="00654E8F" w:rsidP="00EC2597">
      <w:pPr>
        <w:pStyle w:val="Heading1"/>
      </w:pPr>
      <w:r w:rsidRPr="00994A3D">
        <w:t>Supplementary Figures and Tables</w:t>
      </w:r>
    </w:p>
    <w:p w14:paraId="7B65BC41" w14:textId="09938E37" w:rsidR="00DE23E8" w:rsidRDefault="00EC2597" w:rsidP="00804F1A">
      <w:pPr>
        <w:keepNext/>
        <w:jc w:val="both"/>
      </w:pPr>
      <w:r>
        <w:rPr>
          <w:b/>
        </w:rPr>
        <w:t>Supplementary</w:t>
      </w:r>
      <w:r>
        <w:rPr>
          <w:b/>
          <w:spacing w:val="-12"/>
        </w:rPr>
        <w:t xml:space="preserve"> </w:t>
      </w:r>
      <w:r>
        <w:rPr>
          <w:b/>
        </w:rPr>
        <w:t>Figure</w:t>
      </w:r>
      <w:r>
        <w:rPr>
          <w:b/>
          <w:spacing w:val="-8"/>
        </w:rPr>
        <w:t xml:space="preserve"> </w:t>
      </w:r>
      <w:r w:rsidR="00904538">
        <w:rPr>
          <w:b/>
          <w:spacing w:val="-8"/>
        </w:rPr>
        <w:t>S</w:t>
      </w:r>
      <w:r>
        <w:rPr>
          <w:b/>
        </w:rPr>
        <w:t>1.</w:t>
      </w:r>
      <w:r>
        <w:rPr>
          <w:b/>
          <w:spacing w:val="-9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Linnaeus</w:t>
      </w:r>
      <w:r>
        <w:rPr>
          <w:spacing w:val="-9"/>
        </w:rPr>
        <w:t xml:space="preserve"> </w:t>
      </w:r>
      <w:r>
        <w:t>Microbial</w:t>
      </w:r>
      <w:r>
        <w:rPr>
          <w:spacing w:val="-6"/>
        </w:rPr>
        <w:t xml:space="preserve"> </w:t>
      </w:r>
      <w:r>
        <w:t>Observatory</w:t>
      </w:r>
      <w:r>
        <w:rPr>
          <w:spacing w:val="-12"/>
        </w:rPr>
        <w:t xml:space="preserve"> </w:t>
      </w:r>
      <w:r>
        <w:t>(LMO)</w:t>
      </w:r>
      <w:r>
        <w:rPr>
          <w:spacing w:val="-5"/>
        </w:rPr>
        <w:t xml:space="preserve"> </w:t>
      </w:r>
      <w:r>
        <w:t>time-series</w:t>
      </w:r>
      <w:r>
        <w:rPr>
          <w:spacing w:val="-9"/>
        </w:rPr>
        <w:t xml:space="preserve"> </w:t>
      </w:r>
      <w:r>
        <w:t>station (Coordinates:</w:t>
      </w:r>
      <w:r>
        <w:rPr>
          <w:spacing w:val="-9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56°,</w:t>
      </w:r>
      <w:r>
        <w:rPr>
          <w:spacing w:val="-7"/>
        </w:rPr>
        <w:t xml:space="preserve"> </w:t>
      </w:r>
      <w:r>
        <w:t>55.8540',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17°,</w:t>
      </w:r>
      <w:r>
        <w:rPr>
          <w:spacing w:val="-7"/>
        </w:rPr>
        <w:t xml:space="preserve"> </w:t>
      </w:r>
      <w:r>
        <w:t>3.6420')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Baltic</w:t>
      </w:r>
      <w:r>
        <w:rPr>
          <w:spacing w:val="-11"/>
        </w:rPr>
        <w:t xml:space="preserve"> </w:t>
      </w:r>
      <w:r>
        <w:t>Sea.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station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located</w:t>
      </w:r>
      <w:r>
        <w:rPr>
          <w:spacing w:val="-10"/>
        </w:rPr>
        <w:t xml:space="preserve"> </w:t>
      </w:r>
      <w:r>
        <w:t>~10</w:t>
      </w:r>
      <w:r>
        <w:rPr>
          <w:spacing w:val="-10"/>
        </w:rPr>
        <w:t xml:space="preserve"> </w:t>
      </w:r>
      <w:r>
        <w:t>km</w:t>
      </w:r>
      <w:r>
        <w:rPr>
          <w:spacing w:val="-9"/>
        </w:rPr>
        <w:t xml:space="preserve"> </w:t>
      </w:r>
      <w:r>
        <w:t>offshore from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 w:rsidR="00C7502D">
        <w:t>e</w:t>
      </w:r>
      <w:r>
        <w:t>ast</w:t>
      </w:r>
      <w:r w:rsidR="00C7502D">
        <w:t xml:space="preserve"> c</w:t>
      </w:r>
      <w:r>
        <w:t>oast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Öland</w:t>
      </w:r>
      <w:proofErr w:type="spellEnd"/>
      <w:r>
        <w:rPr>
          <w:spacing w:val="-15"/>
        </w:rPr>
        <w:t xml:space="preserve"> </w:t>
      </w:r>
      <w:r>
        <w:t>(Sweden).</w:t>
      </w:r>
      <w:r>
        <w:rPr>
          <w:spacing w:val="-1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color</w:t>
      </w:r>
      <w:r>
        <w:rPr>
          <w:spacing w:val="-19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t>depicts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sea</w:t>
      </w:r>
      <w:r>
        <w:rPr>
          <w:spacing w:val="-12"/>
        </w:rPr>
        <w:t xml:space="preserve"> </w:t>
      </w:r>
      <w:r>
        <w:t>surface</w:t>
      </w:r>
      <w:r>
        <w:rPr>
          <w:spacing w:val="-12"/>
        </w:rPr>
        <w:t xml:space="preserve"> </w:t>
      </w:r>
      <w:r>
        <w:t>temperature</w:t>
      </w:r>
      <w:r>
        <w:rPr>
          <w:spacing w:val="-16"/>
        </w:rPr>
        <w:t xml:space="preserve"> </w:t>
      </w:r>
      <w:r>
        <w:t>(SST)</w:t>
      </w:r>
      <w:r>
        <w:rPr>
          <w:spacing w:val="-14"/>
        </w:rPr>
        <w:t xml:space="preserve"> </w:t>
      </w:r>
      <w:r>
        <w:t xml:space="preserve">from Multi-scale Ultra-high Resolution (MUR) satellite measurements </w:t>
      </w:r>
      <w:r w:rsidR="00C7502D">
        <w:t xml:space="preserve">that were </w:t>
      </w:r>
      <w:r>
        <w:t>obtained from the National Oceanic and Atmospheric Administration (NOAA) ERDDAP during the time of sampling on February 16</w:t>
      </w:r>
      <w:r w:rsidR="00804F1A">
        <w:t>th</w:t>
      </w:r>
      <w:r>
        <w:t>, 2016.</w:t>
      </w:r>
    </w:p>
    <w:p w14:paraId="580B04FE" w14:textId="677061DF" w:rsidR="00EC2597" w:rsidRDefault="00EC2597" w:rsidP="00804F1A">
      <w:pPr>
        <w:keepNext/>
        <w:jc w:val="both"/>
      </w:pPr>
      <w:r w:rsidRPr="00E72F7E">
        <w:rPr>
          <w:b/>
        </w:rPr>
        <w:t xml:space="preserve">Supplementary Figure </w:t>
      </w:r>
      <w:r w:rsidR="00904538">
        <w:rPr>
          <w:b/>
        </w:rPr>
        <w:t>S</w:t>
      </w:r>
      <w:r w:rsidRPr="00E72F7E">
        <w:rPr>
          <w:b/>
        </w:rPr>
        <w:t xml:space="preserve">2. </w:t>
      </w:r>
      <w:r w:rsidRPr="00E72F7E">
        <w:t xml:space="preserve">Enzymatic activity (EEA) measurements </w:t>
      </w:r>
      <w:r w:rsidRPr="00E72F7E">
        <w:rPr>
          <w:spacing w:val="-3"/>
        </w:rPr>
        <w:t xml:space="preserve">of </w:t>
      </w:r>
      <w:r w:rsidRPr="00E72F7E">
        <w:t xml:space="preserve">four different </w:t>
      </w:r>
      <w:r w:rsidR="00451FB6">
        <w:t>substrate analogues</w:t>
      </w:r>
      <w:r w:rsidRPr="00E72F7E">
        <w:t>.</w:t>
      </w:r>
      <w:r w:rsidRPr="00E72F7E">
        <w:rPr>
          <w:spacing w:val="57"/>
        </w:rPr>
        <w:t xml:space="preserve"> </w:t>
      </w:r>
      <w:r w:rsidRPr="00E72F7E">
        <w:t>Panel</w:t>
      </w:r>
      <w:r w:rsidR="001F7B7C">
        <w:t>s</w:t>
      </w:r>
      <w:r w:rsidRPr="00E72F7E">
        <w:t xml:space="preserve"> </w:t>
      </w:r>
      <w:r w:rsidRPr="00E72F7E">
        <w:rPr>
          <w:b/>
        </w:rPr>
        <w:t>(A</w:t>
      </w:r>
      <w:r w:rsidR="001F7B7C">
        <w:rPr>
          <w:b/>
        </w:rPr>
        <w:t>-D</w:t>
      </w:r>
      <w:r w:rsidRPr="00E72F7E">
        <w:rPr>
          <w:b/>
        </w:rPr>
        <w:t xml:space="preserve">) </w:t>
      </w:r>
      <w:r w:rsidRPr="00E72F7E">
        <w:t>show the mean hydrolysis rate of tested enzymes of biological replicates. Panel</w:t>
      </w:r>
      <w:r w:rsidR="001F7B7C">
        <w:t>s</w:t>
      </w:r>
      <w:r w:rsidRPr="00E72F7E">
        <w:t xml:space="preserve"> </w:t>
      </w:r>
      <w:r w:rsidRPr="00E72F7E">
        <w:rPr>
          <w:b/>
        </w:rPr>
        <w:t>(</w:t>
      </w:r>
      <w:r w:rsidR="001F7B7C">
        <w:rPr>
          <w:b/>
        </w:rPr>
        <w:t>E-H</w:t>
      </w:r>
      <w:r w:rsidRPr="00E72F7E">
        <w:rPr>
          <w:b/>
        </w:rPr>
        <w:t xml:space="preserve">) </w:t>
      </w:r>
      <w:r w:rsidRPr="00E72F7E">
        <w:t xml:space="preserve">depicting normalized hydrolysis rates per cell. Abbreviation of </w:t>
      </w:r>
      <w:r w:rsidR="00451FB6">
        <w:t>substrate analogues</w:t>
      </w:r>
      <w:r w:rsidRPr="00E72F7E">
        <w:t xml:space="preserve">: </w:t>
      </w:r>
      <w:proofErr w:type="spellStart"/>
      <w:r w:rsidRPr="00E72F7E">
        <w:t>AGase</w:t>
      </w:r>
      <w:proofErr w:type="spellEnd"/>
      <w:r w:rsidRPr="00E72F7E">
        <w:t xml:space="preserve">, </w:t>
      </w:r>
      <w:r w:rsidRPr="00E72F7E">
        <w:rPr>
          <w:rFonts w:ascii="Cambria Math" w:eastAsia="Cambria Math" w:hAnsi="Cambria Math" w:cs="Cambria Math"/>
        </w:rPr>
        <w:t>𝛼</w:t>
      </w:r>
      <w:r w:rsidRPr="00E72F7E">
        <w:t>-glucosidase</w:t>
      </w:r>
      <w:r w:rsidR="001F7B7C">
        <w:t xml:space="preserve"> (</w:t>
      </w:r>
      <w:r w:rsidR="001F7B7C" w:rsidRPr="002743F9">
        <w:rPr>
          <w:b/>
        </w:rPr>
        <w:t>A</w:t>
      </w:r>
      <w:r w:rsidR="001F7B7C">
        <w:t xml:space="preserve"> and </w:t>
      </w:r>
      <w:r w:rsidR="001F7B7C" w:rsidRPr="002743F9">
        <w:rPr>
          <w:b/>
        </w:rPr>
        <w:t>E</w:t>
      </w:r>
      <w:r w:rsidR="001F7B7C">
        <w:t>)</w:t>
      </w:r>
      <w:r w:rsidRPr="00E72F7E">
        <w:t xml:space="preserve">; </w:t>
      </w:r>
      <w:proofErr w:type="spellStart"/>
      <w:r w:rsidRPr="00E72F7E">
        <w:t>BGase</w:t>
      </w:r>
      <w:proofErr w:type="spellEnd"/>
      <w:r w:rsidRPr="00E72F7E">
        <w:t xml:space="preserve">, </w:t>
      </w:r>
      <w:r w:rsidRPr="00E72F7E">
        <w:rPr>
          <w:rFonts w:ascii="Cambria Math" w:eastAsia="Cambria Math" w:hAnsi="Cambria Math" w:cs="Cambria Math"/>
        </w:rPr>
        <w:t>𝛽</w:t>
      </w:r>
      <w:r w:rsidRPr="00E72F7E">
        <w:t>-glucosidase</w:t>
      </w:r>
      <w:r w:rsidR="001F7B7C">
        <w:t xml:space="preserve"> (</w:t>
      </w:r>
      <w:r w:rsidR="001F7B7C" w:rsidRPr="002743F9">
        <w:rPr>
          <w:b/>
        </w:rPr>
        <w:t>B</w:t>
      </w:r>
      <w:r w:rsidR="001F7B7C">
        <w:t xml:space="preserve"> and </w:t>
      </w:r>
      <w:r w:rsidR="001F7B7C" w:rsidRPr="002743F9">
        <w:rPr>
          <w:b/>
        </w:rPr>
        <w:t>F</w:t>
      </w:r>
      <w:r w:rsidR="001F7B7C">
        <w:t>)</w:t>
      </w:r>
      <w:r w:rsidRPr="00E72F7E">
        <w:t xml:space="preserve">; </w:t>
      </w:r>
      <w:proofErr w:type="spellStart"/>
      <w:r w:rsidRPr="00E72F7E">
        <w:t>LAPase</w:t>
      </w:r>
      <w:proofErr w:type="spellEnd"/>
      <w:r w:rsidRPr="00E72F7E">
        <w:t>, leucine aminopeptidase</w:t>
      </w:r>
      <w:r w:rsidR="001F7B7C">
        <w:t xml:space="preserve"> (</w:t>
      </w:r>
      <w:r w:rsidR="001F7B7C" w:rsidRPr="002743F9">
        <w:rPr>
          <w:b/>
        </w:rPr>
        <w:t>C</w:t>
      </w:r>
      <w:r w:rsidR="001F7B7C">
        <w:t xml:space="preserve"> and </w:t>
      </w:r>
      <w:r w:rsidR="001F7B7C" w:rsidRPr="002743F9">
        <w:rPr>
          <w:b/>
        </w:rPr>
        <w:t>G</w:t>
      </w:r>
      <w:r w:rsidR="001F7B7C">
        <w:t>)</w:t>
      </w:r>
      <w:r w:rsidRPr="00E72F7E">
        <w:t xml:space="preserve">; </w:t>
      </w:r>
      <w:proofErr w:type="spellStart"/>
      <w:r w:rsidRPr="00E72F7E">
        <w:t>APase</w:t>
      </w:r>
      <w:proofErr w:type="spellEnd"/>
      <w:r w:rsidRPr="00E72F7E">
        <w:t>, alkaline phosphatase</w:t>
      </w:r>
      <w:r w:rsidR="001F7B7C">
        <w:t xml:space="preserve"> (</w:t>
      </w:r>
      <w:r w:rsidR="001F7B7C" w:rsidRPr="002743F9">
        <w:rPr>
          <w:b/>
        </w:rPr>
        <w:t>D</w:t>
      </w:r>
      <w:r w:rsidR="001F7B7C">
        <w:t xml:space="preserve"> and </w:t>
      </w:r>
      <w:r w:rsidR="001F7B7C" w:rsidRPr="002743F9">
        <w:rPr>
          <w:b/>
        </w:rPr>
        <w:t>H</w:t>
      </w:r>
      <w:r w:rsidR="001F7B7C">
        <w:t>)</w:t>
      </w:r>
      <w:r w:rsidRPr="00E72F7E">
        <w:t>. Abbreviation</w:t>
      </w:r>
      <w:r w:rsidR="002743F9">
        <w:t>s</w:t>
      </w:r>
      <w:r w:rsidRPr="00E72F7E">
        <w:t xml:space="preserve"> of treatments: </w:t>
      </w:r>
      <w:proofErr w:type="spellStart"/>
      <w:r w:rsidRPr="00E72F7E">
        <w:t>monoCH</w:t>
      </w:r>
      <w:proofErr w:type="spellEnd"/>
      <w:r w:rsidRPr="00E72F7E">
        <w:t xml:space="preserve">, monosaccharide mix (n = 3); </w:t>
      </w:r>
      <w:proofErr w:type="spellStart"/>
      <w:r w:rsidRPr="00E72F7E">
        <w:t>polyCH</w:t>
      </w:r>
      <w:proofErr w:type="spellEnd"/>
      <w:r w:rsidRPr="00E72F7E">
        <w:t xml:space="preserve">, polysaccharide mix (n = 3); </w:t>
      </w:r>
      <w:proofErr w:type="spellStart"/>
      <w:r w:rsidRPr="00E72F7E">
        <w:t>monoNUC</w:t>
      </w:r>
      <w:proofErr w:type="spellEnd"/>
      <w:r w:rsidRPr="00E72F7E">
        <w:t xml:space="preserve">, nucleotide mix (n = 3); </w:t>
      </w:r>
      <w:proofErr w:type="spellStart"/>
      <w:r w:rsidRPr="00E72F7E">
        <w:t>polyNUC</w:t>
      </w:r>
      <w:proofErr w:type="spellEnd"/>
      <w:r w:rsidRPr="00E72F7E">
        <w:t xml:space="preserve">, DNA (n = 3); </w:t>
      </w:r>
      <w:proofErr w:type="spellStart"/>
      <w:r w:rsidRPr="00E72F7E">
        <w:t>contOne</w:t>
      </w:r>
      <w:proofErr w:type="spellEnd"/>
      <w:r w:rsidRPr="00E72F7E">
        <w:t xml:space="preserve">, untreated seawater from experiment 1 (n = 3); </w:t>
      </w:r>
      <w:proofErr w:type="spellStart"/>
      <w:r w:rsidRPr="00E72F7E">
        <w:t>monoPR</w:t>
      </w:r>
      <w:proofErr w:type="spellEnd"/>
      <w:r w:rsidRPr="00E72F7E">
        <w:t xml:space="preserve">, amino acid mix (n = 3); </w:t>
      </w:r>
      <w:proofErr w:type="spellStart"/>
      <w:r w:rsidRPr="00E72F7E">
        <w:t>polyPR</w:t>
      </w:r>
      <w:proofErr w:type="spellEnd"/>
      <w:r w:rsidRPr="00E72F7E">
        <w:t xml:space="preserve">, polypeptides (n = 3); and </w:t>
      </w:r>
      <w:proofErr w:type="spellStart"/>
      <w:r w:rsidRPr="00E72F7E">
        <w:t>contTwo</w:t>
      </w:r>
      <w:proofErr w:type="spellEnd"/>
      <w:r w:rsidRPr="00E72F7E">
        <w:t xml:space="preserve">, untreated seawater from experiment 2 (n = 3); </w:t>
      </w:r>
      <w:proofErr w:type="spellStart"/>
      <w:r w:rsidRPr="00E72F7E">
        <w:t>Cbx</w:t>
      </w:r>
      <w:proofErr w:type="spellEnd"/>
      <w:r w:rsidRPr="00E72F7E">
        <w:t>, carboxylic acids (n = 3).</w:t>
      </w:r>
    </w:p>
    <w:p w14:paraId="065258F2" w14:textId="2CC87F45" w:rsidR="00EC2597" w:rsidRDefault="00EC2597" w:rsidP="00804F1A">
      <w:pPr>
        <w:keepNext/>
        <w:jc w:val="both"/>
      </w:pPr>
      <w:r w:rsidRPr="00E72F7E">
        <w:rPr>
          <w:b/>
        </w:rPr>
        <w:t xml:space="preserve">Supplementary Figure </w:t>
      </w:r>
      <w:r w:rsidR="00904538">
        <w:rPr>
          <w:b/>
        </w:rPr>
        <w:t>S</w:t>
      </w:r>
      <w:r w:rsidRPr="00E72F7E">
        <w:rPr>
          <w:b/>
        </w:rPr>
        <w:t xml:space="preserve">3. </w:t>
      </w:r>
      <w:r w:rsidRPr="00E72F7E">
        <w:t>Bacterial production (BP) of the nutrient enrichment experiments. Panel</w:t>
      </w:r>
      <w:r w:rsidR="001F7B7C">
        <w:t>s</w:t>
      </w:r>
      <w:r w:rsidRPr="00E72F7E">
        <w:t xml:space="preserve"> </w:t>
      </w:r>
      <w:r w:rsidR="004E10B6">
        <w:t>(</w:t>
      </w:r>
      <w:r w:rsidRPr="00E72F7E">
        <w:rPr>
          <w:b/>
        </w:rPr>
        <w:t>A</w:t>
      </w:r>
      <w:r w:rsidR="001F7B7C">
        <w:rPr>
          <w:b/>
        </w:rPr>
        <w:t xml:space="preserve"> </w:t>
      </w:r>
      <w:r w:rsidR="001F7B7C" w:rsidRPr="002743F9">
        <w:t>and</w:t>
      </w:r>
      <w:r w:rsidR="001F7B7C">
        <w:rPr>
          <w:b/>
        </w:rPr>
        <w:t xml:space="preserve"> B</w:t>
      </w:r>
      <w:r w:rsidR="004E10B6" w:rsidRPr="004E10B6">
        <w:t>)</w:t>
      </w:r>
      <w:r w:rsidRPr="00E72F7E">
        <w:rPr>
          <w:b/>
        </w:rPr>
        <w:t xml:space="preserve"> </w:t>
      </w:r>
      <w:r w:rsidRPr="00E72F7E">
        <w:t xml:space="preserve">show the bacterial production of the </w:t>
      </w:r>
      <w:r w:rsidR="00BC4B25">
        <w:t>total c</w:t>
      </w:r>
      <w:r w:rsidRPr="00E72F7E">
        <w:t xml:space="preserve">ommunity, </w:t>
      </w:r>
      <w:r w:rsidR="00804F1A">
        <w:t>(</w:t>
      </w:r>
      <w:r w:rsidR="001F7B7C">
        <w:rPr>
          <w:b/>
        </w:rPr>
        <w:t xml:space="preserve">C </w:t>
      </w:r>
      <w:r w:rsidR="001F7B7C" w:rsidRPr="002743F9">
        <w:t>and</w:t>
      </w:r>
      <w:r w:rsidR="001F7B7C">
        <w:rPr>
          <w:b/>
        </w:rPr>
        <w:t xml:space="preserve"> D</w:t>
      </w:r>
      <w:r w:rsidR="00804F1A" w:rsidRPr="004E10B6">
        <w:t>)</w:t>
      </w:r>
      <w:r w:rsidRPr="00E72F7E">
        <w:rPr>
          <w:b/>
        </w:rPr>
        <w:t xml:space="preserve"> </w:t>
      </w:r>
      <w:r w:rsidR="002743F9">
        <w:t xml:space="preserve">show </w:t>
      </w:r>
      <w:r w:rsidRPr="00E72F7E">
        <w:t xml:space="preserve">the </w:t>
      </w:r>
      <w:r w:rsidR="00907B0D">
        <w:t xml:space="preserve">mean </w:t>
      </w:r>
      <w:r w:rsidRPr="00E72F7E">
        <w:t xml:space="preserve">bacterial production normalized per cell. Abbreviations of treatments: </w:t>
      </w:r>
      <w:proofErr w:type="spellStart"/>
      <w:r w:rsidRPr="00E72F7E">
        <w:t>monoCH</w:t>
      </w:r>
      <w:proofErr w:type="spellEnd"/>
      <w:r w:rsidRPr="00E72F7E">
        <w:t xml:space="preserve">, monosaccharide mix (n = 3); </w:t>
      </w:r>
      <w:proofErr w:type="spellStart"/>
      <w:r w:rsidRPr="00E72F7E">
        <w:t>polyCH</w:t>
      </w:r>
      <w:proofErr w:type="spellEnd"/>
      <w:r w:rsidRPr="00E72F7E">
        <w:t xml:space="preserve">, polysaccharide mix (n = 3); </w:t>
      </w:r>
      <w:proofErr w:type="spellStart"/>
      <w:r w:rsidRPr="00E72F7E">
        <w:t>monoNUC</w:t>
      </w:r>
      <w:proofErr w:type="spellEnd"/>
      <w:r w:rsidRPr="00E72F7E">
        <w:t xml:space="preserve">, nucleotide mix (n = 3); </w:t>
      </w:r>
      <w:proofErr w:type="spellStart"/>
      <w:r w:rsidRPr="00E72F7E">
        <w:t>polyNUC</w:t>
      </w:r>
      <w:proofErr w:type="spellEnd"/>
      <w:r w:rsidRPr="00E72F7E">
        <w:t xml:space="preserve">, DNA (n = 3); </w:t>
      </w:r>
      <w:proofErr w:type="spellStart"/>
      <w:r w:rsidRPr="00E72F7E">
        <w:t>contOne</w:t>
      </w:r>
      <w:proofErr w:type="spellEnd"/>
      <w:r w:rsidRPr="00E72F7E">
        <w:t>, untreated</w:t>
      </w:r>
      <w:r w:rsidRPr="00E72F7E">
        <w:rPr>
          <w:spacing w:val="-5"/>
        </w:rPr>
        <w:t xml:space="preserve"> </w:t>
      </w:r>
      <w:r w:rsidRPr="00E72F7E">
        <w:t>seawater</w:t>
      </w:r>
      <w:r w:rsidRPr="00E72F7E">
        <w:rPr>
          <w:spacing w:val="-3"/>
        </w:rPr>
        <w:t xml:space="preserve"> </w:t>
      </w:r>
      <w:r w:rsidRPr="00E72F7E">
        <w:t>from</w:t>
      </w:r>
      <w:r w:rsidRPr="00E72F7E">
        <w:rPr>
          <w:spacing w:val="-4"/>
        </w:rPr>
        <w:t xml:space="preserve"> </w:t>
      </w:r>
      <w:r w:rsidRPr="00E72F7E">
        <w:t>experiment</w:t>
      </w:r>
      <w:r w:rsidRPr="00E72F7E">
        <w:rPr>
          <w:spacing w:val="-9"/>
        </w:rPr>
        <w:t xml:space="preserve"> </w:t>
      </w:r>
      <w:r w:rsidRPr="00E72F7E">
        <w:t>1</w:t>
      </w:r>
      <w:r w:rsidRPr="00E72F7E">
        <w:rPr>
          <w:spacing w:val="-5"/>
        </w:rPr>
        <w:t xml:space="preserve"> </w:t>
      </w:r>
      <w:r w:rsidRPr="00E72F7E">
        <w:t>(n</w:t>
      </w:r>
      <w:r w:rsidRPr="00E72F7E">
        <w:rPr>
          <w:spacing w:val="-10"/>
        </w:rPr>
        <w:t xml:space="preserve"> </w:t>
      </w:r>
      <w:r w:rsidRPr="00E72F7E">
        <w:t>=</w:t>
      </w:r>
      <w:r w:rsidRPr="00E72F7E">
        <w:rPr>
          <w:spacing w:val="-6"/>
        </w:rPr>
        <w:t xml:space="preserve"> </w:t>
      </w:r>
      <w:r w:rsidRPr="00E72F7E">
        <w:t>3);</w:t>
      </w:r>
      <w:r w:rsidRPr="00E72F7E">
        <w:rPr>
          <w:spacing w:val="-9"/>
        </w:rPr>
        <w:t xml:space="preserve"> </w:t>
      </w:r>
      <w:proofErr w:type="spellStart"/>
      <w:r w:rsidRPr="00E72F7E">
        <w:t>monoPR</w:t>
      </w:r>
      <w:proofErr w:type="spellEnd"/>
      <w:r w:rsidRPr="00E72F7E">
        <w:t>,</w:t>
      </w:r>
      <w:r w:rsidRPr="00E72F7E">
        <w:rPr>
          <w:spacing w:val="-2"/>
        </w:rPr>
        <w:t xml:space="preserve"> </w:t>
      </w:r>
      <w:r w:rsidRPr="00E72F7E">
        <w:t>amino</w:t>
      </w:r>
      <w:r w:rsidRPr="00E72F7E">
        <w:rPr>
          <w:spacing w:val="-5"/>
        </w:rPr>
        <w:t xml:space="preserve"> </w:t>
      </w:r>
      <w:r w:rsidRPr="00E72F7E">
        <w:t>acid</w:t>
      </w:r>
      <w:r w:rsidRPr="00E72F7E">
        <w:rPr>
          <w:spacing w:val="-5"/>
        </w:rPr>
        <w:t xml:space="preserve"> </w:t>
      </w:r>
      <w:r w:rsidRPr="00E72F7E">
        <w:t>mix</w:t>
      </w:r>
      <w:r w:rsidRPr="00E72F7E">
        <w:rPr>
          <w:spacing w:val="-10"/>
        </w:rPr>
        <w:t xml:space="preserve"> </w:t>
      </w:r>
      <w:r w:rsidRPr="00E72F7E">
        <w:t>(n</w:t>
      </w:r>
      <w:r w:rsidRPr="00E72F7E">
        <w:rPr>
          <w:spacing w:val="-5"/>
        </w:rPr>
        <w:t xml:space="preserve"> </w:t>
      </w:r>
      <w:r w:rsidRPr="00E72F7E">
        <w:t>=</w:t>
      </w:r>
      <w:r w:rsidRPr="00E72F7E">
        <w:rPr>
          <w:spacing w:val="-11"/>
        </w:rPr>
        <w:t xml:space="preserve"> </w:t>
      </w:r>
      <w:r w:rsidRPr="00E72F7E">
        <w:t>3);</w:t>
      </w:r>
      <w:r w:rsidRPr="00E72F7E">
        <w:rPr>
          <w:spacing w:val="-4"/>
        </w:rPr>
        <w:t xml:space="preserve"> </w:t>
      </w:r>
      <w:proofErr w:type="spellStart"/>
      <w:r w:rsidRPr="00E72F7E">
        <w:t>polyPR</w:t>
      </w:r>
      <w:proofErr w:type="spellEnd"/>
      <w:r w:rsidRPr="00E72F7E">
        <w:t>,</w:t>
      </w:r>
      <w:r w:rsidRPr="00E72F7E">
        <w:rPr>
          <w:spacing w:val="-2"/>
        </w:rPr>
        <w:t xml:space="preserve"> </w:t>
      </w:r>
      <w:r w:rsidRPr="00E72F7E">
        <w:t xml:space="preserve">polypeptides (n = 3); </w:t>
      </w:r>
      <w:proofErr w:type="spellStart"/>
      <w:r w:rsidRPr="00E72F7E">
        <w:t>contTwo</w:t>
      </w:r>
      <w:proofErr w:type="spellEnd"/>
      <w:r w:rsidRPr="00E72F7E">
        <w:t xml:space="preserve">, untreated seawater from experiment 2 (n = 3); </w:t>
      </w:r>
      <w:proofErr w:type="spellStart"/>
      <w:r w:rsidRPr="00E72F7E">
        <w:t>Cbx</w:t>
      </w:r>
      <w:proofErr w:type="spellEnd"/>
      <w:r w:rsidRPr="00E72F7E">
        <w:t xml:space="preserve">, carboxylic acids (n = 3). </w:t>
      </w:r>
      <w:r w:rsidR="00BC4B25">
        <w:t xml:space="preserve">Panels </w:t>
      </w:r>
      <w:r w:rsidR="00804F1A">
        <w:t>(</w:t>
      </w:r>
      <w:r w:rsidR="00BC4B25" w:rsidRPr="002743F9">
        <w:rPr>
          <w:b/>
        </w:rPr>
        <w:t>A</w:t>
      </w:r>
      <w:r w:rsidR="004E10B6">
        <w:rPr>
          <w:b/>
        </w:rPr>
        <w:t xml:space="preserve"> </w:t>
      </w:r>
      <w:r w:rsidR="00BC4B25">
        <w:t xml:space="preserve">and </w:t>
      </w:r>
      <w:r w:rsidR="00BC4B25" w:rsidRPr="002743F9">
        <w:rPr>
          <w:b/>
        </w:rPr>
        <w:t>C</w:t>
      </w:r>
      <w:r w:rsidR="00804F1A" w:rsidRPr="004E10B6">
        <w:t>)</w:t>
      </w:r>
      <w:r w:rsidR="00BC4B25">
        <w:t xml:space="preserve"> </w:t>
      </w:r>
      <w:r w:rsidRPr="00E72F7E">
        <w:t>show</w:t>
      </w:r>
      <w:r w:rsidRPr="00E72F7E">
        <w:rPr>
          <w:spacing w:val="-9"/>
        </w:rPr>
        <w:t xml:space="preserve"> </w:t>
      </w:r>
      <w:r w:rsidRPr="00E72F7E">
        <w:t>the</w:t>
      </w:r>
      <w:r w:rsidRPr="00E72F7E">
        <w:rPr>
          <w:spacing w:val="-10"/>
        </w:rPr>
        <w:t xml:space="preserve"> </w:t>
      </w:r>
      <w:r w:rsidRPr="00E72F7E">
        <w:t>measurements</w:t>
      </w:r>
      <w:r w:rsidRPr="00E72F7E">
        <w:rPr>
          <w:spacing w:val="-11"/>
        </w:rPr>
        <w:t xml:space="preserve"> </w:t>
      </w:r>
      <w:r w:rsidRPr="00E72F7E">
        <w:t>from</w:t>
      </w:r>
      <w:r w:rsidRPr="00E72F7E">
        <w:rPr>
          <w:spacing w:val="-8"/>
        </w:rPr>
        <w:t xml:space="preserve"> </w:t>
      </w:r>
      <w:r w:rsidRPr="00E72F7E">
        <w:t>experiment</w:t>
      </w:r>
      <w:r w:rsidRPr="00E72F7E">
        <w:rPr>
          <w:spacing w:val="-8"/>
        </w:rPr>
        <w:t xml:space="preserve"> </w:t>
      </w:r>
      <w:r w:rsidRPr="00E72F7E">
        <w:t>1</w:t>
      </w:r>
      <w:r w:rsidRPr="00E72F7E">
        <w:rPr>
          <w:spacing w:val="-9"/>
        </w:rPr>
        <w:t xml:space="preserve"> </w:t>
      </w:r>
      <w:r w:rsidRPr="00E72F7E">
        <w:t>(E1)</w:t>
      </w:r>
      <w:r w:rsidR="00BC4B25">
        <w:t xml:space="preserve">, whereas </w:t>
      </w:r>
      <w:r w:rsidR="00804F1A">
        <w:t>(</w:t>
      </w:r>
      <w:r w:rsidR="00BC4B25" w:rsidRPr="002743F9">
        <w:rPr>
          <w:b/>
          <w:spacing w:val="-9"/>
        </w:rPr>
        <w:t>B</w:t>
      </w:r>
      <w:r w:rsidR="00BC4B25">
        <w:rPr>
          <w:spacing w:val="-9"/>
        </w:rPr>
        <w:t xml:space="preserve"> and </w:t>
      </w:r>
      <w:r w:rsidR="00BC4B25" w:rsidRPr="002743F9">
        <w:rPr>
          <w:b/>
          <w:spacing w:val="-9"/>
        </w:rPr>
        <w:t>D</w:t>
      </w:r>
      <w:r w:rsidR="00804F1A" w:rsidRPr="004E10B6">
        <w:rPr>
          <w:spacing w:val="-9"/>
        </w:rPr>
        <w:t>)</w:t>
      </w:r>
      <w:r w:rsidR="002743F9">
        <w:rPr>
          <w:b/>
          <w:spacing w:val="-9"/>
        </w:rPr>
        <w:t xml:space="preserve"> </w:t>
      </w:r>
      <w:r w:rsidR="002743F9" w:rsidRPr="002743F9">
        <w:rPr>
          <w:spacing w:val="-9"/>
        </w:rPr>
        <w:t>from</w:t>
      </w:r>
      <w:r w:rsidR="00BC4B25">
        <w:rPr>
          <w:spacing w:val="-9"/>
        </w:rPr>
        <w:t xml:space="preserve"> </w:t>
      </w:r>
      <w:r w:rsidRPr="00E72F7E">
        <w:t>experiment</w:t>
      </w:r>
      <w:r w:rsidRPr="00E72F7E">
        <w:rPr>
          <w:spacing w:val="-8"/>
        </w:rPr>
        <w:t xml:space="preserve"> </w:t>
      </w:r>
      <w:r w:rsidRPr="00E72F7E">
        <w:t>2</w:t>
      </w:r>
      <w:r w:rsidRPr="00E72F7E">
        <w:rPr>
          <w:spacing w:val="-13"/>
        </w:rPr>
        <w:t xml:space="preserve"> </w:t>
      </w:r>
      <w:r w:rsidRPr="00E72F7E">
        <w:t>(E2).</w:t>
      </w:r>
    </w:p>
    <w:p w14:paraId="0F020012" w14:textId="49C01E9E" w:rsidR="00EC2597" w:rsidRDefault="00EC2597" w:rsidP="00804F1A">
      <w:pPr>
        <w:keepNext/>
        <w:jc w:val="both"/>
      </w:pPr>
      <w:r w:rsidRPr="00EC2597">
        <w:rPr>
          <w:b/>
        </w:rPr>
        <w:t xml:space="preserve">Supplementary Figure </w:t>
      </w:r>
      <w:r w:rsidR="00904538">
        <w:rPr>
          <w:b/>
        </w:rPr>
        <w:t>S</w:t>
      </w:r>
      <w:r w:rsidRPr="00EC2597">
        <w:rPr>
          <w:b/>
        </w:rPr>
        <w:t>4</w:t>
      </w:r>
      <w:r w:rsidRPr="003D5B30">
        <w:rPr>
          <w:b/>
        </w:rPr>
        <w:t>.</w:t>
      </w:r>
      <w:r w:rsidRPr="00E72F7E">
        <w:t xml:space="preserve"> Overview of the “functional signature” of compound classes and condensation states divided into core and non-core. Shown are relative abundances and numbers of genes, with significantly higher relative abundances in treatments relative to controls, grouped into </w:t>
      </w:r>
      <w:proofErr w:type="spellStart"/>
      <w:r w:rsidRPr="00E72F7E">
        <w:t>CAZymes</w:t>
      </w:r>
      <w:proofErr w:type="spellEnd"/>
      <w:r w:rsidRPr="00E72F7E">
        <w:t>, peptidases (EC 3.4 and 6.3), transferases (EC 2.1 - 2.10), and transporters. Relative abundances are denoted as the mean of normalized counts per million (</w:t>
      </w:r>
      <w:proofErr w:type="spellStart"/>
      <w:r w:rsidRPr="00E72F7E">
        <w:t>cpm</w:t>
      </w:r>
      <w:proofErr w:type="spellEnd"/>
      <w:r w:rsidRPr="00E72F7E">
        <w:t xml:space="preserve"> x 10</w:t>
      </w:r>
      <w:r w:rsidRPr="004549A2">
        <w:rPr>
          <w:vertAlign w:val="superscript"/>
        </w:rPr>
        <w:t>4</w:t>
      </w:r>
      <w:r w:rsidRPr="00E72F7E">
        <w:t>) of biological replicates</w:t>
      </w:r>
      <w:r w:rsidR="008C5996">
        <w:t xml:space="preserve"> (all treatments n = 3, except </w:t>
      </w:r>
      <w:proofErr w:type="spellStart"/>
      <w:r w:rsidR="008C5996">
        <w:t>polyPR</w:t>
      </w:r>
      <w:proofErr w:type="spellEnd"/>
      <w:r w:rsidR="008C5996">
        <w:t xml:space="preserve"> n = 2)</w:t>
      </w:r>
      <w:r w:rsidRPr="00E72F7E">
        <w:t>. The numbers on top of the bars depict the number of genes found in each group. Abbreviation of compound classes: CH, carbohydrates; NUC, nucleic acid; PR, proteins. Abbreviation of condensation states: mono, monomers; poly, polymers. Core, shared response in monomers and polymers for a given compound class; non-core, responses specific to a certain treatment excluding the core fraction.</w:t>
      </w:r>
    </w:p>
    <w:p w14:paraId="49802111" w14:textId="178D4EEC" w:rsidR="00EC2597" w:rsidRDefault="00EC2597" w:rsidP="00804F1A">
      <w:pPr>
        <w:keepNext/>
        <w:jc w:val="both"/>
      </w:pPr>
      <w:r w:rsidRPr="00EC2597">
        <w:rPr>
          <w:b/>
        </w:rPr>
        <w:t xml:space="preserve">Supplementary Figure </w:t>
      </w:r>
      <w:r w:rsidR="00904538">
        <w:rPr>
          <w:b/>
        </w:rPr>
        <w:t>S</w:t>
      </w:r>
      <w:r w:rsidRPr="00EC2597">
        <w:rPr>
          <w:b/>
        </w:rPr>
        <w:t>5</w:t>
      </w:r>
      <w:r w:rsidRPr="003D5B30">
        <w:rPr>
          <w:b/>
        </w:rPr>
        <w:t>.</w:t>
      </w:r>
      <w:r w:rsidRPr="00E72F7E">
        <w:t xml:space="preserve"> Detailed information of the “functional signature” of compound classes and condensation states showing </w:t>
      </w:r>
      <w:proofErr w:type="spellStart"/>
      <w:r w:rsidRPr="00E72F7E">
        <w:t>CAZyme</w:t>
      </w:r>
      <w:proofErr w:type="spellEnd"/>
      <w:r w:rsidRPr="00E72F7E">
        <w:t xml:space="preserve"> classes (EC numbers associated with glycoside hydrolases, glycosyltransferases, carbohydrate </w:t>
      </w:r>
      <w:proofErr w:type="spellStart"/>
      <w:r w:rsidRPr="00E72F7E">
        <w:t>esterases</w:t>
      </w:r>
      <w:proofErr w:type="spellEnd"/>
      <w:r w:rsidRPr="00E72F7E">
        <w:t xml:space="preserve">, polysaccharide lyases, auxiliary activities, carbohydrate- binding-modules), peptidases (EC 3.4 and 6.3), transferases (EC 2.1 - 2.10), and transporter families. </w:t>
      </w:r>
      <w:r w:rsidR="008C5996">
        <w:t>Depicted are mean r</w:t>
      </w:r>
      <w:r w:rsidRPr="00E72F7E">
        <w:t>elative abundance</w:t>
      </w:r>
      <w:r w:rsidR="008C5996">
        <w:t>s</w:t>
      </w:r>
      <w:r w:rsidRPr="00E72F7E">
        <w:t xml:space="preserve"> of selected genes based on a false discovery rate (FDR) of 5% </w:t>
      </w:r>
      <w:r w:rsidRPr="00E72F7E">
        <w:lastRenderedPageBreak/>
        <w:t>relative to controls</w:t>
      </w:r>
      <w:r w:rsidR="008C5996">
        <w:t xml:space="preserve"> (all treatments n = 3, except </w:t>
      </w:r>
      <w:proofErr w:type="spellStart"/>
      <w:r w:rsidR="008C5996">
        <w:t>polyPR</w:t>
      </w:r>
      <w:proofErr w:type="spellEnd"/>
      <w:r w:rsidR="008C5996">
        <w:t xml:space="preserve"> n = 2)</w:t>
      </w:r>
      <w:r w:rsidRPr="00E72F7E">
        <w:t xml:space="preserve">. Abbreviation of compound classes: CH, carbohydrates; NUC, nucleic acid; PR, proteins. Abbreviation of condensation states: mono, monomers; poly, polymers. </w:t>
      </w:r>
      <w:r w:rsidR="00397CEF">
        <w:t>“</w:t>
      </w:r>
      <w:r w:rsidRPr="00E72F7E">
        <w:t>Core</w:t>
      </w:r>
      <w:r w:rsidR="00397CEF">
        <w:t xml:space="preserve">” refers to </w:t>
      </w:r>
      <w:r w:rsidRPr="00E72F7E">
        <w:t>shared response in monomers and</w:t>
      </w:r>
      <w:r>
        <w:t xml:space="preserve"> </w:t>
      </w:r>
      <w:r w:rsidRPr="00E72F7E">
        <w:t xml:space="preserve">polymers for a given compound class; </w:t>
      </w:r>
      <w:r w:rsidR="00397CEF">
        <w:t>“</w:t>
      </w:r>
      <w:r w:rsidRPr="00E72F7E">
        <w:t>non-core</w:t>
      </w:r>
      <w:r w:rsidR="00397CEF">
        <w:t xml:space="preserve">” to </w:t>
      </w:r>
      <w:r w:rsidRPr="00E72F7E">
        <w:t xml:space="preserve">responses specific to a certain treatment excluding the core fraction. Abbreviation of transporter families: CUT1 and CUT2 - Carbohydrate uptake transporter 1 and 2, respectively; POPT - Polyamine/Opine/Phosphonate Uptake Transporter; QAT - Quaternary Amine Uptake Transporter; FECT - Iron Chelate Uptake Transporter; PAAT - Polar Amino Acid Uptake Transporter; HAAT - Hydrophobic Amino Acid Uptake Transporter; PEPT - Peptide/Opine/Nickel Uptake Transporter; PHOT - Phosphate Uptake Transporter; MOLT - Molybdate Uptake Transporter; PHNT - Phosphonate Uptake Transporter; No TC - transporter associated genes without a transporter classification number (TC). Note that the total number of </w:t>
      </w:r>
      <w:proofErr w:type="spellStart"/>
      <w:r w:rsidRPr="00E72F7E">
        <w:t>CAZymes</w:t>
      </w:r>
      <w:proofErr w:type="spellEnd"/>
      <w:r w:rsidRPr="00E72F7E">
        <w:t xml:space="preserve"> is larger than shown in Supplementary Figure </w:t>
      </w:r>
      <w:r w:rsidR="008C5996">
        <w:t>S</w:t>
      </w:r>
      <w:r w:rsidRPr="00E72F7E">
        <w:t xml:space="preserve">4 due to </w:t>
      </w:r>
      <w:r w:rsidR="00397CEF">
        <w:t xml:space="preserve">the </w:t>
      </w:r>
      <w:r w:rsidRPr="00E72F7E">
        <w:t xml:space="preserve">assignment of certain enzymes into multiple </w:t>
      </w:r>
      <w:proofErr w:type="spellStart"/>
      <w:r w:rsidRPr="00E72F7E">
        <w:t>CAZyme</w:t>
      </w:r>
      <w:proofErr w:type="spellEnd"/>
      <w:r w:rsidRPr="00E72F7E">
        <w:t xml:space="preserve"> classes.</w:t>
      </w:r>
    </w:p>
    <w:p w14:paraId="02770149" w14:textId="19854676" w:rsidR="00EC2597" w:rsidRDefault="00EC2597" w:rsidP="00804F1A">
      <w:pPr>
        <w:keepNext/>
        <w:jc w:val="both"/>
      </w:pPr>
      <w:r w:rsidRPr="00EC2597">
        <w:rPr>
          <w:b/>
        </w:rPr>
        <w:t xml:space="preserve">Supplementary Figure </w:t>
      </w:r>
      <w:r w:rsidR="00904538">
        <w:rPr>
          <w:b/>
        </w:rPr>
        <w:t>S</w:t>
      </w:r>
      <w:r w:rsidRPr="00EC2597">
        <w:rPr>
          <w:b/>
        </w:rPr>
        <w:t>6</w:t>
      </w:r>
      <w:r w:rsidRPr="003D5B30">
        <w:rPr>
          <w:b/>
        </w:rPr>
        <w:t>.</w:t>
      </w:r>
      <w:r w:rsidRPr="00E72F7E">
        <w:t xml:space="preserve"> Gene-level information of “functional signatures” of compound classes and condensation states showing </w:t>
      </w:r>
      <w:proofErr w:type="spellStart"/>
      <w:r w:rsidRPr="00E72F7E">
        <w:t>CAZyme</w:t>
      </w:r>
      <w:proofErr w:type="spellEnd"/>
      <w:r w:rsidRPr="00E72F7E">
        <w:t xml:space="preserve"> classes (EC numbers associated with glycoside hydrolases, glycosyltransferases, carbohydrate </w:t>
      </w:r>
      <w:proofErr w:type="spellStart"/>
      <w:r w:rsidRPr="00E72F7E">
        <w:t>esterases</w:t>
      </w:r>
      <w:proofErr w:type="spellEnd"/>
      <w:r w:rsidRPr="00E72F7E">
        <w:t xml:space="preserve">, polysaccharide lyases, auxiliary activities, carbohydrate- binding-modules), peptidases (EC 3.4 and 6.3), transferases (EC 2.1 - 2.10), and transporters. </w:t>
      </w:r>
      <w:r w:rsidR="008C5996">
        <w:t>Depicted are mean r</w:t>
      </w:r>
      <w:r w:rsidRPr="00E72F7E">
        <w:t>elative abundance</w:t>
      </w:r>
      <w:r w:rsidR="008C5996">
        <w:t xml:space="preserve">s (all treatments n = 3, except </w:t>
      </w:r>
      <w:proofErr w:type="spellStart"/>
      <w:r w:rsidR="008C5996">
        <w:t>polyPR</w:t>
      </w:r>
      <w:proofErr w:type="spellEnd"/>
      <w:r w:rsidR="008C5996">
        <w:t xml:space="preserve"> n = 2)</w:t>
      </w:r>
      <w:r w:rsidRPr="00E72F7E">
        <w:t xml:space="preserve"> and log2 fold change of selected genes based on a false discovery rate (FDR) of 5% relative to controls. Abbreviation of compound classes: CH, carbohydrates; NUC, nucleic acid; PR, proteins. Abbreviation of condensation states: mono, monomers; poly, polymers. </w:t>
      </w:r>
      <w:r w:rsidR="00397CEF">
        <w:t>“</w:t>
      </w:r>
      <w:r w:rsidRPr="00E72F7E">
        <w:t>Core</w:t>
      </w:r>
      <w:r w:rsidR="00397CEF">
        <w:t xml:space="preserve">” refers to the </w:t>
      </w:r>
      <w:r w:rsidRPr="00E72F7E">
        <w:t xml:space="preserve">shared response in monomers and polymers for a given compound class; </w:t>
      </w:r>
      <w:r w:rsidR="00397CEF">
        <w:t>“</w:t>
      </w:r>
      <w:r w:rsidRPr="00E72F7E">
        <w:t>non-core</w:t>
      </w:r>
      <w:r w:rsidR="00397CEF">
        <w:t>”</w:t>
      </w:r>
      <w:r w:rsidRPr="00E72F7E">
        <w:t xml:space="preserve">, responses specific to a certain treatment excluding the core fraction. Abbreviation of transporter families: CUT1 and CUT2 - Carbohydrate uptake transporter 1 and 2, respectively; POPT - Polyamine/Opine/Phosphonate Uptake Transporter; QAT - Quaternary Amine Uptake Transporter; FECT - Iron Chelate Uptake Transporter; PAAT - Polar Amino Acid Uptake Transporter; HAAT - Hydrophobic Amino Acid Uptake Transporter; PEPT - Peptide/Opine/Nickel Uptake Transporter; PHOT - Phosphate Uptake Transporter; MOLT - Molybdate Uptake Transporter; PHNT - Phosphonate Uptake Transporter; No TC - transporter associated genes without a transporter classification number (TC). Note that the total number of </w:t>
      </w:r>
      <w:proofErr w:type="spellStart"/>
      <w:r w:rsidRPr="00E72F7E">
        <w:t>CAZymes</w:t>
      </w:r>
      <w:proofErr w:type="spellEnd"/>
      <w:r w:rsidRPr="00E72F7E">
        <w:t xml:space="preserve"> is larger than shown in Supplementary Figure </w:t>
      </w:r>
      <w:r w:rsidR="00804F1A">
        <w:t>S</w:t>
      </w:r>
      <w:r w:rsidRPr="00E72F7E">
        <w:t xml:space="preserve">4 due to </w:t>
      </w:r>
      <w:r w:rsidR="00397CEF">
        <w:t xml:space="preserve">the </w:t>
      </w:r>
      <w:r w:rsidRPr="00E72F7E">
        <w:t xml:space="preserve">assignment of certain enzymes into multiple </w:t>
      </w:r>
      <w:proofErr w:type="spellStart"/>
      <w:r w:rsidRPr="00E72F7E">
        <w:t>CAZyme</w:t>
      </w:r>
      <w:proofErr w:type="spellEnd"/>
      <w:r w:rsidRPr="00E72F7E">
        <w:t xml:space="preserve"> classes.</w:t>
      </w:r>
    </w:p>
    <w:p w14:paraId="4228A5E6" w14:textId="531D2F67" w:rsidR="00EC2597" w:rsidRDefault="00EC2597" w:rsidP="00EC2597">
      <w:pPr>
        <w:pStyle w:val="BodyText"/>
        <w:spacing w:before="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693"/>
        <w:gridCol w:w="3402"/>
        <w:gridCol w:w="1829"/>
      </w:tblGrid>
      <w:tr w:rsidR="00A735A6" w14:paraId="351C0815" w14:textId="77777777" w:rsidTr="00BA093C">
        <w:tc>
          <w:tcPr>
            <w:tcW w:w="976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F77A4F" w14:textId="6EBC2D39" w:rsidR="00A735A6" w:rsidRDefault="00A735A6" w:rsidP="002743F9">
            <w:pPr>
              <w:pStyle w:val="BodyText"/>
              <w:spacing w:before="120" w:after="120"/>
              <w:rPr>
                <w:b/>
              </w:rPr>
            </w:pPr>
            <w:r w:rsidRPr="00EC2597">
              <w:rPr>
                <w:b/>
              </w:rPr>
              <w:t xml:space="preserve">Supplementary Table </w:t>
            </w:r>
            <w:r w:rsidR="00904538">
              <w:rPr>
                <w:b/>
              </w:rPr>
              <w:t>S</w:t>
            </w:r>
            <w:r w:rsidRPr="00EC2597">
              <w:rPr>
                <w:b/>
              </w:rPr>
              <w:t>1</w:t>
            </w:r>
            <w:r w:rsidRPr="003D5B30">
              <w:rPr>
                <w:b/>
              </w:rPr>
              <w:t>.</w:t>
            </w:r>
            <w:r w:rsidRPr="00E72F7E">
              <w:t xml:space="preserve"> Bacterial cell counts </w:t>
            </w:r>
            <w:r>
              <w:t xml:space="preserve">(n = 2) </w:t>
            </w:r>
            <w:r w:rsidRPr="00E72F7E">
              <w:t xml:space="preserve">of unfiltered </w:t>
            </w:r>
            <w:r w:rsidRPr="004549A2">
              <w:rPr>
                <w:i/>
              </w:rPr>
              <w:t>in situ</w:t>
            </w:r>
            <w:r w:rsidRPr="00E72F7E">
              <w:t xml:space="preserve"> water and 0.6 µm pre-filtered water.</w:t>
            </w:r>
          </w:p>
        </w:tc>
      </w:tr>
      <w:tr w:rsidR="00A735A6" w14:paraId="3753F5F7" w14:textId="77777777" w:rsidTr="00A735A6"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29F9BDC" w14:textId="76368B85" w:rsidR="00A735A6" w:rsidRPr="00A735A6" w:rsidRDefault="00A735A6" w:rsidP="00A735A6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 w:rsidRPr="00A735A6">
              <w:rPr>
                <w:b/>
                <w:sz w:val="20"/>
                <w:szCs w:val="20"/>
              </w:rPr>
              <w:t>Experiment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02B4BEB" w14:textId="243828E3" w:rsidR="00A735A6" w:rsidRPr="00A735A6" w:rsidRDefault="00244F69" w:rsidP="00A735A6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A735A6" w:rsidRPr="00A735A6">
              <w:rPr>
                <w:b/>
                <w:sz w:val="20"/>
                <w:szCs w:val="20"/>
              </w:rPr>
              <w:t>ells mL</w:t>
            </w:r>
            <w:r w:rsidR="00A735A6" w:rsidRPr="002743F9">
              <w:rPr>
                <w:b/>
                <w:sz w:val="20"/>
                <w:szCs w:val="20"/>
                <w:vertAlign w:val="superscript"/>
              </w:rPr>
              <w:t>-</w:t>
            </w:r>
            <w:r w:rsidR="00A735A6" w:rsidRPr="00804F1A">
              <w:rPr>
                <w:b/>
                <w:sz w:val="20"/>
                <w:szCs w:val="20"/>
                <w:vertAlign w:val="superscript"/>
              </w:rPr>
              <w:t>1</w:t>
            </w:r>
            <w:r w:rsidR="00804F1A">
              <w:rPr>
                <w:b/>
                <w:sz w:val="20"/>
                <w:szCs w:val="20"/>
              </w:rPr>
              <w:t xml:space="preserve"> </w:t>
            </w:r>
            <w:r w:rsidR="00A735A6" w:rsidRPr="00804F1A">
              <w:rPr>
                <w:b/>
                <w:sz w:val="20"/>
                <w:szCs w:val="20"/>
              </w:rPr>
              <w:t>x</w:t>
            </w:r>
            <w:r w:rsidR="00A735A6" w:rsidRPr="00A735A6">
              <w:rPr>
                <w:b/>
                <w:sz w:val="20"/>
                <w:szCs w:val="20"/>
              </w:rPr>
              <w:t xml:space="preserve"> 10</w:t>
            </w:r>
            <w:r w:rsidR="00A735A6" w:rsidRPr="002743F9">
              <w:rPr>
                <w:b/>
                <w:sz w:val="20"/>
                <w:szCs w:val="20"/>
                <w:vertAlign w:val="superscript"/>
              </w:rPr>
              <w:t>6</w:t>
            </w:r>
            <w:r w:rsidR="00A735A6" w:rsidRPr="002743F9">
              <w:rPr>
                <w:b/>
                <w:position w:val="7"/>
                <w:sz w:val="20"/>
                <w:szCs w:val="20"/>
              </w:rPr>
              <w:t xml:space="preserve"> </w:t>
            </w:r>
            <w:r w:rsidR="00A735A6" w:rsidRPr="00A735A6">
              <w:rPr>
                <w:b/>
                <w:sz w:val="20"/>
                <w:szCs w:val="20"/>
              </w:rPr>
              <w:t>(unfiltered)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80C6018" w14:textId="76D9EE10" w:rsidR="00A735A6" w:rsidRPr="00A735A6" w:rsidRDefault="00244F69" w:rsidP="00A735A6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A735A6" w:rsidRPr="00A735A6">
              <w:rPr>
                <w:b/>
                <w:sz w:val="20"/>
                <w:szCs w:val="20"/>
              </w:rPr>
              <w:t>ells mL</w:t>
            </w:r>
            <w:r w:rsidR="00A735A6" w:rsidRPr="002743F9">
              <w:rPr>
                <w:b/>
                <w:sz w:val="20"/>
                <w:szCs w:val="20"/>
                <w:vertAlign w:val="superscript"/>
              </w:rPr>
              <w:t>-1</w:t>
            </w:r>
            <w:r w:rsidR="00A735A6" w:rsidRPr="002743F9">
              <w:rPr>
                <w:b/>
                <w:position w:val="7"/>
                <w:sz w:val="20"/>
                <w:szCs w:val="20"/>
              </w:rPr>
              <w:t xml:space="preserve"> </w:t>
            </w:r>
            <w:r w:rsidR="00A735A6" w:rsidRPr="00A735A6">
              <w:rPr>
                <w:b/>
                <w:sz w:val="20"/>
                <w:szCs w:val="20"/>
              </w:rPr>
              <w:t>x 10</w:t>
            </w:r>
            <w:r w:rsidR="00A735A6" w:rsidRPr="002743F9">
              <w:rPr>
                <w:b/>
                <w:sz w:val="20"/>
                <w:szCs w:val="20"/>
                <w:vertAlign w:val="superscript"/>
              </w:rPr>
              <w:t>6</w:t>
            </w:r>
            <w:r w:rsidR="00A735A6" w:rsidRPr="002743F9">
              <w:rPr>
                <w:b/>
                <w:position w:val="7"/>
                <w:sz w:val="20"/>
                <w:szCs w:val="20"/>
              </w:rPr>
              <w:t xml:space="preserve"> </w:t>
            </w:r>
            <w:r w:rsidR="00A735A6" w:rsidRPr="00A735A6">
              <w:rPr>
                <w:b/>
                <w:sz w:val="20"/>
                <w:szCs w:val="20"/>
              </w:rPr>
              <w:t>(0.6 µm pre-filtered)</w:t>
            </w:r>
          </w:p>
        </w:tc>
        <w:tc>
          <w:tcPr>
            <w:tcW w:w="18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DCF5DF3" w14:textId="7D767B68" w:rsidR="00A735A6" w:rsidRPr="00A735A6" w:rsidRDefault="00244F69" w:rsidP="00A735A6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A735A6" w:rsidRPr="00A735A6">
              <w:rPr>
                <w:b/>
                <w:sz w:val="20"/>
                <w:szCs w:val="20"/>
              </w:rPr>
              <w:t>emaining (%)</w:t>
            </w:r>
          </w:p>
        </w:tc>
      </w:tr>
      <w:tr w:rsidR="00A735A6" w14:paraId="4B82FDD7" w14:textId="77777777" w:rsidTr="002743F9"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F6EF03D" w14:textId="53756414" w:rsidR="00A735A6" w:rsidRDefault="00A735A6" w:rsidP="002743F9">
            <w:pPr>
              <w:pStyle w:val="BodyText"/>
              <w:spacing w:before="120" w:after="120"/>
              <w:rPr>
                <w:b/>
              </w:rPr>
            </w:pPr>
            <w:r>
              <w:rPr>
                <w:sz w:val="20"/>
              </w:rPr>
              <w:t>E1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2E030923" w14:textId="7BA8BBE3" w:rsidR="00A735A6" w:rsidRDefault="00A735A6" w:rsidP="002743F9">
            <w:pPr>
              <w:pStyle w:val="BodyText"/>
              <w:spacing w:before="120" w:after="120"/>
              <w:rPr>
                <w:b/>
              </w:rPr>
            </w:pPr>
            <w:r>
              <w:rPr>
                <w:sz w:val="20"/>
              </w:rPr>
              <w:t>0.65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4582474D" w14:textId="090244A8" w:rsidR="00A735A6" w:rsidRDefault="00A735A6" w:rsidP="002743F9">
            <w:pPr>
              <w:pStyle w:val="BodyText"/>
              <w:spacing w:before="120" w:after="120"/>
              <w:rPr>
                <w:b/>
              </w:rPr>
            </w:pPr>
            <w:r>
              <w:rPr>
                <w:sz w:val="20"/>
              </w:rPr>
              <w:t>0.53</w:t>
            </w:r>
          </w:p>
        </w:tc>
        <w:tc>
          <w:tcPr>
            <w:tcW w:w="1829" w:type="dxa"/>
            <w:tcBorders>
              <w:left w:val="nil"/>
              <w:bottom w:val="nil"/>
              <w:right w:val="nil"/>
            </w:tcBorders>
          </w:tcPr>
          <w:p w14:paraId="31F628AB" w14:textId="05610B9D" w:rsidR="00A735A6" w:rsidRDefault="00A735A6" w:rsidP="002743F9">
            <w:pPr>
              <w:pStyle w:val="BodyText"/>
              <w:spacing w:before="120" w:after="120"/>
              <w:rPr>
                <w:b/>
              </w:rPr>
            </w:pPr>
            <w:r>
              <w:rPr>
                <w:sz w:val="20"/>
              </w:rPr>
              <w:t>81.77</w:t>
            </w:r>
          </w:p>
        </w:tc>
      </w:tr>
      <w:tr w:rsidR="00A735A6" w14:paraId="14E0C18C" w14:textId="77777777" w:rsidTr="00BA093C"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50F326" w14:textId="3AF56981" w:rsidR="00A735A6" w:rsidRDefault="00A735A6" w:rsidP="002743F9">
            <w:pPr>
              <w:pStyle w:val="BodyText"/>
              <w:spacing w:before="120" w:after="120"/>
              <w:rPr>
                <w:b/>
              </w:rPr>
            </w:pPr>
            <w:r>
              <w:rPr>
                <w:sz w:val="20"/>
              </w:rPr>
              <w:t>E2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8CF509" w14:textId="5B6DCCE4" w:rsidR="00A735A6" w:rsidRDefault="00A735A6" w:rsidP="002743F9">
            <w:pPr>
              <w:pStyle w:val="BodyText"/>
              <w:spacing w:before="120" w:after="120"/>
              <w:rPr>
                <w:b/>
              </w:rPr>
            </w:pPr>
            <w:r>
              <w:rPr>
                <w:sz w:val="20"/>
              </w:rPr>
              <w:t>1.34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A13A68" w14:textId="0A654AC5" w:rsidR="00A735A6" w:rsidRDefault="00A735A6" w:rsidP="002743F9">
            <w:pPr>
              <w:pStyle w:val="BodyText"/>
              <w:spacing w:before="120" w:after="120"/>
              <w:rPr>
                <w:b/>
              </w:rPr>
            </w:pPr>
            <w:r>
              <w:rPr>
                <w:sz w:val="20"/>
              </w:rPr>
              <w:t>1.01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4A5D0E" w14:textId="0616F6DF" w:rsidR="00A735A6" w:rsidRDefault="00A735A6" w:rsidP="002743F9">
            <w:pPr>
              <w:pStyle w:val="BodyText"/>
              <w:spacing w:before="120" w:after="120"/>
              <w:rPr>
                <w:b/>
              </w:rPr>
            </w:pPr>
            <w:r>
              <w:rPr>
                <w:sz w:val="20"/>
              </w:rPr>
              <w:t>75.34</w:t>
            </w:r>
          </w:p>
        </w:tc>
      </w:tr>
      <w:tr w:rsidR="00A735A6" w14:paraId="72A171BB" w14:textId="77777777" w:rsidTr="00BA093C">
        <w:tc>
          <w:tcPr>
            <w:tcW w:w="97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61B674" w14:textId="09E8A386" w:rsidR="00A735A6" w:rsidRDefault="00A735A6" w:rsidP="00804F1A">
            <w:pPr>
              <w:pStyle w:val="BodyText"/>
              <w:spacing w:before="120" w:after="120"/>
              <w:jc w:val="both"/>
              <w:rPr>
                <w:sz w:val="20"/>
              </w:rPr>
            </w:pPr>
            <w:r w:rsidRPr="002743F9">
              <w:rPr>
                <w:sz w:val="20"/>
              </w:rPr>
              <w:t xml:space="preserve">Note: The pre-filtered fraction was used for bacterial </w:t>
            </w:r>
            <w:proofErr w:type="spellStart"/>
            <w:r w:rsidRPr="002743F9">
              <w:rPr>
                <w:sz w:val="20"/>
              </w:rPr>
              <w:t>inocula</w:t>
            </w:r>
            <w:proofErr w:type="spellEnd"/>
            <w:r w:rsidRPr="002743F9">
              <w:rPr>
                <w:sz w:val="20"/>
              </w:rPr>
              <w:t xml:space="preserve"> in </w:t>
            </w:r>
            <w:r w:rsidR="00461CCE" w:rsidRPr="002743F9">
              <w:rPr>
                <w:sz w:val="20"/>
              </w:rPr>
              <w:t>seawater culture regrowth experiments</w:t>
            </w:r>
            <w:r w:rsidRPr="002743F9">
              <w:rPr>
                <w:sz w:val="20"/>
              </w:rPr>
              <w:t>. Samples were taken on February 16</w:t>
            </w:r>
            <w:r w:rsidR="005D0ADC">
              <w:rPr>
                <w:sz w:val="20"/>
              </w:rPr>
              <w:t>th</w:t>
            </w:r>
            <w:r w:rsidRPr="002743F9">
              <w:rPr>
                <w:sz w:val="20"/>
              </w:rPr>
              <w:t xml:space="preserve"> for experiment 1 and </w:t>
            </w:r>
            <w:r w:rsidR="00397CEF">
              <w:rPr>
                <w:sz w:val="20"/>
              </w:rPr>
              <w:t xml:space="preserve">on </w:t>
            </w:r>
            <w:r w:rsidRPr="002743F9">
              <w:rPr>
                <w:sz w:val="20"/>
              </w:rPr>
              <w:t>March 31</w:t>
            </w:r>
            <w:r w:rsidR="005D0ADC">
              <w:rPr>
                <w:sz w:val="20"/>
              </w:rPr>
              <w:t>st</w:t>
            </w:r>
            <w:r w:rsidRPr="002743F9">
              <w:rPr>
                <w:sz w:val="20"/>
              </w:rPr>
              <w:t>, 2016 for experiment 2 shortly before the start of each experiment</w:t>
            </w:r>
            <w:r w:rsidR="00461CCE">
              <w:rPr>
                <w:sz w:val="20"/>
              </w:rPr>
              <w:t xml:space="preserve"> (see also </w:t>
            </w:r>
            <w:r w:rsidR="00CA2322">
              <w:rPr>
                <w:sz w:val="20"/>
              </w:rPr>
              <w:t>M</w:t>
            </w:r>
            <w:r w:rsidR="00461CCE">
              <w:rPr>
                <w:sz w:val="20"/>
              </w:rPr>
              <w:t xml:space="preserve">aterial and </w:t>
            </w:r>
            <w:r w:rsidR="00CA2322">
              <w:rPr>
                <w:sz w:val="20"/>
              </w:rPr>
              <w:t>M</w:t>
            </w:r>
            <w:r w:rsidR="00461CCE">
              <w:rPr>
                <w:sz w:val="20"/>
              </w:rPr>
              <w:t>ethods)</w:t>
            </w:r>
            <w:r w:rsidRPr="002743F9">
              <w:rPr>
                <w:sz w:val="20"/>
              </w:rPr>
              <w:t>.</w:t>
            </w:r>
          </w:p>
        </w:tc>
      </w:tr>
    </w:tbl>
    <w:p w14:paraId="59F281C5" w14:textId="5D9A0347" w:rsidR="00BA093C" w:rsidRDefault="00BA093C" w:rsidP="00EC2597">
      <w:pPr>
        <w:pStyle w:val="BodyText"/>
        <w:rPr>
          <w:b/>
        </w:rPr>
      </w:pPr>
    </w:p>
    <w:p w14:paraId="787CA5B6" w14:textId="77777777" w:rsidR="00BA093C" w:rsidRDefault="00BA093C">
      <w:pPr>
        <w:spacing w:before="0" w:after="200" w:line="276" w:lineRule="auto"/>
        <w:rPr>
          <w:rFonts w:eastAsia="Times New Roman" w:cs="Times New Roman"/>
          <w:b/>
          <w:szCs w:val="24"/>
        </w:rPr>
      </w:pPr>
      <w:r>
        <w:rPr>
          <w:b/>
        </w:rPr>
        <w:br w:type="page"/>
      </w:r>
    </w:p>
    <w:p w14:paraId="138482C9" w14:textId="77777777" w:rsidR="00A735A6" w:rsidRDefault="00A735A6" w:rsidP="00EC2597">
      <w:pPr>
        <w:pStyle w:val="BodyTex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126"/>
        <w:gridCol w:w="2551"/>
        <w:gridCol w:w="2115"/>
      </w:tblGrid>
      <w:tr w:rsidR="00D65E1B" w14:paraId="6A3CF15E" w14:textId="77777777" w:rsidTr="006D4A79">
        <w:tc>
          <w:tcPr>
            <w:tcW w:w="905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300BAE" w14:textId="37C122A2" w:rsidR="00D65E1B" w:rsidRDefault="00D65E1B" w:rsidP="00804F1A">
            <w:pPr>
              <w:spacing w:after="120"/>
              <w:jc w:val="both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b/>
              </w:rPr>
              <w:t>Supplementary Table S</w:t>
            </w:r>
            <w:r>
              <w:rPr>
                <w:rFonts w:cs="Times New Roman"/>
                <w:b/>
              </w:rPr>
              <w:t>2</w:t>
            </w:r>
            <w:r w:rsidR="003D5B30">
              <w:rPr>
                <w:rFonts w:cs="Times New Roman"/>
                <w:b/>
              </w:rPr>
              <w:t>.</w:t>
            </w:r>
            <w:r w:rsidRPr="007A11CD">
              <w:rPr>
                <w:rFonts w:cs="Times New Roman"/>
                <w:b/>
              </w:rPr>
              <w:t xml:space="preserve"> </w:t>
            </w:r>
            <w:r w:rsidRPr="007A11CD">
              <w:rPr>
                <w:rFonts w:cs="Times New Roman"/>
              </w:rPr>
              <w:t>DOC concentration</w:t>
            </w:r>
            <w:r w:rsidR="00397CEF">
              <w:rPr>
                <w:rFonts w:cs="Times New Roman"/>
              </w:rPr>
              <w:t>s</w:t>
            </w:r>
            <w:r w:rsidRPr="007A11CD">
              <w:rPr>
                <w:rFonts w:cs="Times New Roman"/>
              </w:rPr>
              <w:t xml:space="preserve"> </w:t>
            </w:r>
            <w:r w:rsidR="00397CEF">
              <w:rPr>
                <w:rFonts w:cs="Times New Roman"/>
              </w:rPr>
              <w:t xml:space="preserve">in </w:t>
            </w:r>
            <w:r>
              <w:rPr>
                <w:rFonts w:cs="Times New Roman"/>
              </w:rPr>
              <w:t xml:space="preserve">the </w:t>
            </w:r>
            <w:r w:rsidRPr="007A11CD">
              <w:rPr>
                <w:rFonts w:cs="Times New Roman"/>
              </w:rPr>
              <w:t xml:space="preserve">enrichment experiments and controls </w:t>
            </w:r>
            <w:r w:rsidR="00397CEF">
              <w:rPr>
                <w:rFonts w:cs="Times New Roman"/>
              </w:rPr>
              <w:t xml:space="preserve">were </w:t>
            </w:r>
            <w:r w:rsidRPr="007A11CD">
              <w:rPr>
                <w:rFonts w:cs="Times New Roman"/>
              </w:rPr>
              <w:t xml:space="preserve">measured immediately after </w:t>
            </w:r>
            <w:r w:rsidR="00397CEF">
              <w:rPr>
                <w:rFonts w:cs="Times New Roman"/>
              </w:rPr>
              <w:t xml:space="preserve">the </w:t>
            </w:r>
            <w:r w:rsidRPr="007A11CD">
              <w:rPr>
                <w:rFonts w:cs="Times New Roman"/>
              </w:rPr>
              <w:t>addition of compounds on day 0 for experiment</w:t>
            </w:r>
            <w:r w:rsidR="00397CEF">
              <w:rPr>
                <w:rFonts w:cs="Times New Roman"/>
              </w:rPr>
              <w:t>s</w:t>
            </w:r>
            <w:r w:rsidRPr="007A11CD">
              <w:rPr>
                <w:rFonts w:cs="Times New Roman"/>
              </w:rPr>
              <w:t xml:space="preserve"> 1 and 2.</w:t>
            </w:r>
          </w:p>
        </w:tc>
      </w:tr>
      <w:tr w:rsidR="00D65E1B" w:rsidRPr="007A11CD" w14:paraId="474E9766" w14:textId="77777777" w:rsidTr="006D4A79">
        <w:tc>
          <w:tcPr>
            <w:tcW w:w="22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F049736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b/>
                <w:sz w:val="20"/>
              </w:rPr>
              <w:t>Experiment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E29DA52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b/>
                <w:sz w:val="20"/>
              </w:rPr>
              <w:t>Compound class</w:t>
            </w:r>
            <w:r w:rsidRPr="007A11CD">
              <w:rPr>
                <w:rFonts w:cs="Times New Roman"/>
                <w:b/>
                <w:sz w:val="20"/>
              </w:rPr>
              <w:tab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6A93E41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b/>
                <w:sz w:val="20"/>
              </w:rPr>
              <w:t>Treatment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5C5FB82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b/>
                <w:sz w:val="20"/>
              </w:rPr>
              <w:t>DOC (µM) ± SD (</w:t>
            </w:r>
            <w:proofErr w:type="spellStart"/>
            <w:r w:rsidRPr="007A11CD">
              <w:rPr>
                <w:rFonts w:cs="Times New Roman"/>
                <w:b/>
                <w:sz w:val="20"/>
              </w:rPr>
              <w:t>nr</w:t>
            </w:r>
            <w:proofErr w:type="spellEnd"/>
            <w:r w:rsidRPr="007A11CD">
              <w:rPr>
                <w:rFonts w:cs="Times New Roman"/>
                <w:b/>
                <w:sz w:val="20"/>
              </w:rPr>
              <w:t>)</w:t>
            </w:r>
          </w:p>
        </w:tc>
      </w:tr>
      <w:tr w:rsidR="00D65E1B" w:rsidRPr="007A11CD" w14:paraId="2D101BE6" w14:textId="77777777" w:rsidTr="006D4A79">
        <w:trPr>
          <w:trHeight w:val="710"/>
        </w:trPr>
        <w:tc>
          <w:tcPr>
            <w:tcW w:w="2264" w:type="dxa"/>
            <w:vMerge w:val="restart"/>
            <w:tcBorders>
              <w:left w:val="nil"/>
              <w:right w:val="nil"/>
            </w:tcBorders>
          </w:tcPr>
          <w:p w14:paraId="2D12F08F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362E2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Carbohydrates (CH)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5622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Monosaccharides (</w:t>
            </w:r>
            <w:proofErr w:type="spellStart"/>
            <w:r w:rsidRPr="007A11CD">
              <w:rPr>
                <w:rFonts w:cs="Times New Roman"/>
                <w:sz w:val="20"/>
              </w:rPr>
              <w:t>monoCH</w:t>
            </w:r>
            <w:proofErr w:type="spellEnd"/>
            <w:r w:rsidRPr="007A11CD">
              <w:rPr>
                <w:rFonts w:cs="Times New Roman"/>
                <w:sz w:val="20"/>
              </w:rPr>
              <w:t>)</w:t>
            </w:r>
          </w:p>
          <w:p w14:paraId="429654FB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Polysaccharides (</w:t>
            </w:r>
            <w:proofErr w:type="spellStart"/>
            <w:r w:rsidRPr="007A11CD">
              <w:rPr>
                <w:rFonts w:cs="Times New Roman"/>
                <w:sz w:val="20"/>
              </w:rPr>
              <w:t>polyCH</w:t>
            </w:r>
            <w:proofErr w:type="spellEnd"/>
            <w:r w:rsidRPr="007A11CD">
              <w:rPr>
                <w:rFonts w:cs="Times New Roman"/>
                <w:sz w:val="20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6FA20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332 ± 2 (n = 3)</w:t>
            </w:r>
          </w:p>
          <w:p w14:paraId="69F66867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323 ± 3 (n = 3)</w:t>
            </w:r>
          </w:p>
        </w:tc>
      </w:tr>
      <w:tr w:rsidR="00D65E1B" w:rsidRPr="007A11CD" w14:paraId="5746E0E6" w14:textId="77777777" w:rsidTr="006D4A79">
        <w:trPr>
          <w:trHeight w:val="710"/>
        </w:trPr>
        <w:tc>
          <w:tcPr>
            <w:tcW w:w="2264" w:type="dxa"/>
            <w:vMerge/>
            <w:tcBorders>
              <w:left w:val="nil"/>
              <w:right w:val="nil"/>
            </w:tcBorders>
          </w:tcPr>
          <w:p w14:paraId="5E0B1048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C902B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Nucleic acids (NUC)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39EAE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Nucleotides (</w:t>
            </w:r>
            <w:proofErr w:type="spellStart"/>
            <w:r w:rsidRPr="007A11CD">
              <w:rPr>
                <w:rFonts w:cs="Times New Roman"/>
                <w:sz w:val="20"/>
              </w:rPr>
              <w:t>monoNuc</w:t>
            </w:r>
            <w:proofErr w:type="spellEnd"/>
            <w:r w:rsidRPr="007A11CD">
              <w:rPr>
                <w:rFonts w:cs="Times New Roman"/>
                <w:sz w:val="20"/>
              </w:rPr>
              <w:t>)</w:t>
            </w:r>
          </w:p>
          <w:p w14:paraId="07DB69FB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DNA (</w:t>
            </w:r>
            <w:proofErr w:type="spellStart"/>
            <w:r w:rsidRPr="007A11CD">
              <w:rPr>
                <w:rFonts w:cs="Times New Roman"/>
                <w:sz w:val="20"/>
              </w:rPr>
              <w:t>polyNUC</w:t>
            </w:r>
            <w:proofErr w:type="spellEnd"/>
            <w:r w:rsidRPr="007A11CD">
              <w:rPr>
                <w:rFonts w:cs="Times New Roman"/>
                <w:sz w:val="20"/>
              </w:rPr>
              <w:t>)</w:t>
            </w:r>
            <w:r w:rsidRPr="007A11CD">
              <w:rPr>
                <w:rFonts w:cs="Times New Roman"/>
                <w:sz w:val="20"/>
              </w:rPr>
              <w:tab/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D83D3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317 ± 3 (n = 3)</w:t>
            </w:r>
          </w:p>
          <w:p w14:paraId="7536ED9F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324 ± 2 (n = 3)</w:t>
            </w:r>
          </w:p>
        </w:tc>
      </w:tr>
      <w:tr w:rsidR="00D65E1B" w:rsidRPr="007A11CD" w14:paraId="0BE13459" w14:textId="77777777" w:rsidTr="00BA093C">
        <w:tc>
          <w:tcPr>
            <w:tcW w:w="226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52EC65F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D1D26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Control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43790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proofErr w:type="spellStart"/>
            <w:r w:rsidRPr="007A11CD">
              <w:rPr>
                <w:rFonts w:cs="Times New Roman"/>
                <w:sz w:val="20"/>
              </w:rPr>
              <w:t>ControlOne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4536D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313 ± 10 (n = 3)</w:t>
            </w:r>
          </w:p>
        </w:tc>
      </w:tr>
      <w:tr w:rsidR="00D65E1B" w:rsidRPr="007A11CD" w14:paraId="1C3C7C95" w14:textId="77777777" w:rsidTr="006D4A79">
        <w:trPr>
          <w:trHeight w:val="930"/>
        </w:trPr>
        <w:tc>
          <w:tcPr>
            <w:tcW w:w="2264" w:type="dxa"/>
            <w:vMerge w:val="restart"/>
            <w:tcBorders>
              <w:left w:val="nil"/>
              <w:right w:val="nil"/>
            </w:tcBorders>
          </w:tcPr>
          <w:p w14:paraId="59A1F334" w14:textId="77777777" w:rsidR="00D65E1B" w:rsidRPr="00D65E1B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FBE690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Protein (PR)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8DF88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Amino acids (</w:t>
            </w:r>
            <w:proofErr w:type="spellStart"/>
            <w:r w:rsidRPr="007A11CD">
              <w:rPr>
                <w:rFonts w:cs="Times New Roman"/>
                <w:sz w:val="20"/>
              </w:rPr>
              <w:t>monoPR</w:t>
            </w:r>
            <w:proofErr w:type="spellEnd"/>
            <w:r w:rsidRPr="007A11CD">
              <w:rPr>
                <w:rFonts w:cs="Times New Roman"/>
                <w:sz w:val="20"/>
              </w:rPr>
              <w:t>)</w:t>
            </w:r>
          </w:p>
          <w:p w14:paraId="3B34273E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6D4A79">
              <w:rPr>
                <w:rFonts w:cs="Times New Roman"/>
                <w:sz w:val="20"/>
              </w:rPr>
              <w:t>Bovine serum albumin (</w:t>
            </w:r>
            <w:proofErr w:type="spellStart"/>
            <w:r w:rsidRPr="006D4A79">
              <w:rPr>
                <w:rFonts w:cs="Times New Roman"/>
                <w:sz w:val="20"/>
              </w:rPr>
              <w:t>polyPR</w:t>
            </w:r>
            <w:proofErr w:type="spellEnd"/>
            <w:r w:rsidRPr="006D4A79">
              <w:rPr>
                <w:rFonts w:cs="Times New Roman"/>
                <w:sz w:val="20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25043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318 ± 2 (n = 2)</w:t>
            </w:r>
          </w:p>
          <w:p w14:paraId="515DF2E8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  <w:lang w:val="de-DE"/>
              </w:rPr>
              <w:t xml:space="preserve">322 ± 11 (n = </w:t>
            </w:r>
            <w:proofErr w:type="gramStart"/>
            <w:r w:rsidRPr="007A11CD">
              <w:rPr>
                <w:rFonts w:cs="Times New Roman"/>
                <w:sz w:val="20"/>
                <w:lang w:val="de-DE"/>
              </w:rPr>
              <w:t>3)</w:t>
            </w:r>
            <w:r>
              <w:rPr>
                <w:rFonts w:cs="Times New Roman"/>
                <w:sz w:val="20"/>
                <w:lang w:val="de-DE"/>
              </w:rPr>
              <w:t>*</w:t>
            </w:r>
            <w:proofErr w:type="gramEnd"/>
          </w:p>
        </w:tc>
      </w:tr>
      <w:tr w:rsidR="00D65E1B" w:rsidRPr="007A11CD" w14:paraId="4BEA7E1D" w14:textId="77777777" w:rsidTr="006D4A79">
        <w:tc>
          <w:tcPr>
            <w:tcW w:w="2264" w:type="dxa"/>
            <w:vMerge/>
            <w:tcBorders>
              <w:left w:val="nil"/>
              <w:right w:val="nil"/>
            </w:tcBorders>
          </w:tcPr>
          <w:p w14:paraId="578432D9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F9D0E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proofErr w:type="spellStart"/>
            <w:r w:rsidRPr="007A11CD">
              <w:rPr>
                <w:rFonts w:cs="Times New Roman"/>
                <w:sz w:val="20"/>
                <w:lang w:val="de-DE"/>
              </w:rPr>
              <w:t>Carboxylic</w:t>
            </w:r>
            <w:proofErr w:type="spellEnd"/>
            <w:r w:rsidRPr="007A11CD">
              <w:rPr>
                <w:rFonts w:cs="Times New Roman"/>
                <w:sz w:val="20"/>
                <w:lang w:val="de-DE"/>
              </w:rPr>
              <w:t xml:space="preserve"> </w:t>
            </w:r>
            <w:proofErr w:type="spellStart"/>
            <w:r w:rsidRPr="007A11CD">
              <w:rPr>
                <w:rFonts w:cs="Times New Roman"/>
                <w:sz w:val="20"/>
                <w:lang w:val="de-DE"/>
              </w:rPr>
              <w:t>acids</w:t>
            </w:r>
            <w:proofErr w:type="spellEnd"/>
            <w:r w:rsidRPr="007A11CD">
              <w:rPr>
                <w:rFonts w:cs="Times New Roman"/>
                <w:sz w:val="20"/>
                <w:lang w:val="de-DE"/>
              </w:rPr>
              <w:t xml:space="preserve"> (</w:t>
            </w:r>
            <w:proofErr w:type="spellStart"/>
            <w:r w:rsidRPr="007A11CD">
              <w:rPr>
                <w:rFonts w:cs="Times New Roman"/>
                <w:sz w:val="20"/>
                <w:lang w:val="de-DE"/>
              </w:rPr>
              <w:t>Cbx</w:t>
            </w:r>
            <w:proofErr w:type="spellEnd"/>
            <w:r w:rsidRPr="007A11CD">
              <w:rPr>
                <w:rFonts w:cs="Times New Roman"/>
                <w:sz w:val="20"/>
                <w:lang w:val="de-D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8DCFA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proofErr w:type="spellStart"/>
            <w:r w:rsidRPr="007A11CD">
              <w:rPr>
                <w:rFonts w:cs="Times New Roman"/>
                <w:sz w:val="20"/>
                <w:lang w:val="de-DE"/>
              </w:rPr>
              <w:t>Carboxylic</w:t>
            </w:r>
            <w:proofErr w:type="spellEnd"/>
            <w:r w:rsidRPr="007A11CD">
              <w:rPr>
                <w:rFonts w:cs="Times New Roman"/>
                <w:sz w:val="20"/>
                <w:lang w:val="de-DE"/>
              </w:rPr>
              <w:t xml:space="preserve"> </w:t>
            </w:r>
            <w:proofErr w:type="spellStart"/>
            <w:r w:rsidRPr="007A11CD">
              <w:rPr>
                <w:rFonts w:cs="Times New Roman"/>
                <w:sz w:val="20"/>
                <w:lang w:val="de-DE"/>
              </w:rPr>
              <w:t>acids</w:t>
            </w:r>
            <w:proofErr w:type="spellEnd"/>
            <w:r w:rsidRPr="007A11CD">
              <w:rPr>
                <w:rFonts w:cs="Times New Roman"/>
                <w:sz w:val="20"/>
                <w:lang w:val="de-DE"/>
              </w:rPr>
              <w:t xml:space="preserve"> (</w:t>
            </w:r>
            <w:proofErr w:type="spellStart"/>
            <w:r w:rsidRPr="007A11CD">
              <w:rPr>
                <w:rFonts w:cs="Times New Roman"/>
                <w:sz w:val="20"/>
                <w:lang w:val="de-DE"/>
              </w:rPr>
              <w:t>Cbx</w:t>
            </w:r>
            <w:proofErr w:type="spellEnd"/>
            <w:r w:rsidRPr="007A11CD">
              <w:rPr>
                <w:rFonts w:cs="Times New Roman"/>
                <w:sz w:val="20"/>
                <w:lang w:val="de-DE"/>
              </w:rPr>
              <w:t>)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25A2F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  <w:lang w:val="de-DE"/>
              </w:rPr>
              <w:t xml:space="preserve">303 ± 2 (n = </w:t>
            </w:r>
            <w:proofErr w:type="gramStart"/>
            <w:r w:rsidRPr="007A11CD">
              <w:rPr>
                <w:rFonts w:cs="Times New Roman"/>
                <w:sz w:val="20"/>
                <w:lang w:val="de-DE"/>
              </w:rPr>
              <w:t>3)*</w:t>
            </w:r>
            <w:proofErr w:type="gramEnd"/>
          </w:p>
        </w:tc>
      </w:tr>
      <w:tr w:rsidR="00D65E1B" w:rsidRPr="007A11CD" w14:paraId="29BDD563" w14:textId="77777777" w:rsidTr="00BA093C">
        <w:tc>
          <w:tcPr>
            <w:tcW w:w="226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DF4EB7C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7FAE2CB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Control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DB4B35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proofErr w:type="spellStart"/>
            <w:r w:rsidRPr="007A11CD">
              <w:rPr>
                <w:rFonts w:cs="Times New Roman"/>
                <w:sz w:val="20"/>
              </w:rPr>
              <w:t>ControlTwo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DE0F258" w14:textId="77777777" w:rsidR="00D65E1B" w:rsidRPr="007A11CD" w:rsidRDefault="00D65E1B" w:rsidP="006D4A79">
            <w:pPr>
              <w:spacing w:after="120"/>
              <w:rPr>
                <w:rFonts w:cs="Times New Roman"/>
                <w:sz w:val="20"/>
              </w:rPr>
            </w:pPr>
            <w:r w:rsidRPr="007A11CD">
              <w:rPr>
                <w:rFonts w:cs="Times New Roman"/>
                <w:sz w:val="20"/>
              </w:rPr>
              <w:t>309 ± 11 (n = 3)</w:t>
            </w:r>
          </w:p>
        </w:tc>
      </w:tr>
      <w:tr w:rsidR="00D65E1B" w:rsidRPr="007A11CD" w14:paraId="67BDDDCA" w14:textId="77777777" w:rsidTr="00BA093C">
        <w:tc>
          <w:tcPr>
            <w:tcW w:w="905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B01260" w14:textId="77777777" w:rsidR="00D65E1B" w:rsidRPr="007A11CD" w:rsidRDefault="00D65E1B" w:rsidP="00804F1A">
            <w:pPr>
              <w:spacing w:after="12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Values marked with asterisks should be interpreted with caution </w:t>
            </w:r>
            <w:r w:rsidRPr="007A11CD">
              <w:rPr>
                <w:rFonts w:cs="Times New Roman"/>
                <w:sz w:val="20"/>
              </w:rPr>
              <w:t xml:space="preserve">due to technical issues with the instrument </w:t>
            </w:r>
            <w:r>
              <w:rPr>
                <w:rFonts w:cs="Times New Roman"/>
                <w:sz w:val="20"/>
              </w:rPr>
              <w:t>during the analysis.</w:t>
            </w:r>
          </w:p>
        </w:tc>
      </w:tr>
    </w:tbl>
    <w:p w14:paraId="72BCB8A5" w14:textId="77777777" w:rsidR="00BA093C" w:rsidRDefault="00BA093C">
      <w:pPr>
        <w:spacing w:before="0" w:after="200" w:line="276" w:lineRule="auto"/>
        <w:rPr>
          <w:rFonts w:eastAsia="Times New Roman" w:cs="Times New Roman"/>
          <w:szCs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2212"/>
        <w:gridCol w:w="1492"/>
        <w:gridCol w:w="1164"/>
        <w:gridCol w:w="1275"/>
        <w:gridCol w:w="1077"/>
        <w:gridCol w:w="1329"/>
      </w:tblGrid>
      <w:tr w:rsidR="008A6B78" w14:paraId="23EE760F" w14:textId="77777777" w:rsidTr="00BA093C">
        <w:tc>
          <w:tcPr>
            <w:tcW w:w="977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BF21FB" w14:textId="77777777" w:rsidR="00BA093C" w:rsidRDefault="00BA093C" w:rsidP="00804F1A">
            <w:pPr>
              <w:pStyle w:val="BodyText"/>
              <w:spacing w:before="120" w:after="120"/>
              <w:jc w:val="both"/>
              <w:rPr>
                <w:b/>
              </w:rPr>
            </w:pPr>
          </w:p>
          <w:p w14:paraId="3237DB8D" w14:textId="1374B136" w:rsidR="008A6B78" w:rsidRDefault="008A6B78" w:rsidP="00804F1A">
            <w:pPr>
              <w:pStyle w:val="BodyText"/>
              <w:spacing w:before="120" w:after="120"/>
              <w:jc w:val="both"/>
            </w:pPr>
            <w:r w:rsidRPr="003E524C">
              <w:rPr>
                <w:b/>
              </w:rPr>
              <w:t xml:space="preserve">Supplementary Table </w:t>
            </w:r>
            <w:r w:rsidR="00904538">
              <w:rPr>
                <w:b/>
              </w:rPr>
              <w:t>S</w:t>
            </w:r>
            <w:r w:rsidR="00D65E1B">
              <w:rPr>
                <w:b/>
              </w:rPr>
              <w:t>3</w:t>
            </w:r>
            <w:bookmarkStart w:id="0" w:name="_GoBack"/>
            <w:r w:rsidRPr="003D5B30">
              <w:rPr>
                <w:b/>
              </w:rPr>
              <w:t>.</w:t>
            </w:r>
            <w:bookmarkEnd w:id="0"/>
            <w:r w:rsidRPr="003E524C">
              <w:t xml:space="preserve"> Mean </w:t>
            </w:r>
            <w:r w:rsidR="00F8079D">
              <w:t>and standard deviation (</w:t>
            </w:r>
            <w:r w:rsidR="00136D01">
              <w:t>±</w:t>
            </w:r>
            <w:r w:rsidR="009C4714">
              <w:t xml:space="preserve"> </w:t>
            </w:r>
            <w:r w:rsidR="00F8079D">
              <w:t xml:space="preserve">SD) </w:t>
            </w:r>
            <w:r w:rsidRPr="003E524C">
              <w:t>of raw read counts (x 10</w:t>
            </w:r>
            <w:r w:rsidRPr="003E524C">
              <w:rPr>
                <w:vertAlign w:val="superscript"/>
              </w:rPr>
              <w:t>6</w:t>
            </w:r>
            <w:r w:rsidRPr="003E524C">
              <w:t xml:space="preserve">) </w:t>
            </w:r>
            <w:r w:rsidR="00136D01">
              <w:t>for each treatment,</w:t>
            </w:r>
            <w:r w:rsidRPr="003E524C">
              <w:t xml:space="preserve"> merged paired-end reads (</w:t>
            </w:r>
            <w:r w:rsidR="00136D01">
              <w:t>A</w:t>
            </w:r>
            <w:r w:rsidRPr="003E524C">
              <w:t>ssembled), functional (</w:t>
            </w:r>
            <w:r w:rsidR="00136D01">
              <w:t>S</w:t>
            </w:r>
            <w:r w:rsidRPr="003E524C">
              <w:t>eed)</w:t>
            </w:r>
            <w:r w:rsidR="009C4714">
              <w:t>,</w:t>
            </w:r>
            <w:r w:rsidRPr="003E524C">
              <w:t xml:space="preserve"> and taxonomic annotation (</w:t>
            </w:r>
            <w:r w:rsidR="00136D01">
              <w:t>T</w:t>
            </w:r>
            <w:r w:rsidRPr="003E524C">
              <w:t>axonomy) in nutrient</w:t>
            </w:r>
            <w:r w:rsidRPr="00E72F7E">
              <w:t xml:space="preserve"> enrichments and controls.</w:t>
            </w:r>
          </w:p>
        </w:tc>
      </w:tr>
      <w:tr w:rsidR="003E524C" w14:paraId="55468B69" w14:textId="77777777" w:rsidTr="00BA093C">
        <w:tc>
          <w:tcPr>
            <w:tcW w:w="12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E33DC05" w14:textId="1EFC49B0" w:rsidR="008A6B78" w:rsidRPr="00BA093C" w:rsidRDefault="008A6B78" w:rsidP="00BA093C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 w:rsidRPr="00BA093C">
              <w:rPr>
                <w:b/>
                <w:sz w:val="20"/>
                <w:szCs w:val="20"/>
              </w:rPr>
              <w:t>Experiment</w:t>
            </w:r>
          </w:p>
        </w:tc>
        <w:tc>
          <w:tcPr>
            <w:tcW w:w="22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0A8603E" w14:textId="278FD6A9" w:rsidR="008A6B78" w:rsidRPr="00BA093C" w:rsidRDefault="008A6B78" w:rsidP="00BA093C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 w:rsidRPr="00BA093C">
              <w:rPr>
                <w:b/>
                <w:sz w:val="20"/>
                <w:szCs w:val="20"/>
              </w:rPr>
              <w:t>Compound class</w:t>
            </w:r>
          </w:p>
        </w:tc>
        <w:tc>
          <w:tcPr>
            <w:tcW w:w="14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68C52A0" w14:textId="3D73704F" w:rsidR="008A6B78" w:rsidRPr="00BA093C" w:rsidRDefault="008A6B78" w:rsidP="00BA093C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 w:rsidRPr="00BA093C">
              <w:rPr>
                <w:b/>
                <w:sz w:val="20"/>
                <w:szCs w:val="20"/>
              </w:rPr>
              <w:t>Treatment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04AC7C7" w14:textId="53C3CD36" w:rsidR="008A6B78" w:rsidRPr="00BA093C" w:rsidRDefault="004B37D2" w:rsidP="00BA093C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="008A6B78" w:rsidRPr="003E524C">
              <w:rPr>
                <w:b/>
                <w:sz w:val="20"/>
                <w:szCs w:val="20"/>
              </w:rPr>
              <w:t>aw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DED650" w14:textId="5391FC4E" w:rsidR="008A6B78" w:rsidRPr="00BA093C" w:rsidRDefault="004B37D2" w:rsidP="00BA093C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8A6B78" w:rsidRPr="003E524C">
              <w:rPr>
                <w:b/>
                <w:sz w:val="20"/>
                <w:szCs w:val="20"/>
              </w:rPr>
              <w:t>ssembled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2D09DAC" w14:textId="00B167B0" w:rsidR="008A6B78" w:rsidRPr="00BA093C" w:rsidRDefault="004B37D2" w:rsidP="00BA093C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8A6B78" w:rsidRPr="003E524C">
              <w:rPr>
                <w:b/>
                <w:sz w:val="20"/>
                <w:szCs w:val="20"/>
              </w:rPr>
              <w:t>ee</w:t>
            </w:r>
            <w:r w:rsidR="00F8079D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83D92D9" w14:textId="20E02C6B" w:rsidR="008A6B78" w:rsidRPr="00BA093C" w:rsidRDefault="004B37D2" w:rsidP="00BA093C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8A6B78" w:rsidRPr="003E524C">
              <w:rPr>
                <w:b/>
                <w:sz w:val="20"/>
                <w:szCs w:val="20"/>
              </w:rPr>
              <w:t>axonomy</w:t>
            </w:r>
          </w:p>
        </w:tc>
      </w:tr>
      <w:tr w:rsidR="003E524C" w14:paraId="2ABC8899" w14:textId="77777777" w:rsidTr="00BA093C">
        <w:tc>
          <w:tcPr>
            <w:tcW w:w="1228" w:type="dxa"/>
            <w:vMerge w:val="restart"/>
            <w:tcBorders>
              <w:left w:val="nil"/>
              <w:right w:val="nil"/>
            </w:tcBorders>
          </w:tcPr>
          <w:p w14:paraId="0DA9AED9" w14:textId="13E75DD5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BA093C">
              <w:rPr>
                <w:sz w:val="20"/>
                <w:szCs w:val="20"/>
              </w:rPr>
              <w:t>1</w:t>
            </w:r>
          </w:p>
        </w:tc>
        <w:tc>
          <w:tcPr>
            <w:tcW w:w="2212" w:type="dxa"/>
            <w:vMerge w:val="restart"/>
            <w:tcBorders>
              <w:left w:val="nil"/>
              <w:right w:val="nil"/>
            </w:tcBorders>
          </w:tcPr>
          <w:p w14:paraId="392A93AA" w14:textId="213727DC" w:rsidR="003E524C" w:rsidRPr="003E524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BA093C">
              <w:rPr>
                <w:sz w:val="20"/>
                <w:szCs w:val="20"/>
              </w:rPr>
              <w:t>Carbohydrates (CH)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</w:tcPr>
          <w:p w14:paraId="41A56564" w14:textId="2680E053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proofErr w:type="spellStart"/>
            <w:r w:rsidRPr="003E524C">
              <w:rPr>
                <w:sz w:val="20"/>
                <w:szCs w:val="20"/>
              </w:rPr>
              <w:t>monoCH</w:t>
            </w:r>
            <w:proofErr w:type="spellEnd"/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</w:tcPr>
          <w:p w14:paraId="012F8DC4" w14:textId="7F41171E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29.3 ± 2.6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185E42EA" w14:textId="71A02FDA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10.8 ± 2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7339D303" w14:textId="241814A6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2.3 ± 0.8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14:paraId="0C6114CA" w14:textId="19B2DE44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5.1 ± 1.4</w:t>
            </w:r>
          </w:p>
        </w:tc>
      </w:tr>
      <w:tr w:rsidR="00F8079D" w14:paraId="4AEF1434" w14:textId="77777777" w:rsidTr="00F8079D">
        <w:tc>
          <w:tcPr>
            <w:tcW w:w="1228" w:type="dxa"/>
            <w:vMerge/>
            <w:tcBorders>
              <w:left w:val="nil"/>
              <w:right w:val="nil"/>
            </w:tcBorders>
          </w:tcPr>
          <w:p w14:paraId="2A3A99BC" w14:textId="77777777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F47E3" w14:textId="77777777" w:rsidR="003E524C" w:rsidRPr="003E524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8851C" w14:textId="316FAD7C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proofErr w:type="spellStart"/>
            <w:r w:rsidRPr="003E524C">
              <w:rPr>
                <w:sz w:val="20"/>
                <w:szCs w:val="20"/>
              </w:rPr>
              <w:t>polyCH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74569" w14:textId="4B7D2A7B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30.8 ± 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E9680" w14:textId="00AA04B6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4.7 ± 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07FAD" w14:textId="37B21FF1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1.3 ± 0.4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EB4C9" w14:textId="1B80F4B2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2.5 ± 0.7</w:t>
            </w:r>
          </w:p>
        </w:tc>
      </w:tr>
      <w:tr w:rsidR="003E524C" w14:paraId="754455AA" w14:textId="77777777" w:rsidTr="00BA093C">
        <w:tc>
          <w:tcPr>
            <w:tcW w:w="1228" w:type="dxa"/>
            <w:vMerge/>
            <w:tcBorders>
              <w:left w:val="nil"/>
              <w:right w:val="nil"/>
            </w:tcBorders>
          </w:tcPr>
          <w:p w14:paraId="6E30FCCA" w14:textId="77777777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tcBorders>
              <w:left w:val="nil"/>
              <w:right w:val="nil"/>
            </w:tcBorders>
          </w:tcPr>
          <w:p w14:paraId="4E13951B" w14:textId="18F554CE" w:rsidR="003E524C" w:rsidRPr="003E524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3E524C">
              <w:rPr>
                <w:sz w:val="20"/>
                <w:szCs w:val="20"/>
              </w:rPr>
              <w:t>Nucleic acids (NUC)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</w:tcPr>
          <w:p w14:paraId="685EC8F7" w14:textId="7655A122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proofErr w:type="spellStart"/>
            <w:r w:rsidRPr="003E524C">
              <w:rPr>
                <w:sz w:val="20"/>
                <w:szCs w:val="20"/>
              </w:rPr>
              <w:t>monoNUC</w:t>
            </w:r>
            <w:proofErr w:type="spellEnd"/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</w:tcPr>
          <w:p w14:paraId="1750A80A" w14:textId="1BC54BC8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33.8 ± 1.8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0C4B4839" w14:textId="3442A561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12.5 ± 2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3F1E7C36" w14:textId="2A065F1D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3.9 ± 0.6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14:paraId="0F9004BA" w14:textId="0E01A28E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6.6 ± 1</w:t>
            </w:r>
          </w:p>
        </w:tc>
      </w:tr>
      <w:tr w:rsidR="003E524C" w14:paraId="1E55EBED" w14:textId="77777777" w:rsidTr="00BA093C">
        <w:tc>
          <w:tcPr>
            <w:tcW w:w="1228" w:type="dxa"/>
            <w:vMerge/>
            <w:tcBorders>
              <w:left w:val="nil"/>
              <w:right w:val="nil"/>
            </w:tcBorders>
          </w:tcPr>
          <w:p w14:paraId="07FB0E23" w14:textId="77777777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DED33E4" w14:textId="77777777" w:rsidR="003E524C" w:rsidRPr="003E524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9FA8E" w14:textId="604BFB1B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proofErr w:type="spellStart"/>
            <w:r w:rsidRPr="003E524C">
              <w:rPr>
                <w:sz w:val="20"/>
                <w:szCs w:val="20"/>
              </w:rPr>
              <w:t>polyNUC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DE903" w14:textId="654A5475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34.7 ± 0.9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0E03E" w14:textId="1DF2EFF4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14.9 ± 2.7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7A7A8" w14:textId="15ADBFEA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5.3 ± 1.4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798B1" w14:textId="62526B70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8.9 ± 1.5</w:t>
            </w:r>
          </w:p>
        </w:tc>
      </w:tr>
      <w:tr w:rsidR="003E524C" w14:paraId="7C650993" w14:textId="77777777" w:rsidTr="00BA093C">
        <w:tc>
          <w:tcPr>
            <w:tcW w:w="122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186DCDA" w14:textId="77777777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left w:val="nil"/>
              <w:bottom w:val="single" w:sz="4" w:space="0" w:color="auto"/>
              <w:right w:val="nil"/>
            </w:tcBorders>
          </w:tcPr>
          <w:p w14:paraId="63C4CD9D" w14:textId="2E98C2C2" w:rsidR="003E524C" w:rsidRPr="003E524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3E524C">
              <w:rPr>
                <w:sz w:val="20"/>
                <w:szCs w:val="20"/>
              </w:rPr>
              <w:t>Control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nil"/>
            </w:tcBorders>
          </w:tcPr>
          <w:p w14:paraId="6DD36891" w14:textId="6FECA00C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proofErr w:type="spellStart"/>
            <w:r w:rsidRPr="003E524C">
              <w:rPr>
                <w:sz w:val="20"/>
                <w:szCs w:val="20"/>
              </w:rPr>
              <w:t>contOne</w:t>
            </w:r>
            <w:proofErr w:type="spellEnd"/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</w:tcPr>
          <w:p w14:paraId="625F668E" w14:textId="7236DCCC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36 ± 3.1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00EE3460" w14:textId="0E2484E5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18.2 ± 0.1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</w:tcPr>
          <w:p w14:paraId="4D5BF1BC" w14:textId="3CBF9D0B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3.5 ± 0.2</w:t>
            </w:r>
          </w:p>
        </w:tc>
        <w:tc>
          <w:tcPr>
            <w:tcW w:w="1329" w:type="dxa"/>
            <w:tcBorders>
              <w:left w:val="nil"/>
              <w:bottom w:val="single" w:sz="4" w:space="0" w:color="auto"/>
              <w:right w:val="nil"/>
            </w:tcBorders>
          </w:tcPr>
          <w:p w14:paraId="5B558F3D" w14:textId="5F8CEF1B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6.5 ± 0.4</w:t>
            </w:r>
          </w:p>
        </w:tc>
      </w:tr>
      <w:tr w:rsidR="003E524C" w14:paraId="5FBF70E3" w14:textId="77777777" w:rsidTr="00BA093C">
        <w:tc>
          <w:tcPr>
            <w:tcW w:w="1228" w:type="dxa"/>
            <w:vMerge w:val="restart"/>
            <w:tcBorders>
              <w:left w:val="nil"/>
              <w:right w:val="nil"/>
            </w:tcBorders>
          </w:tcPr>
          <w:p w14:paraId="4B2D3441" w14:textId="71BF3203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BA093C">
              <w:rPr>
                <w:sz w:val="20"/>
                <w:szCs w:val="20"/>
              </w:rPr>
              <w:t>2</w:t>
            </w:r>
          </w:p>
        </w:tc>
        <w:tc>
          <w:tcPr>
            <w:tcW w:w="2212" w:type="dxa"/>
            <w:vMerge w:val="restart"/>
            <w:tcBorders>
              <w:left w:val="nil"/>
              <w:right w:val="nil"/>
            </w:tcBorders>
          </w:tcPr>
          <w:p w14:paraId="75F584D5" w14:textId="28FCF275" w:rsidR="003E524C" w:rsidRPr="003E524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3E524C">
              <w:rPr>
                <w:sz w:val="20"/>
                <w:szCs w:val="20"/>
              </w:rPr>
              <w:t>Protein (PR)</w:t>
            </w:r>
          </w:p>
        </w:tc>
        <w:tc>
          <w:tcPr>
            <w:tcW w:w="1492" w:type="dxa"/>
            <w:tcBorders>
              <w:left w:val="nil"/>
              <w:bottom w:val="nil"/>
              <w:right w:val="nil"/>
            </w:tcBorders>
          </w:tcPr>
          <w:p w14:paraId="203A722A" w14:textId="1010F78D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proofErr w:type="spellStart"/>
            <w:r w:rsidRPr="003E524C">
              <w:rPr>
                <w:sz w:val="20"/>
                <w:szCs w:val="20"/>
              </w:rPr>
              <w:t>monoPR</w:t>
            </w:r>
            <w:proofErr w:type="spellEnd"/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</w:tcPr>
          <w:p w14:paraId="7D3A72D8" w14:textId="0162A3D9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34.3 ± 2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4654D482" w14:textId="10F90510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9.9 ± 3.6</w:t>
            </w: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3F696BCC" w14:textId="590A9FD1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1.6 ± 0.7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</w:tcPr>
          <w:p w14:paraId="4A595284" w14:textId="6A23A8F1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3.5 ± 1.5</w:t>
            </w:r>
          </w:p>
        </w:tc>
      </w:tr>
      <w:tr w:rsidR="003E524C" w14:paraId="20D7AC83" w14:textId="77777777" w:rsidTr="00BA093C">
        <w:tc>
          <w:tcPr>
            <w:tcW w:w="1228" w:type="dxa"/>
            <w:vMerge/>
            <w:tcBorders>
              <w:left w:val="nil"/>
              <w:right w:val="nil"/>
            </w:tcBorders>
          </w:tcPr>
          <w:p w14:paraId="7FA17299" w14:textId="77777777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E648D58" w14:textId="77777777" w:rsidR="003E524C" w:rsidRPr="003E524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64F17" w14:textId="66F5CA73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proofErr w:type="spellStart"/>
            <w:r w:rsidRPr="003E524C">
              <w:rPr>
                <w:sz w:val="20"/>
                <w:szCs w:val="20"/>
              </w:rPr>
              <w:t>polyPR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51AC5" w14:textId="2F836E1E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32.5 ± 6.6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0C352" w14:textId="09E03FD2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23.6 ± 10.9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1ECC5" w14:textId="45A7022F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5.9 ± 3.4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4FC16" w14:textId="1831C159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  <w:r w:rsidRPr="008A6B78">
              <w:rPr>
                <w:sz w:val="20"/>
              </w:rPr>
              <w:t>2.6 ± 8</w:t>
            </w:r>
          </w:p>
        </w:tc>
      </w:tr>
      <w:tr w:rsidR="003E524C" w14:paraId="51AC6935" w14:textId="77777777" w:rsidTr="00BA093C">
        <w:tc>
          <w:tcPr>
            <w:tcW w:w="1228" w:type="dxa"/>
            <w:vMerge/>
            <w:tcBorders>
              <w:left w:val="nil"/>
              <w:right w:val="nil"/>
            </w:tcBorders>
          </w:tcPr>
          <w:p w14:paraId="0D01F33C" w14:textId="77777777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left w:val="nil"/>
              <w:bottom w:val="single" w:sz="4" w:space="0" w:color="auto"/>
              <w:right w:val="nil"/>
            </w:tcBorders>
          </w:tcPr>
          <w:p w14:paraId="7FAC1238" w14:textId="3301B1A2" w:rsidR="003E524C" w:rsidRPr="003E524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3E524C">
              <w:rPr>
                <w:sz w:val="20"/>
                <w:szCs w:val="20"/>
              </w:rPr>
              <w:t>Carboxylic acids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Cbx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2" w:type="dxa"/>
            <w:tcBorders>
              <w:left w:val="nil"/>
              <w:bottom w:val="single" w:sz="4" w:space="0" w:color="auto"/>
              <w:right w:val="nil"/>
            </w:tcBorders>
          </w:tcPr>
          <w:p w14:paraId="1EDD0FE1" w14:textId="728F5490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proofErr w:type="spellStart"/>
            <w:r w:rsidRPr="003E524C">
              <w:rPr>
                <w:sz w:val="20"/>
                <w:szCs w:val="20"/>
              </w:rPr>
              <w:t>Cbx</w:t>
            </w:r>
            <w:proofErr w:type="spellEnd"/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</w:tcPr>
          <w:p w14:paraId="21B6DE5E" w14:textId="68F1D0B4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60 ± 35.5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7F7D7564" w14:textId="556EB9A8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27.1 ± 20.7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nil"/>
            </w:tcBorders>
          </w:tcPr>
          <w:p w14:paraId="0B0D74D8" w14:textId="07EC70B8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4.1 ± 3.5</w:t>
            </w:r>
          </w:p>
        </w:tc>
        <w:tc>
          <w:tcPr>
            <w:tcW w:w="1329" w:type="dxa"/>
            <w:tcBorders>
              <w:left w:val="nil"/>
              <w:bottom w:val="single" w:sz="4" w:space="0" w:color="auto"/>
              <w:right w:val="nil"/>
            </w:tcBorders>
          </w:tcPr>
          <w:p w14:paraId="1E482B28" w14:textId="49A382C6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9.2 ± 6.9</w:t>
            </w:r>
          </w:p>
        </w:tc>
      </w:tr>
      <w:tr w:rsidR="003E524C" w14:paraId="41D99EBC" w14:textId="77777777" w:rsidTr="00BA093C">
        <w:tc>
          <w:tcPr>
            <w:tcW w:w="122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E4D01A0" w14:textId="77777777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17161A5" w14:textId="59C2C914" w:rsidR="003E524C" w:rsidRPr="003E524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3E524C">
              <w:rPr>
                <w:sz w:val="20"/>
                <w:szCs w:val="20"/>
              </w:rPr>
              <w:t>Control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B443C21" w14:textId="0743DC91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proofErr w:type="spellStart"/>
            <w:r w:rsidRPr="003E524C">
              <w:rPr>
                <w:sz w:val="20"/>
                <w:szCs w:val="20"/>
              </w:rPr>
              <w:t>contTwo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3C39223" w14:textId="05597413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30.4 ± 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0C9FB84" w14:textId="0780AFC9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16.1 ± 13.1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FC2D6A2" w14:textId="4E1D8C9A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3.6 ± 3.5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B10355" w14:textId="675965A7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  <w:r w:rsidRPr="008A6B78">
              <w:rPr>
                <w:sz w:val="20"/>
              </w:rPr>
              <w:t>7.9 ± 6.7</w:t>
            </w:r>
          </w:p>
        </w:tc>
      </w:tr>
      <w:tr w:rsidR="00F8079D" w14:paraId="1D281CE2" w14:textId="77777777" w:rsidTr="00BA093C"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AB5761" w14:textId="77777777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0FD7D90" w14:textId="77777777" w:rsidR="003E524C" w:rsidRPr="00BA093C" w:rsidRDefault="003E524C" w:rsidP="00BA093C">
            <w:pPr>
              <w:pStyle w:val="BodyTex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441036" w14:textId="1BDBA30C" w:rsidR="003E524C" w:rsidRPr="00BA093C" w:rsidRDefault="003E524C" w:rsidP="00BA093C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 w:rsidRPr="00BA093C">
              <w:rPr>
                <w:b/>
                <w:sz w:val="20"/>
                <w:szCs w:val="20"/>
              </w:rPr>
              <w:t>All treatments</w:t>
            </w: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2EB7A3" w14:textId="3ACC5D85" w:rsidR="003E524C" w:rsidRPr="00BA093C" w:rsidRDefault="003E524C" w:rsidP="00BA093C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 w:rsidRPr="003E524C">
              <w:rPr>
                <w:b/>
                <w:sz w:val="20"/>
              </w:rPr>
              <w:t>35.1 ± 11.2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47E81F" w14:textId="63A31970" w:rsidR="003E524C" w:rsidRPr="00BA093C" w:rsidRDefault="003E524C" w:rsidP="00BA093C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 w:rsidRPr="008A6B78">
              <w:rPr>
                <w:b/>
                <w:sz w:val="20"/>
              </w:rPr>
              <w:t>14.3 ± 8.7</w:t>
            </w: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A0A30F" w14:textId="1ABB0DAC" w:rsidR="003E524C" w:rsidRPr="00BA093C" w:rsidRDefault="003E524C" w:rsidP="00BA093C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 w:rsidRPr="008A6B78">
              <w:rPr>
                <w:b/>
                <w:sz w:val="20"/>
              </w:rPr>
              <w:t>3.3 ± 2.1</w:t>
            </w:r>
          </w:p>
        </w:tc>
        <w:tc>
          <w:tcPr>
            <w:tcW w:w="13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9C6053" w14:textId="20E2967C" w:rsidR="003E524C" w:rsidRPr="00BA093C" w:rsidRDefault="003E524C" w:rsidP="00BA093C">
            <w:pPr>
              <w:pStyle w:val="BodyText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6</w:t>
            </w:r>
            <w:r w:rsidRPr="008A6B78">
              <w:rPr>
                <w:b/>
                <w:sz w:val="20"/>
              </w:rPr>
              <w:t>.6 ± 4</w:t>
            </w:r>
          </w:p>
        </w:tc>
      </w:tr>
      <w:tr w:rsidR="00F8079D" w14:paraId="71A069C2" w14:textId="77777777" w:rsidTr="00BA093C">
        <w:tc>
          <w:tcPr>
            <w:tcW w:w="977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8F2C39" w14:textId="42691C4F" w:rsidR="00F8079D" w:rsidRPr="00BA093C" w:rsidRDefault="00F8079D" w:rsidP="00804F1A">
            <w:pPr>
              <w:pStyle w:val="BodyText"/>
              <w:spacing w:before="120" w:after="120"/>
              <w:jc w:val="both"/>
            </w:pPr>
            <w:r w:rsidRPr="00BA093C">
              <w:rPr>
                <w:sz w:val="20"/>
              </w:rPr>
              <w:t>Abbreviation of treatment</w:t>
            </w:r>
            <w:r w:rsidR="004B37D2" w:rsidRPr="00BA093C">
              <w:rPr>
                <w:sz w:val="20"/>
              </w:rPr>
              <w:t xml:space="preserve"> names</w:t>
            </w:r>
            <w:r w:rsidRPr="00BA093C">
              <w:rPr>
                <w:sz w:val="20"/>
              </w:rPr>
              <w:t xml:space="preserve">: </w:t>
            </w:r>
            <w:proofErr w:type="spellStart"/>
            <w:r w:rsidRPr="00BA093C">
              <w:rPr>
                <w:sz w:val="20"/>
              </w:rPr>
              <w:t>monoCH</w:t>
            </w:r>
            <w:proofErr w:type="spellEnd"/>
            <w:r w:rsidRPr="00BA093C">
              <w:rPr>
                <w:sz w:val="20"/>
              </w:rPr>
              <w:t xml:space="preserve">, monosaccharide mix (n = 3); </w:t>
            </w:r>
            <w:proofErr w:type="spellStart"/>
            <w:r w:rsidRPr="00BA093C">
              <w:rPr>
                <w:sz w:val="20"/>
              </w:rPr>
              <w:t>polyCH</w:t>
            </w:r>
            <w:proofErr w:type="spellEnd"/>
            <w:r w:rsidRPr="00BA093C">
              <w:rPr>
                <w:sz w:val="20"/>
              </w:rPr>
              <w:t>, polysaccharide mix</w:t>
            </w:r>
            <w:r w:rsidR="004B37D2" w:rsidRPr="00BA093C">
              <w:rPr>
                <w:sz w:val="20"/>
              </w:rPr>
              <w:t xml:space="preserve"> </w:t>
            </w:r>
            <w:r w:rsidRPr="00BA093C">
              <w:rPr>
                <w:sz w:val="20"/>
              </w:rPr>
              <w:t xml:space="preserve">(n = 3); </w:t>
            </w:r>
            <w:proofErr w:type="spellStart"/>
            <w:r w:rsidRPr="00BA093C">
              <w:rPr>
                <w:sz w:val="20"/>
              </w:rPr>
              <w:t>monoNUC</w:t>
            </w:r>
            <w:proofErr w:type="spellEnd"/>
            <w:r w:rsidRPr="00BA093C">
              <w:rPr>
                <w:sz w:val="20"/>
              </w:rPr>
              <w:t xml:space="preserve">, nucleotide mix (n = 3); </w:t>
            </w:r>
            <w:proofErr w:type="spellStart"/>
            <w:r w:rsidRPr="00BA093C">
              <w:rPr>
                <w:sz w:val="20"/>
              </w:rPr>
              <w:t>polyNUC</w:t>
            </w:r>
            <w:proofErr w:type="spellEnd"/>
            <w:r w:rsidRPr="00BA093C">
              <w:rPr>
                <w:sz w:val="20"/>
              </w:rPr>
              <w:t xml:space="preserve">, DNA (n = 3); </w:t>
            </w:r>
            <w:proofErr w:type="spellStart"/>
            <w:r w:rsidRPr="00BA093C">
              <w:rPr>
                <w:sz w:val="20"/>
              </w:rPr>
              <w:t>contOne</w:t>
            </w:r>
            <w:proofErr w:type="spellEnd"/>
            <w:r w:rsidRPr="00BA093C">
              <w:rPr>
                <w:sz w:val="20"/>
              </w:rPr>
              <w:t xml:space="preserve">, untreated seawater from experiment 1 (n = 2); </w:t>
            </w:r>
            <w:proofErr w:type="spellStart"/>
            <w:r w:rsidRPr="00BA093C">
              <w:rPr>
                <w:sz w:val="20"/>
              </w:rPr>
              <w:t>monoPR</w:t>
            </w:r>
            <w:proofErr w:type="spellEnd"/>
            <w:r w:rsidRPr="00BA093C">
              <w:rPr>
                <w:sz w:val="20"/>
              </w:rPr>
              <w:t xml:space="preserve">, amino acid mix (n = 3); </w:t>
            </w:r>
            <w:proofErr w:type="spellStart"/>
            <w:r w:rsidRPr="00BA093C">
              <w:rPr>
                <w:sz w:val="20"/>
              </w:rPr>
              <w:t>polyPR</w:t>
            </w:r>
            <w:proofErr w:type="spellEnd"/>
            <w:r w:rsidRPr="00BA093C">
              <w:rPr>
                <w:sz w:val="20"/>
              </w:rPr>
              <w:t xml:space="preserve">, polypeptides (n = 2); </w:t>
            </w:r>
            <w:proofErr w:type="spellStart"/>
            <w:r w:rsidRPr="00BA093C">
              <w:rPr>
                <w:sz w:val="20"/>
              </w:rPr>
              <w:t>Cbx</w:t>
            </w:r>
            <w:proofErr w:type="spellEnd"/>
            <w:r w:rsidRPr="00BA093C">
              <w:rPr>
                <w:sz w:val="20"/>
              </w:rPr>
              <w:t xml:space="preserve">, carboxylic acids (n = 2); </w:t>
            </w:r>
            <w:proofErr w:type="spellStart"/>
            <w:r w:rsidRPr="00BA093C">
              <w:rPr>
                <w:sz w:val="20"/>
              </w:rPr>
              <w:t>contTwo</w:t>
            </w:r>
            <w:proofErr w:type="spellEnd"/>
            <w:r w:rsidRPr="00BA093C">
              <w:rPr>
                <w:sz w:val="20"/>
              </w:rPr>
              <w:t>, untreated seawater from experiment 2 (n = 3)</w:t>
            </w:r>
            <w:r w:rsidR="004B37D2" w:rsidRPr="00BA093C">
              <w:rPr>
                <w:sz w:val="20"/>
              </w:rPr>
              <w:t>; mean of all treatments (n = 9)</w:t>
            </w:r>
            <w:r w:rsidRPr="00BA093C">
              <w:rPr>
                <w:sz w:val="20"/>
              </w:rPr>
              <w:t>.</w:t>
            </w:r>
          </w:p>
        </w:tc>
      </w:tr>
    </w:tbl>
    <w:p w14:paraId="3E6713F0" w14:textId="77777777" w:rsidR="00BA093C" w:rsidRDefault="00BA093C">
      <w:pPr>
        <w:spacing w:before="0" w:after="200" w:line="276" w:lineRule="auto"/>
        <w:rPr>
          <w:rFonts w:eastAsia="Times New Roman" w:cs="Times New Roman"/>
          <w:szCs w:val="24"/>
        </w:rPr>
      </w:pPr>
      <w:r>
        <w:br w:type="page"/>
      </w:r>
    </w:p>
    <w:p w14:paraId="3CDEC96F" w14:textId="77777777" w:rsidR="00BA093C" w:rsidRDefault="00BA093C" w:rsidP="00EC2597">
      <w:pPr>
        <w:pStyle w:val="BodyText"/>
        <w:rPr>
          <w:rFonts w:eastAsiaTheme="minorHAnsi" w:cstheme="minorBidi"/>
          <w:b/>
          <w:szCs w:val="22"/>
        </w:rPr>
      </w:pPr>
    </w:p>
    <w:p w14:paraId="28163BA2" w14:textId="3F47B69A" w:rsidR="005C37AA" w:rsidRPr="00EC2597" w:rsidRDefault="00EC2597" w:rsidP="00804F1A">
      <w:pPr>
        <w:pStyle w:val="BodyText"/>
        <w:jc w:val="both"/>
      </w:pPr>
      <w:r w:rsidRPr="00BA093C">
        <w:rPr>
          <w:rFonts w:eastAsiaTheme="minorHAnsi" w:cstheme="minorBidi"/>
          <w:b/>
          <w:szCs w:val="22"/>
        </w:rPr>
        <w:t xml:space="preserve">Supplementary Table </w:t>
      </w:r>
      <w:r w:rsidR="00904538" w:rsidRPr="00BA093C">
        <w:rPr>
          <w:rFonts w:eastAsiaTheme="minorHAnsi" w:cstheme="minorBidi"/>
          <w:b/>
          <w:szCs w:val="22"/>
        </w:rPr>
        <w:t>S</w:t>
      </w:r>
      <w:r w:rsidR="00D65E1B" w:rsidRPr="00BA093C">
        <w:rPr>
          <w:rFonts w:eastAsiaTheme="minorHAnsi" w:cstheme="minorBidi"/>
          <w:b/>
          <w:szCs w:val="22"/>
        </w:rPr>
        <w:t>4</w:t>
      </w:r>
      <w:r w:rsidRPr="00E72F7E">
        <w:rPr>
          <w:b/>
        </w:rPr>
        <w:t xml:space="preserve">. </w:t>
      </w:r>
      <w:r w:rsidR="005C37AA" w:rsidRPr="00BA093C">
        <w:t xml:space="preserve">Excel sheets depicting the full list of </w:t>
      </w:r>
      <w:r w:rsidR="005C37AA" w:rsidRPr="005C37AA">
        <w:t>c</w:t>
      </w:r>
      <w:r w:rsidRPr="00E72F7E">
        <w:t>ore and non-core gene expression responses covering top</w:t>
      </w:r>
      <w:r w:rsidR="00B932D7">
        <w:t>-</w:t>
      </w:r>
      <w:r w:rsidRPr="00E72F7E">
        <w:t>level SEED categories (seed1), subcategories (seed2)</w:t>
      </w:r>
      <w:r w:rsidR="00B932D7">
        <w:t>,</w:t>
      </w:r>
      <w:r w:rsidRPr="00E72F7E">
        <w:t xml:space="preserve"> and the gene-level (seed3). </w:t>
      </w:r>
      <w:r w:rsidRPr="00E72F7E">
        <w:rPr>
          <w:i/>
        </w:rPr>
        <w:t xml:space="preserve">Motility and Chemotaxis </w:t>
      </w:r>
      <w:r w:rsidRPr="00E72F7E">
        <w:t xml:space="preserve">made up a large proportion of the carbohydrate core, consisting of several genes representing nearly complete parts of bacterial flagellar complexes (e.g. </w:t>
      </w:r>
      <w:proofErr w:type="spellStart"/>
      <w:r w:rsidRPr="00E72F7E">
        <w:t>FlaA</w:t>
      </w:r>
      <w:proofErr w:type="spellEnd"/>
      <w:r w:rsidRPr="00E72F7E">
        <w:t xml:space="preserve">/G, </w:t>
      </w:r>
      <w:proofErr w:type="spellStart"/>
      <w:r w:rsidRPr="00E72F7E">
        <w:t>FlgL</w:t>
      </w:r>
      <w:proofErr w:type="spellEnd"/>
      <w:r w:rsidRPr="00E72F7E">
        <w:t xml:space="preserve">/K/F/B, </w:t>
      </w:r>
      <w:proofErr w:type="spellStart"/>
      <w:r w:rsidRPr="00E72F7E">
        <w:t>FlgF</w:t>
      </w:r>
      <w:proofErr w:type="spellEnd"/>
      <w:r w:rsidRPr="00E72F7E">
        <w:t xml:space="preserve">/B, </w:t>
      </w:r>
      <w:proofErr w:type="spellStart"/>
      <w:r w:rsidRPr="00E72F7E">
        <w:t>FliD</w:t>
      </w:r>
      <w:proofErr w:type="spellEnd"/>
      <w:r w:rsidRPr="00E72F7E">
        <w:t>/Q/S/L</w:t>
      </w:r>
      <w:r w:rsidR="00B932D7">
        <w:t>,</w:t>
      </w:r>
      <w:r w:rsidRPr="00E72F7E">
        <w:t xml:space="preserve"> and </w:t>
      </w:r>
      <w:proofErr w:type="spellStart"/>
      <w:r w:rsidRPr="00E72F7E">
        <w:t>FlhF</w:t>
      </w:r>
      <w:proofErr w:type="spellEnd"/>
      <w:r w:rsidRPr="00E72F7E">
        <w:t xml:space="preserve">) and chemotaxis proteins (e.g. </w:t>
      </w:r>
      <w:proofErr w:type="spellStart"/>
      <w:r w:rsidRPr="00E72F7E">
        <w:t>MotA</w:t>
      </w:r>
      <w:proofErr w:type="spellEnd"/>
      <w:r w:rsidRPr="00E72F7E">
        <w:t xml:space="preserve">/B). As anticipated, the polysaccharide non-core (6% of reads, 21 genes e.g. </w:t>
      </w:r>
      <w:proofErr w:type="spellStart"/>
      <w:r w:rsidRPr="00E72F7E">
        <w:t>FlaB</w:t>
      </w:r>
      <w:proofErr w:type="spellEnd"/>
      <w:r w:rsidRPr="00E72F7E">
        <w:t xml:space="preserve">/D, </w:t>
      </w:r>
      <w:proofErr w:type="spellStart"/>
      <w:r w:rsidRPr="00E72F7E">
        <w:t>FleQ</w:t>
      </w:r>
      <w:proofErr w:type="spellEnd"/>
      <w:r w:rsidRPr="00E72F7E">
        <w:t>/N</w:t>
      </w:r>
      <w:r w:rsidR="00B932D7">
        <w:t>,</w:t>
      </w:r>
      <w:r w:rsidRPr="00E72F7E">
        <w:t xml:space="preserve"> and </w:t>
      </w:r>
      <w:proofErr w:type="spellStart"/>
      <w:r w:rsidRPr="00E72F7E">
        <w:t>FlgE</w:t>
      </w:r>
      <w:proofErr w:type="spellEnd"/>
      <w:r w:rsidRPr="00E72F7E">
        <w:t xml:space="preserve">/G/D/C/H) showed a stronger signal than the monosaccharide counterpart (1%, e.g. </w:t>
      </w:r>
      <w:proofErr w:type="spellStart"/>
      <w:r w:rsidRPr="00E72F7E">
        <w:t>FliM</w:t>
      </w:r>
      <w:proofErr w:type="spellEnd"/>
      <w:r w:rsidRPr="00E72F7E">
        <w:t xml:space="preserve">, </w:t>
      </w:r>
      <w:proofErr w:type="spellStart"/>
      <w:r w:rsidRPr="00E72F7E">
        <w:t>FlhB</w:t>
      </w:r>
      <w:proofErr w:type="spellEnd"/>
      <w:r w:rsidR="00B932D7">
        <w:t>,</w:t>
      </w:r>
      <w:r w:rsidRPr="00E72F7E">
        <w:t xml:space="preserve"> and </w:t>
      </w:r>
      <w:proofErr w:type="spellStart"/>
      <w:r w:rsidRPr="00E72F7E">
        <w:t>FliP</w:t>
      </w:r>
      <w:proofErr w:type="spellEnd"/>
      <w:r w:rsidRPr="00E72F7E">
        <w:t xml:space="preserve">). In addition, many Type IV pili associated genes (e.g. </w:t>
      </w:r>
      <w:proofErr w:type="spellStart"/>
      <w:r w:rsidRPr="00E72F7E">
        <w:t>PilY</w:t>
      </w:r>
      <w:proofErr w:type="spellEnd"/>
      <w:r w:rsidRPr="00E72F7E">
        <w:t xml:space="preserve">/M/A/W/E) were highly expressed in the polysaccharide non-core. In comparison, these features were very low expressed in the nucleic acid core (below ~0.3 of reads e.g. </w:t>
      </w:r>
      <w:proofErr w:type="spellStart"/>
      <w:r w:rsidRPr="00E72F7E">
        <w:t>PilA</w:t>
      </w:r>
      <w:proofErr w:type="spellEnd"/>
      <w:r w:rsidRPr="00E72F7E">
        <w:t xml:space="preserve">/W/E, </w:t>
      </w:r>
      <w:proofErr w:type="spellStart"/>
      <w:r w:rsidRPr="00E72F7E">
        <w:t>FliL</w:t>
      </w:r>
      <w:proofErr w:type="spellEnd"/>
      <w:r w:rsidRPr="00E72F7E">
        <w:t xml:space="preserve"> and </w:t>
      </w:r>
      <w:proofErr w:type="spellStart"/>
      <w:r w:rsidRPr="00E72F7E">
        <w:t>FliO</w:t>
      </w:r>
      <w:proofErr w:type="spellEnd"/>
      <w:r w:rsidRPr="00E72F7E">
        <w:t xml:space="preserve">). While the protein core did not comprise any of those genes, the amino acid non-core consisted of many </w:t>
      </w:r>
      <w:proofErr w:type="gramStart"/>
      <w:r w:rsidRPr="00E72F7E">
        <w:t>chemotaxis</w:t>
      </w:r>
      <w:proofErr w:type="gramEnd"/>
      <w:r w:rsidRPr="00E72F7E">
        <w:t xml:space="preserve"> associated genes (~2% of total reads,</w:t>
      </w:r>
      <w:r w:rsidR="00804F1A">
        <w:t xml:space="preserve"> </w:t>
      </w:r>
      <w:r w:rsidRPr="00E72F7E">
        <w:t xml:space="preserve">32 genes, e.g. </w:t>
      </w:r>
      <w:proofErr w:type="spellStart"/>
      <w:r w:rsidRPr="00E72F7E">
        <w:t>CheV</w:t>
      </w:r>
      <w:proofErr w:type="spellEnd"/>
      <w:r w:rsidRPr="00E72F7E">
        <w:t xml:space="preserve">/A/Y/Z/R/W/B/C), twitching motility and Type IV pili (e.g. </w:t>
      </w:r>
      <w:proofErr w:type="spellStart"/>
      <w:r w:rsidRPr="00E72F7E">
        <w:t>PilQ</w:t>
      </w:r>
      <w:proofErr w:type="spellEnd"/>
      <w:r w:rsidRPr="00E72F7E">
        <w:t xml:space="preserve">/T/M/C/O/B/H/N/Y/P/A/R/E/W/S), which were substantially lower expressed in the polypeptides. </w:t>
      </w:r>
      <w:r w:rsidRPr="00E72F7E">
        <w:rPr>
          <w:i/>
        </w:rPr>
        <w:t xml:space="preserve">Membrane Transport </w:t>
      </w:r>
      <w:r w:rsidRPr="00E72F7E">
        <w:t xml:space="preserve">reached the highest relative abundance in the nucleic acid core (~0.6% of total reads, e.g. </w:t>
      </w:r>
      <w:proofErr w:type="spellStart"/>
      <w:r w:rsidRPr="00E72F7E">
        <w:t>TonB</w:t>
      </w:r>
      <w:proofErr w:type="spellEnd"/>
      <w:r w:rsidRPr="00E72F7E">
        <w:t xml:space="preserve"> transport systems, and nucleoside permease </w:t>
      </w:r>
      <w:proofErr w:type="spellStart"/>
      <w:r w:rsidRPr="00E72F7E">
        <w:t>NupC</w:t>
      </w:r>
      <w:proofErr w:type="spellEnd"/>
      <w:r w:rsidRPr="00E72F7E">
        <w:t>). The non-cores comprised only seven genes, of which the majority w</w:t>
      </w:r>
      <w:r w:rsidR="00B932D7">
        <w:t>ere</w:t>
      </w:r>
      <w:r w:rsidRPr="00E72F7E">
        <w:t xml:space="preserve"> found in the nucleotides non-core (below 0.1% of reads, e.g. nitrate/nitrite transporter, general secretion pathway protein F/I). The protein core (~0.4%) consisted of a few genes associated with inorganic phosphate transporters. As anticipated, the amino acids non-core depicted an overabundance of amino acid and polyamine specific transporter genes (below 0.1% e.g. leucine-specific transport system, </w:t>
      </w:r>
      <w:proofErr w:type="spellStart"/>
      <w:r w:rsidRPr="00E72F7E">
        <w:t>LivK</w:t>
      </w:r>
      <w:proofErr w:type="spellEnd"/>
      <w:r w:rsidRPr="00E72F7E">
        <w:t xml:space="preserve">, histidine ABC transporter, </w:t>
      </w:r>
      <w:proofErr w:type="spellStart"/>
      <w:r w:rsidRPr="00E72F7E">
        <w:t>HisP</w:t>
      </w:r>
      <w:proofErr w:type="spellEnd"/>
      <w:r w:rsidRPr="00E72F7E">
        <w:t xml:space="preserve">, putrescine transport ATP-binding protein </w:t>
      </w:r>
      <w:proofErr w:type="spellStart"/>
      <w:r w:rsidRPr="00E72F7E">
        <w:t>PotA</w:t>
      </w:r>
      <w:proofErr w:type="spellEnd"/>
      <w:r w:rsidRPr="00E72F7E">
        <w:t xml:space="preserve">/B), whereas a more diverse set of transporters for sulfate, iron, and phosphate (e.g. </w:t>
      </w:r>
      <w:proofErr w:type="spellStart"/>
      <w:r w:rsidRPr="00E72F7E">
        <w:t>PstC</w:t>
      </w:r>
      <w:proofErr w:type="spellEnd"/>
      <w:r w:rsidRPr="00E72F7E">
        <w:t xml:space="preserve">/B/A) was found in the polypeptide counterpart. Rather surprising was the low abundance (~0.1% of total reads) of transporters in the CH-core. Strikingly, however, the monosaccharide non- core (4.7% of total reads) consisted of numerous genes relevant for the transport of branched-chain amino acids (0.4% of total reads, 3.2-fold), polyamines (~0.3% of reads e.g. </w:t>
      </w:r>
      <w:proofErr w:type="spellStart"/>
      <w:r w:rsidRPr="00E72F7E">
        <w:t>PotD</w:t>
      </w:r>
      <w:proofErr w:type="spellEnd"/>
      <w:r w:rsidRPr="00E72F7E">
        <w:t>/F/A/G/B/C), and many ABC type transporters with</w:t>
      </w:r>
      <w:r w:rsidR="00067F90">
        <w:t xml:space="preserve"> </w:t>
      </w:r>
      <w:r w:rsidRPr="00E72F7E">
        <w:t xml:space="preserve">specificity toward fructose (0.3%, e.g. </w:t>
      </w:r>
      <w:proofErr w:type="spellStart"/>
      <w:r w:rsidRPr="00E72F7E">
        <w:t>FrcA</w:t>
      </w:r>
      <w:proofErr w:type="spellEnd"/>
      <w:r w:rsidRPr="00E72F7E">
        <w:t xml:space="preserve">/B/C), ribose (0.1% e.g. </w:t>
      </w:r>
      <w:proofErr w:type="spellStart"/>
      <w:r w:rsidRPr="00E72F7E">
        <w:t>RbsA</w:t>
      </w:r>
      <w:proofErr w:type="spellEnd"/>
      <w:r w:rsidRPr="00E72F7E">
        <w:t xml:space="preserve">/B/C) and various polyols (i.e. </w:t>
      </w:r>
      <w:proofErr w:type="spellStart"/>
      <w:r w:rsidRPr="00E72F7E">
        <w:t>selenate</w:t>
      </w:r>
      <w:proofErr w:type="spellEnd"/>
      <w:r w:rsidRPr="00E72F7E">
        <w:t xml:space="preserve"> and selenite), that were not found in the polysaccharide non-core. The carbohydrate core showed enrichments in the </w:t>
      </w:r>
      <w:r w:rsidRPr="00E72F7E">
        <w:rPr>
          <w:i/>
        </w:rPr>
        <w:t xml:space="preserve">Amino Acid </w:t>
      </w:r>
      <w:r w:rsidRPr="00E72F7E">
        <w:t xml:space="preserve">SEED category (~2.5% of total reads) related to the degradation of L-arginine e.g. the key enzyme NAD- </w:t>
      </w:r>
      <w:r w:rsidRPr="00E72F7E">
        <w:rPr>
          <w:position w:val="1"/>
        </w:rPr>
        <w:t>specific glutamate dehydrogenase (up to 1.2% of total reads), providing ammonia (NH</w:t>
      </w:r>
      <w:r w:rsidRPr="00E72F7E">
        <w:rPr>
          <w:w w:val="101"/>
        </w:rPr>
        <w:t>4</w:t>
      </w:r>
      <w:r w:rsidRPr="00E72F7E">
        <w:rPr>
          <w:position w:val="1"/>
        </w:rPr>
        <w:t xml:space="preserve">) and 2- </w:t>
      </w:r>
      <w:r w:rsidRPr="00E72F7E">
        <w:t>oxoglutarate. In addition to e.g. arginine N-</w:t>
      </w:r>
      <w:proofErr w:type="spellStart"/>
      <w:r w:rsidRPr="00E72F7E">
        <w:t>succinyltransferase</w:t>
      </w:r>
      <w:proofErr w:type="spellEnd"/>
      <w:r w:rsidRPr="00E72F7E">
        <w:t xml:space="preserve">, </w:t>
      </w:r>
      <w:proofErr w:type="spellStart"/>
      <w:r w:rsidRPr="00E72F7E">
        <w:t>succinylarginine</w:t>
      </w:r>
      <w:proofErr w:type="spellEnd"/>
      <w:r w:rsidRPr="00E72F7E">
        <w:t xml:space="preserve"> </w:t>
      </w:r>
      <w:proofErr w:type="spellStart"/>
      <w:r w:rsidRPr="00E72F7E">
        <w:t>dihydrolase</w:t>
      </w:r>
      <w:proofErr w:type="spellEnd"/>
      <w:r w:rsidRPr="00E72F7E">
        <w:t xml:space="preserve">, </w:t>
      </w:r>
      <w:proofErr w:type="spellStart"/>
      <w:r w:rsidRPr="00E72F7E">
        <w:t>succinylglutamic</w:t>
      </w:r>
      <w:proofErr w:type="spellEnd"/>
      <w:r w:rsidRPr="00E72F7E">
        <w:t xml:space="preserve"> semialdehyde dehydrogenase, and </w:t>
      </w:r>
      <w:proofErr w:type="spellStart"/>
      <w:r w:rsidRPr="00E72F7E">
        <w:t>succinylglutamate</w:t>
      </w:r>
      <w:proofErr w:type="spellEnd"/>
      <w:r w:rsidRPr="00E72F7E">
        <w:t xml:space="preserve"> </w:t>
      </w:r>
      <w:proofErr w:type="spellStart"/>
      <w:r w:rsidRPr="00E72F7E">
        <w:t>desuccinylase</w:t>
      </w:r>
      <w:proofErr w:type="spellEnd"/>
      <w:r w:rsidRPr="00E72F7E">
        <w:t xml:space="preserve">. </w:t>
      </w:r>
      <w:r w:rsidR="00067F90">
        <w:t>The</w:t>
      </w:r>
      <w:r w:rsidRPr="00E72F7E">
        <w:t xml:space="preserve"> importance of L-arginine and putrescine (synthesis and degradation) was found in the polysaccharide non-core (e.g. arginine decarboxylase, gamma-glutamyl-</w:t>
      </w:r>
      <w:proofErr w:type="spellStart"/>
      <w:r w:rsidRPr="00E72F7E">
        <w:t>aminobutyraldehyde</w:t>
      </w:r>
      <w:proofErr w:type="spellEnd"/>
      <w:r w:rsidRPr="00E72F7E">
        <w:t xml:space="preserve"> dehydrogenase, gamma- glutamyl-putrescine synthetase, gamma-glutamyl-GABA hydrolase</w:t>
      </w:r>
      <w:r w:rsidR="00067F90">
        <w:t>,</w:t>
      </w:r>
      <w:r w:rsidRPr="00E72F7E">
        <w:t xml:space="preserve"> and gamma- </w:t>
      </w:r>
      <w:proofErr w:type="spellStart"/>
      <w:proofErr w:type="gramStart"/>
      <w:r w:rsidRPr="00E72F7E">
        <w:t>aminobutyrate:alpha</w:t>
      </w:r>
      <w:proofErr w:type="gramEnd"/>
      <w:r w:rsidRPr="00E72F7E">
        <w:t>-ketoglutarate</w:t>
      </w:r>
      <w:proofErr w:type="spellEnd"/>
      <w:r w:rsidRPr="00E72F7E">
        <w:t xml:space="preserve"> aminotransferase (below 0.1% of reads). The L-arginine </w:t>
      </w:r>
      <w:proofErr w:type="spellStart"/>
      <w:r w:rsidRPr="00E72F7E">
        <w:t>succinyltransferase</w:t>
      </w:r>
      <w:proofErr w:type="spellEnd"/>
      <w:r w:rsidRPr="00E72F7E">
        <w:t xml:space="preserve"> (AST) pathway was enriched in the nucleic acid core (up to 0.1% of total reads, e.g. arginine N-</w:t>
      </w:r>
      <w:proofErr w:type="spellStart"/>
      <w:r w:rsidRPr="00E72F7E">
        <w:t>succinyltransferase</w:t>
      </w:r>
      <w:proofErr w:type="spellEnd"/>
      <w:r w:rsidRPr="00E72F7E">
        <w:t xml:space="preserve">, </w:t>
      </w:r>
      <w:proofErr w:type="spellStart"/>
      <w:r w:rsidRPr="00E72F7E">
        <w:t>succinylglutamic</w:t>
      </w:r>
      <w:proofErr w:type="spellEnd"/>
      <w:r w:rsidRPr="00E72F7E">
        <w:t xml:space="preserve"> semialdehyde dehydrogenase and </w:t>
      </w:r>
      <w:proofErr w:type="spellStart"/>
      <w:r w:rsidRPr="00E72F7E">
        <w:t>succinylglutamate</w:t>
      </w:r>
      <w:proofErr w:type="spellEnd"/>
      <w:r w:rsidRPr="00E72F7E">
        <w:t xml:space="preserve"> </w:t>
      </w:r>
      <w:proofErr w:type="spellStart"/>
      <w:r w:rsidRPr="00E72F7E">
        <w:t>desuccinylase</w:t>
      </w:r>
      <w:proofErr w:type="spellEnd"/>
      <w:r w:rsidRPr="00E72F7E">
        <w:t xml:space="preserve">). Overrepresented in the nucleotide non-core (up to 0.1% of reads) were </w:t>
      </w:r>
      <w:proofErr w:type="spellStart"/>
      <w:r w:rsidRPr="00E72F7E">
        <w:t>acetylglutamate</w:t>
      </w:r>
      <w:proofErr w:type="spellEnd"/>
      <w:r w:rsidRPr="00E72F7E">
        <w:t xml:space="preserve"> kinase (second step in L-ornithine biosynthesis from L-glutamate), serine acetyltransferase (first reaction in L-cysteine biosynthesis from L-serine), and beta-</w:t>
      </w:r>
      <w:proofErr w:type="spellStart"/>
      <w:r w:rsidRPr="00E72F7E">
        <w:t>ureidopropionase</w:t>
      </w:r>
      <w:proofErr w:type="spellEnd"/>
      <w:r w:rsidRPr="00E72F7E">
        <w:t xml:space="preserve"> (uracil degradation pathway to generate beta-alanine and ammonium). The protein core consisted of many genes associated with the amino acid glutamate. For instance, we noticed high expression of delta-1-pyrroline-5-carboxylate dehydrogenase (irreversibly oxidizes glutamate-gamma- semialdehyde to glutamate in the proline degradation pathway, thus nitrogen producing), in addition </w:t>
      </w:r>
      <w:r w:rsidRPr="00E72F7E">
        <w:rPr>
          <w:position w:val="1"/>
        </w:rPr>
        <w:t>to high glutaminase activity (catalyzes the reaction L-glutamine to L-glutamate + NH</w:t>
      </w:r>
      <w:r w:rsidRPr="00BA093C">
        <w:rPr>
          <w:w w:val="101"/>
          <w:vertAlign w:val="subscript"/>
        </w:rPr>
        <w:t>3</w:t>
      </w:r>
      <w:r w:rsidRPr="00E72F7E">
        <w:rPr>
          <w:position w:val="1"/>
        </w:rPr>
        <w:t xml:space="preserve">) and glutamate </w:t>
      </w:r>
      <w:r w:rsidRPr="00E72F7E">
        <w:t xml:space="preserve">racemase expression (converts L-glutamate into D-glutamate). Outstanding features in the amino acid </w:t>
      </w:r>
      <w:r w:rsidRPr="00E72F7E">
        <w:lastRenderedPageBreak/>
        <w:t xml:space="preserve">non-core were related to isoleucine degradation (up to 0.1% of reads) such as 3-hydroxyacyl-CoA dehydrogenase, 3-ketoacyl-CoA </w:t>
      </w:r>
      <w:proofErr w:type="spellStart"/>
      <w:r w:rsidRPr="00E72F7E">
        <w:t>thiolase</w:t>
      </w:r>
      <w:proofErr w:type="spellEnd"/>
      <w:r w:rsidRPr="00E72F7E">
        <w:t xml:space="preserve">, acyl-CoA dehydrogenase. Significantly enriched in the polypeptide non-core were a few </w:t>
      </w:r>
      <w:proofErr w:type="gramStart"/>
      <w:r w:rsidRPr="00E72F7E">
        <w:t>dehydrogenase</w:t>
      </w:r>
      <w:proofErr w:type="gramEnd"/>
      <w:r w:rsidRPr="00E72F7E">
        <w:t xml:space="preserve"> associated genes (below 0.1%), involved in the histidine metabolism (e.g. glycine, glutamate, leucine, </w:t>
      </w:r>
      <w:proofErr w:type="spellStart"/>
      <w:r w:rsidRPr="00E72F7E">
        <w:t>saccharopine</w:t>
      </w:r>
      <w:proofErr w:type="spellEnd"/>
      <w:r w:rsidRPr="00E72F7E">
        <w:t xml:space="preserve"> and shikimate, and urocanate hydratase). </w:t>
      </w:r>
      <w:r w:rsidRPr="00E72F7E">
        <w:rPr>
          <w:i/>
        </w:rPr>
        <w:t xml:space="preserve">Carbohydrate metabolism </w:t>
      </w:r>
      <w:r w:rsidRPr="00E72F7E">
        <w:t xml:space="preserve">affiliated genomic features in the carbohydrate (below 1.6% of total reads) were glycogen metabolism (e.g. glucose-1-phosphate </w:t>
      </w:r>
      <w:proofErr w:type="spellStart"/>
      <w:r w:rsidRPr="00E72F7E">
        <w:t>adenylyltransferase</w:t>
      </w:r>
      <w:proofErr w:type="spellEnd"/>
      <w:r w:rsidRPr="00E72F7E">
        <w:t xml:space="preserve"> (~0.2%, </w:t>
      </w:r>
      <w:r w:rsidR="00067F90">
        <w:t xml:space="preserve">the </w:t>
      </w:r>
      <w:r w:rsidRPr="00E72F7E">
        <w:t xml:space="preserve">first rate-limiting step of glycogen biosynthesis), and related to the utilization of labile carbon compounds (e.g. chitin N-acetylglucosamine, D-galacturonate, D-glucuronate, maltose, maltodextrin, deoxyribose, </w:t>
      </w:r>
      <w:proofErr w:type="spellStart"/>
      <w:r w:rsidRPr="00E72F7E">
        <w:t>deoxynucleoside</w:t>
      </w:r>
      <w:proofErr w:type="spellEnd"/>
      <w:r w:rsidRPr="00E72F7E">
        <w:t xml:space="preserve"> and </w:t>
      </w:r>
      <w:proofErr w:type="spellStart"/>
      <w:r w:rsidRPr="00E72F7E">
        <w:t>trehalose</w:t>
      </w:r>
      <w:proofErr w:type="spellEnd"/>
      <w:r w:rsidRPr="00E72F7E">
        <w:t>, sucrose, xylose, rhamnose</w:t>
      </w:r>
      <w:r w:rsidR="00067F90">
        <w:t>,</w:t>
      </w:r>
      <w:r w:rsidRPr="00E72F7E">
        <w:t xml:space="preserve"> and ribose). Genes with strong enrichments in the monosaccharide non-core were associated with carbon metabolism (up to 2% of total reads), e.g. phosphoenolpyruvate synthase (involved in the reductive TCA cycle and required for the synthesis of pyruvate in glycolysis and gluconeogenesis), malate synthase G (part in the glyoxylate cycle, irreversible condensation of acetyl-CoA with glyoxylate to form malate, </w:t>
      </w:r>
      <w:r w:rsidRPr="00E72F7E">
        <w:rPr>
          <w:position w:val="1"/>
        </w:rPr>
        <w:t>bypassing steps that lead to a loss of CO</w:t>
      </w:r>
      <w:r w:rsidRPr="00E72F7E">
        <w:rPr>
          <w:w w:val="101"/>
        </w:rPr>
        <w:t>2</w:t>
      </w:r>
      <w:r w:rsidRPr="00E72F7E">
        <w:rPr>
          <w:position w:val="1"/>
        </w:rPr>
        <w:t xml:space="preserve">, thus responsible for almost all of the malate synthase </w:t>
      </w:r>
      <w:r w:rsidRPr="00E72F7E">
        <w:t>activity in cells metabolizing glyoxylate that is formed during growth on glycolate), electron transfer flavoproteins A and B</w:t>
      </w:r>
      <w:r w:rsidR="00804F1A">
        <w:t xml:space="preserve"> </w:t>
      </w:r>
      <w:r w:rsidRPr="00E72F7E">
        <w:t xml:space="preserve">(serve as specific electron acceptors for dehydrogenases), acetyl CoA synthetase (involved in many pathways including synthesis of amino acid and degradation of ethanol and chitin), glucose-6-phosphate 1-dehydrogenase (first step in the </w:t>
      </w:r>
      <w:proofErr w:type="spellStart"/>
      <w:r w:rsidRPr="00E72F7E">
        <w:t>Entner-Doudoroff</w:t>
      </w:r>
      <w:proofErr w:type="spellEnd"/>
      <w:r w:rsidRPr="00E72F7E">
        <w:t xml:space="preserve"> Pathway), and glucokinase (last step in glycogen degradation). High expression levels specific to the</w:t>
      </w:r>
      <w:r>
        <w:t xml:space="preserve"> </w:t>
      </w:r>
      <w:r w:rsidRPr="00E72F7E">
        <w:t xml:space="preserve">polysaccharide treatment were e.g. malate synthase (~0.9%) and malate synthase-related protein (~0.5%) and related to the utilization </w:t>
      </w:r>
      <w:r w:rsidRPr="00E72F7E">
        <w:rPr>
          <w:spacing w:val="-3"/>
        </w:rPr>
        <w:t xml:space="preserve">of </w:t>
      </w:r>
      <w:r w:rsidRPr="00E72F7E">
        <w:t xml:space="preserve">carbohydrates (e.g. glycogen, chitin, rhamnose, xylose), and degradation of polysaccharides (e.g. beta-glucosidase). The nucleic acid core showed strong signals related to central metabolism e.g. aldehyde dehydrogenase A (~0.5% </w:t>
      </w:r>
      <w:r w:rsidRPr="00E72F7E">
        <w:rPr>
          <w:spacing w:val="-3"/>
        </w:rPr>
        <w:t xml:space="preserve">of </w:t>
      </w:r>
      <w:r w:rsidRPr="00E72F7E">
        <w:t>total reads) aerobically oxidizes L- lactaldehyde in two steps to pyruvate, malate dehydrogenase</w:t>
      </w:r>
      <w:r w:rsidR="00067F90">
        <w:t>,</w:t>
      </w:r>
      <w:r w:rsidRPr="00E72F7E">
        <w:t xml:space="preserve"> and </w:t>
      </w:r>
      <w:proofErr w:type="spellStart"/>
      <w:r w:rsidRPr="00E72F7E">
        <w:t>acetoacetyl</w:t>
      </w:r>
      <w:proofErr w:type="spellEnd"/>
      <w:r w:rsidRPr="00E72F7E">
        <w:t>-CoA. In addition, many genes (up to 0.4%) were related to the catabolism of deoxyribose</w:t>
      </w:r>
      <w:r w:rsidR="00067F90">
        <w:t>,</w:t>
      </w:r>
      <w:r w:rsidRPr="00E72F7E">
        <w:t xml:space="preserve"> and </w:t>
      </w:r>
      <w:proofErr w:type="spellStart"/>
      <w:r w:rsidRPr="00E72F7E">
        <w:t>deoxynucleosides</w:t>
      </w:r>
      <w:proofErr w:type="spellEnd"/>
      <w:r w:rsidRPr="00E72F7E">
        <w:t xml:space="preserve"> i.e. purine nucleoside phosphorylase, thymidine phosphorylase, </w:t>
      </w:r>
      <w:proofErr w:type="spellStart"/>
      <w:r w:rsidRPr="00E72F7E">
        <w:t>phosphopentomutase</w:t>
      </w:r>
      <w:proofErr w:type="spellEnd"/>
      <w:r w:rsidR="00067F90">
        <w:t>,</w:t>
      </w:r>
      <w:r w:rsidRPr="00E72F7E">
        <w:t xml:space="preserve"> and deoxyribose- phosphate aldolase. The nucleic acid non-cores were very small due to the large similarity in expression between nucleotide and DNA treatments. However, the protein core was composed of genes such as putative deoxyribonuclease, phosphate acetyltransferase</w:t>
      </w:r>
      <w:r w:rsidR="00067F90">
        <w:t>,</w:t>
      </w:r>
      <w:r w:rsidRPr="00E72F7E">
        <w:t xml:space="preserve"> and methylglyoxal synthase. Notable, in the amino acid non-core was fatty acid metabolism (e.g. enoyl-CoA hydratase, 3- </w:t>
      </w:r>
      <w:proofErr w:type="spellStart"/>
      <w:r w:rsidRPr="00E72F7E">
        <w:t>hydroxyacyl</w:t>
      </w:r>
      <w:proofErr w:type="spellEnd"/>
      <w:r w:rsidRPr="00E72F7E">
        <w:t xml:space="preserve">-CoA dehydrogenase, 3-ketoacyl-CoA </w:t>
      </w:r>
      <w:proofErr w:type="spellStart"/>
      <w:r w:rsidRPr="00E72F7E">
        <w:t>thiolase</w:t>
      </w:r>
      <w:proofErr w:type="spellEnd"/>
      <w:r w:rsidR="00067F90">
        <w:t>,</w:t>
      </w:r>
      <w:r w:rsidRPr="00E72F7E">
        <w:t xml:space="preserve"> and butyryl-CoA dehydrogenase), and pyruvate metabolism I and II (e.g. succinate-semialdehyde dehydrogenase (NADP+), oxaloacetate decarboxylase alpha and beta chain, pyruvate dehydrogenase E1 component). The polypeptide non- core was e.g. enriched in serine glyoxylate cycle (e.g. </w:t>
      </w:r>
      <w:proofErr w:type="spellStart"/>
      <w:r w:rsidRPr="00E72F7E">
        <w:t>methylmalonyl</w:t>
      </w:r>
      <w:proofErr w:type="spellEnd"/>
      <w:r w:rsidRPr="00E72F7E">
        <w:t xml:space="preserve">-CoA mutase) and folate- mediated one-carbon metabolism associated genes (e.g. methylenetetrahydrofolate dehydrogenase (NADP+), </w:t>
      </w:r>
      <w:proofErr w:type="spellStart"/>
      <w:r w:rsidRPr="00E72F7E">
        <w:t>aminomethyltransferase</w:t>
      </w:r>
      <w:proofErr w:type="spellEnd"/>
      <w:r w:rsidRPr="00E72F7E">
        <w:t>, thymidylate synthase, and dihydrofolate reductase). The above</w:t>
      </w:r>
      <w:r w:rsidR="005D0ADC">
        <w:t>-</w:t>
      </w:r>
      <w:r w:rsidRPr="00E72F7E">
        <w:t>mentioned SEED subcategories covered the most abundant functional processes that were representative for carbohydrates and nucleic acids. However, the relatively high abundances of other subcategories were notable</w:t>
      </w:r>
      <w:r w:rsidR="00067F90">
        <w:t>,</w:t>
      </w:r>
      <w:r w:rsidRPr="00E72F7E">
        <w:t xml:space="preserve"> especially in the protein treatments. In general, the protein cores were small accounting for ~1.5% of total reads with enrichments in DNA repair (~0.4% </w:t>
      </w:r>
      <w:r w:rsidRPr="00E72F7E">
        <w:rPr>
          <w:spacing w:val="-3"/>
        </w:rPr>
        <w:t xml:space="preserve">of </w:t>
      </w:r>
      <w:r w:rsidRPr="00E72F7E">
        <w:t xml:space="preserve">total reads), </w:t>
      </w:r>
      <w:r w:rsidRPr="00E72F7E">
        <w:rPr>
          <w:i/>
        </w:rPr>
        <w:t xml:space="preserve">Phosphate metabolism </w:t>
      </w:r>
      <w:r w:rsidRPr="00E72F7E">
        <w:t xml:space="preserve">(~0.2%), and </w:t>
      </w:r>
      <w:r w:rsidRPr="00E72F7E">
        <w:rPr>
          <w:i/>
        </w:rPr>
        <w:t xml:space="preserve">RNA degradation </w:t>
      </w:r>
      <w:r w:rsidRPr="00E72F7E">
        <w:t xml:space="preserve">(~0.2%). However, non-cores were large in comparison accounting for ~20% </w:t>
      </w:r>
      <w:r w:rsidRPr="00E72F7E">
        <w:rPr>
          <w:spacing w:val="-3"/>
        </w:rPr>
        <w:t xml:space="preserve">of </w:t>
      </w:r>
      <w:r w:rsidR="00067F90">
        <w:rPr>
          <w:spacing w:val="-3"/>
        </w:rPr>
        <w:t xml:space="preserve">the </w:t>
      </w:r>
      <w:r w:rsidRPr="00E72F7E">
        <w:t xml:space="preserve">total reads. The amino acid non-core was dominated by n- </w:t>
      </w:r>
      <w:proofErr w:type="spellStart"/>
      <w:r w:rsidRPr="00E72F7E">
        <w:t>phenylalkanoic</w:t>
      </w:r>
      <w:proofErr w:type="spellEnd"/>
      <w:r w:rsidRPr="00E72F7E">
        <w:t xml:space="preserve"> acid degradation (2.6%), Oxidative stress response (1.7%), and high abundances of 3- ketoacyl-CoA </w:t>
      </w:r>
      <w:proofErr w:type="spellStart"/>
      <w:r w:rsidRPr="00E72F7E">
        <w:t>thiolase</w:t>
      </w:r>
      <w:proofErr w:type="spellEnd"/>
      <w:r w:rsidRPr="00E72F7E">
        <w:t xml:space="preserve"> and Butyryl-CoA dehydrogenase (both ~0.8%) that are important in e.g. the degradation of amino acids such as valine, leucine</w:t>
      </w:r>
      <w:r w:rsidR="00067F90">
        <w:t>,</w:t>
      </w:r>
      <w:r w:rsidRPr="00E72F7E">
        <w:t xml:space="preserve"> and isoleucine. Contrary, polypeptide non-cores were characterized by DNA-replication (0.9% of total reads), Purine de novo biosynthesis (0.8%) e.g. </w:t>
      </w:r>
      <w:proofErr w:type="spellStart"/>
      <w:r w:rsidRPr="00E72F7E">
        <w:t>amidophosphoribosyltransferase</w:t>
      </w:r>
      <w:proofErr w:type="spellEnd"/>
      <w:r w:rsidRPr="00E72F7E">
        <w:t xml:space="preserve"> (0.2%) involved </w:t>
      </w:r>
      <w:r w:rsidRPr="00E72F7E">
        <w:rPr>
          <w:spacing w:val="-3"/>
        </w:rPr>
        <w:t xml:space="preserve">in </w:t>
      </w:r>
      <w:r w:rsidRPr="00E72F7E">
        <w:t>purine metabolism and alanine, aspartate and glutamate metabolism together with glucosamine--fructose-6-</w:t>
      </w:r>
      <w:r w:rsidRPr="00E72F7E">
        <w:lastRenderedPageBreak/>
        <w:t>phosphate aminotransferase</w:t>
      </w:r>
      <w:r w:rsidRPr="00E72F7E">
        <w:rPr>
          <w:spacing w:val="-32"/>
        </w:rPr>
        <w:t xml:space="preserve"> </w:t>
      </w:r>
      <w:r w:rsidRPr="00E72F7E">
        <w:t>(~0.2%).</w:t>
      </w:r>
    </w:p>
    <w:sectPr w:rsidR="005C37AA" w:rsidRPr="00EC2597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ABC4A" w14:textId="77777777" w:rsidR="002402DC" w:rsidRDefault="002402DC" w:rsidP="00117666">
      <w:pPr>
        <w:spacing w:after="0"/>
      </w:pPr>
      <w:r>
        <w:separator/>
      </w:r>
    </w:p>
  </w:endnote>
  <w:endnote w:type="continuationSeparator" w:id="0">
    <w:p w14:paraId="2C180A26" w14:textId="77777777" w:rsidR="002402DC" w:rsidRDefault="002402D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30E06" w14:textId="77777777" w:rsidR="002402DC" w:rsidRDefault="002402DC" w:rsidP="00117666">
      <w:pPr>
        <w:spacing w:after="0"/>
      </w:pPr>
      <w:r>
        <w:separator/>
      </w:r>
    </w:p>
  </w:footnote>
  <w:footnote w:type="continuationSeparator" w:id="0">
    <w:p w14:paraId="777B71DE" w14:textId="77777777" w:rsidR="002402DC" w:rsidRDefault="002402D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9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67F90"/>
    <w:rsid w:val="0007334D"/>
    <w:rsid w:val="00077D53"/>
    <w:rsid w:val="000E7145"/>
    <w:rsid w:val="00105FD9"/>
    <w:rsid w:val="001107C1"/>
    <w:rsid w:val="00117666"/>
    <w:rsid w:val="00136D01"/>
    <w:rsid w:val="001549D3"/>
    <w:rsid w:val="00160065"/>
    <w:rsid w:val="00177D84"/>
    <w:rsid w:val="001A7483"/>
    <w:rsid w:val="001F7B7C"/>
    <w:rsid w:val="002236EB"/>
    <w:rsid w:val="002402DC"/>
    <w:rsid w:val="00244F69"/>
    <w:rsid w:val="00267D18"/>
    <w:rsid w:val="00274347"/>
    <w:rsid w:val="002743F9"/>
    <w:rsid w:val="002868E2"/>
    <w:rsid w:val="002869C3"/>
    <w:rsid w:val="002936E4"/>
    <w:rsid w:val="002B4A57"/>
    <w:rsid w:val="002C74CA"/>
    <w:rsid w:val="002F5845"/>
    <w:rsid w:val="003123F4"/>
    <w:rsid w:val="00327499"/>
    <w:rsid w:val="003544FB"/>
    <w:rsid w:val="003757B2"/>
    <w:rsid w:val="00397CEF"/>
    <w:rsid w:val="003C3EF3"/>
    <w:rsid w:val="003D2F2D"/>
    <w:rsid w:val="003D5B30"/>
    <w:rsid w:val="003E524C"/>
    <w:rsid w:val="00401590"/>
    <w:rsid w:val="00447801"/>
    <w:rsid w:val="00451FB6"/>
    <w:rsid w:val="00452E9C"/>
    <w:rsid w:val="004549A2"/>
    <w:rsid w:val="00461CCE"/>
    <w:rsid w:val="004735C8"/>
    <w:rsid w:val="00484394"/>
    <w:rsid w:val="004947A6"/>
    <w:rsid w:val="004961FF"/>
    <w:rsid w:val="004B37D2"/>
    <w:rsid w:val="004D1B84"/>
    <w:rsid w:val="004E10B6"/>
    <w:rsid w:val="004F04A3"/>
    <w:rsid w:val="00517A89"/>
    <w:rsid w:val="005250F2"/>
    <w:rsid w:val="00593EEA"/>
    <w:rsid w:val="005A5EEE"/>
    <w:rsid w:val="005C37AA"/>
    <w:rsid w:val="005D0ADC"/>
    <w:rsid w:val="006375C7"/>
    <w:rsid w:val="00654E8F"/>
    <w:rsid w:val="00660D05"/>
    <w:rsid w:val="006820B1"/>
    <w:rsid w:val="006A09F7"/>
    <w:rsid w:val="006B7D14"/>
    <w:rsid w:val="00701727"/>
    <w:rsid w:val="0070566C"/>
    <w:rsid w:val="00710381"/>
    <w:rsid w:val="00714C50"/>
    <w:rsid w:val="00725A7D"/>
    <w:rsid w:val="007501BE"/>
    <w:rsid w:val="00790BB3"/>
    <w:rsid w:val="007C206C"/>
    <w:rsid w:val="00804F1A"/>
    <w:rsid w:val="00817DD6"/>
    <w:rsid w:val="0083759F"/>
    <w:rsid w:val="00885156"/>
    <w:rsid w:val="008A6B78"/>
    <w:rsid w:val="008C5996"/>
    <w:rsid w:val="00904538"/>
    <w:rsid w:val="00907B0D"/>
    <w:rsid w:val="009151AA"/>
    <w:rsid w:val="0093429D"/>
    <w:rsid w:val="00943573"/>
    <w:rsid w:val="00964134"/>
    <w:rsid w:val="00970F7D"/>
    <w:rsid w:val="00994A3D"/>
    <w:rsid w:val="009C2B12"/>
    <w:rsid w:val="009C4714"/>
    <w:rsid w:val="00A024A7"/>
    <w:rsid w:val="00A174D9"/>
    <w:rsid w:val="00A735A6"/>
    <w:rsid w:val="00A82DE5"/>
    <w:rsid w:val="00AA4D24"/>
    <w:rsid w:val="00AB6715"/>
    <w:rsid w:val="00B1671E"/>
    <w:rsid w:val="00B25EB8"/>
    <w:rsid w:val="00B37F4D"/>
    <w:rsid w:val="00B67307"/>
    <w:rsid w:val="00B932D7"/>
    <w:rsid w:val="00BA093C"/>
    <w:rsid w:val="00BC4B25"/>
    <w:rsid w:val="00BC6B2D"/>
    <w:rsid w:val="00C52A7B"/>
    <w:rsid w:val="00C56BAF"/>
    <w:rsid w:val="00C679AA"/>
    <w:rsid w:val="00C7502D"/>
    <w:rsid w:val="00C75972"/>
    <w:rsid w:val="00CA2322"/>
    <w:rsid w:val="00CD066B"/>
    <w:rsid w:val="00CE4FEE"/>
    <w:rsid w:val="00D060CF"/>
    <w:rsid w:val="00D65E1B"/>
    <w:rsid w:val="00D7645B"/>
    <w:rsid w:val="00D84CD9"/>
    <w:rsid w:val="00D974FB"/>
    <w:rsid w:val="00DB59C3"/>
    <w:rsid w:val="00DC259A"/>
    <w:rsid w:val="00DE23E8"/>
    <w:rsid w:val="00DF5731"/>
    <w:rsid w:val="00E52377"/>
    <w:rsid w:val="00E537AD"/>
    <w:rsid w:val="00E64E17"/>
    <w:rsid w:val="00E866C9"/>
    <w:rsid w:val="00EA3D3C"/>
    <w:rsid w:val="00EC090A"/>
    <w:rsid w:val="00EC2597"/>
    <w:rsid w:val="00ED20B5"/>
    <w:rsid w:val="00F25627"/>
    <w:rsid w:val="00F46900"/>
    <w:rsid w:val="00F61D89"/>
    <w:rsid w:val="00F8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BodyText">
    <w:name w:val="Body Text"/>
    <w:basedOn w:val="Normal"/>
    <w:link w:val="BodyTextChar"/>
    <w:uiPriority w:val="1"/>
    <w:qFormat/>
    <w:rsid w:val="00EC2597"/>
    <w:pPr>
      <w:widowControl w:val="0"/>
      <w:autoSpaceDE w:val="0"/>
      <w:autoSpaceDN w:val="0"/>
      <w:spacing w:before="0" w:after="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259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C2597"/>
    <w:pPr>
      <w:widowControl w:val="0"/>
      <w:autoSpaceDE w:val="0"/>
      <w:autoSpaceDN w:val="0"/>
      <w:spacing w:before="2" w:after="0"/>
    </w:pPr>
    <w:rPr>
      <w:rFonts w:eastAsia="Times New Roman" w:cs="Times New Roman"/>
      <w:sz w:val="22"/>
    </w:rPr>
  </w:style>
  <w:style w:type="paragraph" w:styleId="Revision">
    <w:name w:val="Revision"/>
    <w:hidden/>
    <w:uiPriority w:val="99"/>
    <w:semiHidden/>
    <w:rsid w:val="00A735A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D34219-B930-3345-BE77-BA54C1C6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8</TotalTime>
  <Pages>7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Benjamin Pontiller</cp:lastModifiedBy>
  <cp:revision>6</cp:revision>
  <cp:lastPrinted>2013-10-03T12:51:00Z</cp:lastPrinted>
  <dcterms:created xsi:type="dcterms:W3CDTF">2020-09-16T07:11:00Z</dcterms:created>
  <dcterms:modified xsi:type="dcterms:W3CDTF">2020-09-16T11:43:00Z</dcterms:modified>
</cp:coreProperties>
</file>