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EA" w:rsidRPr="00A65953" w:rsidRDefault="001E7CEA" w:rsidP="001E7CEA">
      <w:pPr>
        <w:widowControl/>
        <w:suppressAutoHyphens/>
        <w:rPr>
          <w:rStyle w:val="tlid-translation"/>
          <w:rFonts w:ascii="Times New Roman" w:hAnsi="Times New Roman"/>
        </w:rPr>
      </w:pPr>
      <w:r w:rsidRPr="00A65953">
        <w:rPr>
          <w:rStyle w:val="tlid-translation"/>
          <w:rFonts w:ascii="Times New Roman" w:hAnsi="Times New Roman"/>
          <w:b/>
          <w:bCs/>
        </w:rPr>
        <w:t xml:space="preserve">Supplementary Table </w:t>
      </w:r>
      <w:r w:rsidR="000808EF" w:rsidRPr="00A65953">
        <w:rPr>
          <w:rStyle w:val="tlid-translation"/>
          <w:rFonts w:ascii="Times New Roman" w:hAnsi="Times New Roman" w:hint="eastAsia"/>
          <w:b/>
          <w:bCs/>
        </w:rPr>
        <w:t>S</w:t>
      </w:r>
      <w:r w:rsidRPr="00A65953">
        <w:rPr>
          <w:rStyle w:val="tlid-translation"/>
          <w:rFonts w:ascii="Times New Roman" w:hAnsi="Times New Roman"/>
          <w:b/>
          <w:bCs/>
        </w:rPr>
        <w:t xml:space="preserve">1. </w:t>
      </w:r>
      <w:r w:rsidRPr="00A65953">
        <w:rPr>
          <w:rStyle w:val="tlid-translation"/>
          <w:rFonts w:ascii="Times New Roman" w:hAnsi="Times New Roman"/>
        </w:rPr>
        <w:t>Summary of the seed transcriptome data of three rice genotypes</w:t>
      </w:r>
      <w:r w:rsidR="00767728" w:rsidRPr="00A65953">
        <w:rPr>
          <w:rStyle w:val="tlid-translation"/>
          <w:rFonts w:ascii="Times New Roman" w:hAnsi="Times New Roman" w:hint="eastAsia"/>
        </w:rPr>
        <w:t xml:space="preserve"> (three biological replicates per genotype)</w:t>
      </w:r>
    </w:p>
    <w:p w:rsidR="001E7CEA" w:rsidRPr="00A65953" w:rsidRDefault="001E7CEA" w:rsidP="001E7CEA">
      <w:pPr>
        <w:widowControl/>
        <w:suppressAutoHyphens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51"/>
        <w:gridCol w:w="1134"/>
        <w:gridCol w:w="1134"/>
        <w:gridCol w:w="1276"/>
        <w:gridCol w:w="709"/>
        <w:gridCol w:w="850"/>
        <w:gridCol w:w="934"/>
        <w:gridCol w:w="1134"/>
      </w:tblGrid>
      <w:tr w:rsidR="001E7CEA" w:rsidRPr="00A65953" w:rsidTr="001E7CEA">
        <w:trPr>
          <w:jc w:val="center"/>
        </w:trPr>
        <w:tc>
          <w:tcPr>
            <w:tcW w:w="10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Genotype</w:t>
            </w: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No. of raw reads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No. of clean reads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No. of clean bases (G)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Error (%)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Q20 (%)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Q30 (%)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GC content (%)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WT1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57,771,350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55,506,638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8.33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97.22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93.02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57.35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WT2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48,865,602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47,158,540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7.07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97.15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92.74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57.64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WT3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58,752,920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56,605,158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8.49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97.31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93.10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57.96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ST1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61,112,536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58,707,250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8.81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97.27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93.14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56.44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ST2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53,218,670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51,375,386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7.71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97.18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92.76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56.89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ST3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51,833,980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49,838,962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7.48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97.06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92.56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57.42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OT1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48,748,660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47,047,284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7.06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96.99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92.46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56.76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OT2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50,526,390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48,771,782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7.32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97.08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92.64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56.84</w:t>
            </w:r>
          </w:p>
        </w:tc>
      </w:tr>
      <w:tr w:rsidR="001E7CEA" w:rsidRPr="00A65953" w:rsidTr="001E7CEA">
        <w:trPr>
          <w:jc w:val="center"/>
        </w:trPr>
        <w:tc>
          <w:tcPr>
            <w:tcW w:w="1051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OT3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43,867,858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42,290,986</w:t>
            </w:r>
          </w:p>
        </w:tc>
        <w:tc>
          <w:tcPr>
            <w:tcW w:w="1276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6.34</w:t>
            </w:r>
          </w:p>
        </w:tc>
        <w:tc>
          <w:tcPr>
            <w:tcW w:w="709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97.22</w:t>
            </w:r>
          </w:p>
        </w:tc>
        <w:tc>
          <w:tcPr>
            <w:tcW w:w="9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92.96</w:t>
            </w:r>
          </w:p>
        </w:tc>
        <w:tc>
          <w:tcPr>
            <w:tcW w:w="1134" w:type="dxa"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57.02</w:t>
            </w:r>
          </w:p>
        </w:tc>
      </w:tr>
    </w:tbl>
    <w:p w:rsidR="001E7CEA" w:rsidRPr="00A65953" w:rsidRDefault="001E7CEA" w:rsidP="001E7CEA">
      <w:pPr>
        <w:suppressAutoHyphens/>
        <w:ind w:firstLineChars="100" w:firstLine="180"/>
        <w:rPr>
          <w:rStyle w:val="tlid-translation"/>
          <w:rFonts w:ascii="Times New Roman" w:hAnsi="Times New Roman"/>
          <w:sz w:val="18"/>
          <w:szCs w:val="18"/>
        </w:rPr>
      </w:pPr>
      <w:r w:rsidRPr="00A65953">
        <w:rPr>
          <w:rStyle w:val="tlid-translation"/>
          <w:rFonts w:ascii="Times New Roman" w:hAnsi="Times New Roman"/>
          <w:sz w:val="18"/>
          <w:szCs w:val="18"/>
          <w:vertAlign w:val="superscript"/>
        </w:rPr>
        <w:t>†</w:t>
      </w:r>
      <w:r w:rsidRPr="00A65953">
        <w:rPr>
          <w:rStyle w:val="tlid-translation"/>
          <w:rFonts w:ascii="Times New Roman" w:hAnsi="Times New Roman"/>
          <w:sz w:val="18"/>
          <w:szCs w:val="18"/>
        </w:rPr>
        <w:t>WT, ‘Kasalath’; ST, MIM164c; OT, OE164c. Numbers 1, 2, and 3 represent different replicates of the same sample.</w:t>
      </w:r>
    </w:p>
    <w:p w:rsidR="001E7CEA" w:rsidRPr="00A65953" w:rsidRDefault="001E7CEA" w:rsidP="001E7CEA">
      <w:pPr>
        <w:suppressAutoHyphens/>
        <w:rPr>
          <w:rStyle w:val="tlid-translation"/>
          <w:rFonts w:ascii="Times New Roman" w:hAnsi="Times New Roman"/>
          <w:sz w:val="18"/>
          <w:szCs w:val="18"/>
        </w:rPr>
      </w:pPr>
    </w:p>
    <w:p w:rsidR="001E7CEA" w:rsidRPr="00A65953" w:rsidRDefault="001E7CEA" w:rsidP="001E7CEA">
      <w:pPr>
        <w:suppressAutoHyphens/>
        <w:rPr>
          <w:rStyle w:val="tlid-translation"/>
          <w:rFonts w:ascii="Times New Roman" w:hAnsi="Times New Roman"/>
          <w:bCs/>
        </w:rPr>
      </w:pPr>
      <w:r w:rsidRPr="00A65953">
        <w:rPr>
          <w:rStyle w:val="tlid-translation"/>
          <w:rFonts w:ascii="Times New Roman" w:hAnsi="Times New Roman"/>
          <w:b/>
        </w:rPr>
        <w:t xml:space="preserve">Supplementary Table </w:t>
      </w:r>
      <w:r w:rsidR="000808EF" w:rsidRPr="00A65953">
        <w:rPr>
          <w:rStyle w:val="tlid-translation"/>
          <w:rFonts w:ascii="Times New Roman" w:hAnsi="Times New Roman"/>
          <w:b/>
        </w:rPr>
        <w:t>S</w:t>
      </w:r>
      <w:r w:rsidRPr="00A65953">
        <w:rPr>
          <w:rStyle w:val="tlid-translation"/>
          <w:rFonts w:ascii="Times New Roman" w:hAnsi="Times New Roman"/>
          <w:b/>
        </w:rPr>
        <w:t xml:space="preserve">2. </w:t>
      </w:r>
      <w:r w:rsidRPr="00A65953">
        <w:rPr>
          <w:rStyle w:val="tlid-translation"/>
          <w:rFonts w:ascii="Times New Roman" w:hAnsi="Times New Roman"/>
          <w:bCs/>
        </w:rPr>
        <w:t>Distribution of gene transcript levels in various rice seed samples</w:t>
      </w:r>
    </w:p>
    <w:p w:rsidR="001E7CEA" w:rsidRPr="00A65953" w:rsidRDefault="001E7CEA" w:rsidP="001E7CEA">
      <w:pPr>
        <w:suppressAutoHyphens/>
        <w:rPr>
          <w:rFonts w:ascii="Times New Roman" w:hAnsi="Times New Roman"/>
          <w:b/>
          <w:sz w:val="18"/>
          <w:szCs w:val="18"/>
        </w:rPr>
      </w:pPr>
    </w:p>
    <w:tbl>
      <w:tblPr>
        <w:tblW w:w="10130" w:type="dxa"/>
        <w:jc w:val="center"/>
        <w:tblInd w:w="-1800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774"/>
        <w:gridCol w:w="992"/>
        <w:gridCol w:w="1135"/>
        <w:gridCol w:w="992"/>
        <w:gridCol w:w="1134"/>
        <w:gridCol w:w="992"/>
        <w:gridCol w:w="992"/>
        <w:gridCol w:w="1134"/>
        <w:gridCol w:w="993"/>
        <w:gridCol w:w="992"/>
      </w:tblGrid>
      <w:tr w:rsidR="00A65953" w:rsidRPr="00A65953" w:rsidTr="00A65953">
        <w:trPr>
          <w:trHeight w:val="280"/>
          <w:jc w:val="center"/>
        </w:trPr>
        <w:tc>
          <w:tcPr>
            <w:tcW w:w="77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FPKM interval</w:t>
            </w: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WT1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WT2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WT3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ST1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ST2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ST3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OT1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9444E3">
            <w:pPr>
              <w:widowControl/>
              <w:suppressAutoHyphens/>
              <w:spacing w:line="0" w:lineRule="atLeast"/>
              <w:ind w:leftChars="-48" w:left="-101" w:firstLineChars="63" w:firstLine="101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OT2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spacing w:line="0" w:lineRule="atLeas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OT3</w:t>
            </w:r>
            <w:r w:rsidR="001C7C19" w:rsidRPr="00A65953"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</w:rPr>
              <w:t>#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0–1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75,095 (81.63%)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74,891 (81.41%)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75,023 (81.55%)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74,454 (80.94%)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74,619 (81.11%)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74,537 (81.03%)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74,382 (80.86%)</w:t>
            </w: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74,366 (80.84%)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74,193 (80.65%)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1–3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4,689 (5.10%)</w:t>
            </w:r>
          </w:p>
        </w:tc>
        <w:tc>
          <w:tcPr>
            <w:tcW w:w="1135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4,656 (5.06%)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4,648 (5.05%)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4,642 (5.05%)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4,565 (4.96%)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4,663 (5.07%)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4,873 (5.30%)</w:t>
            </w:r>
          </w:p>
        </w:tc>
        <w:tc>
          <w:tcPr>
            <w:tcW w:w="993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4,737 (5.15%)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4,786 (5.20%)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3–15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7,012 (7.62%)</w:t>
            </w:r>
          </w:p>
        </w:tc>
        <w:tc>
          <w:tcPr>
            <w:tcW w:w="1135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7,157 (7.78%)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7,114 (7.73%)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6,980 (7.59%)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6,986 (7.59%)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7,074 (7.69%)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7,147 (7.77%)</w:t>
            </w:r>
          </w:p>
        </w:tc>
        <w:tc>
          <w:tcPr>
            <w:tcW w:w="993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7,182 (7.81%)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7,240 (7.87%)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15–60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3,616 3.93%)</w:t>
            </w:r>
          </w:p>
        </w:tc>
        <w:tc>
          <w:tcPr>
            <w:tcW w:w="1135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3,682 (4.00%)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3,616 (3.93%)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4,052 (4.40%)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4,008 (4.36%)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3,965 (4.31%)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3,904 (4.24%)</w:t>
            </w:r>
          </w:p>
        </w:tc>
        <w:tc>
          <w:tcPr>
            <w:tcW w:w="993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3,982 (4.33%)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4,026 (4.38%)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&gt;60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1,580 (1.72%)</w:t>
            </w:r>
          </w:p>
        </w:tc>
        <w:tc>
          <w:tcPr>
            <w:tcW w:w="1135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1,606 (1.75%)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1,591 (1.73%)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1,864 (2.03%)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1,814 (1.97%)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1,753 (1.91%)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1,686 (1.83%)</w:t>
            </w:r>
          </w:p>
        </w:tc>
        <w:tc>
          <w:tcPr>
            <w:tcW w:w="993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1,725 (1.88%)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1,747 (1.90%)</w:t>
            </w:r>
          </w:p>
        </w:tc>
      </w:tr>
      <w:tr w:rsidR="00A65953" w:rsidRPr="00A65953" w:rsidTr="00A65953">
        <w:trPr>
          <w:trHeight w:val="280"/>
          <w:jc w:val="center"/>
        </w:trPr>
        <w:tc>
          <w:tcPr>
            <w:tcW w:w="77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Total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1135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1134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993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  <w:tc>
          <w:tcPr>
            <w:tcW w:w="992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5953">
              <w:rPr>
                <w:rFonts w:ascii="Times New Roman" w:hAnsi="Times New Roman"/>
                <w:kern w:val="0"/>
                <w:sz w:val="16"/>
                <w:szCs w:val="16"/>
              </w:rPr>
              <w:t>91,992</w:t>
            </w:r>
          </w:p>
        </w:tc>
      </w:tr>
    </w:tbl>
    <w:p w:rsidR="001E7CEA" w:rsidRPr="00A65953" w:rsidRDefault="001E7CEA" w:rsidP="001E7CEA">
      <w:pPr>
        <w:widowControl/>
        <w:suppressAutoHyphens/>
        <w:rPr>
          <w:rFonts w:ascii="Times New Roman" w:hAnsi="Times New Roman"/>
          <w:sz w:val="18"/>
          <w:szCs w:val="18"/>
        </w:rPr>
      </w:pPr>
      <w:r w:rsidRPr="00A65953">
        <w:rPr>
          <w:rFonts w:ascii="Times New Roman" w:hAnsi="Times New Roman"/>
          <w:sz w:val="18"/>
          <w:szCs w:val="18"/>
          <w:vertAlign w:val="superscript"/>
        </w:rPr>
        <w:t>†</w:t>
      </w:r>
      <w:r w:rsidRPr="00A65953">
        <w:rPr>
          <w:rFonts w:ascii="Times New Roman" w:hAnsi="Times New Roman"/>
          <w:sz w:val="18"/>
          <w:szCs w:val="18"/>
        </w:rPr>
        <w:t>FPKM refers to the expected number of fragments per kilobase of transcript sequence per million reads sequenced.</w:t>
      </w:r>
      <w:r w:rsidR="00767728" w:rsidRPr="00A65953">
        <w:rPr>
          <w:rFonts w:ascii="Times New Roman" w:hAnsi="Times New Roman" w:hint="eastAsia"/>
          <w:sz w:val="18"/>
          <w:szCs w:val="18"/>
        </w:rPr>
        <w:t xml:space="preserve"> </w:t>
      </w:r>
      <w:r w:rsidR="001C7C19" w:rsidRPr="00A65953">
        <w:rPr>
          <w:rFonts w:ascii="Times New Roman" w:hAnsi="Times New Roman"/>
          <w:b/>
          <w:bCs/>
          <w:kern w:val="0"/>
          <w:sz w:val="16"/>
          <w:szCs w:val="16"/>
          <w:vertAlign w:val="superscript"/>
        </w:rPr>
        <w:t>*</w:t>
      </w:r>
      <w:r w:rsidR="00767728" w:rsidRPr="00A65953">
        <w:rPr>
          <w:rFonts w:ascii="Times New Roman" w:hAnsi="Times New Roman" w:hint="eastAsia"/>
          <w:sz w:val="18"/>
          <w:szCs w:val="18"/>
        </w:rPr>
        <w:t xml:space="preserve">WT1, WT2 and WT3 refer to three biological replicates of WT; </w:t>
      </w:r>
      <w:r w:rsidR="001C7C19" w:rsidRPr="00A65953">
        <w:rPr>
          <w:rFonts w:ascii="Times New Roman" w:hAnsi="Times New Roman"/>
          <w:b/>
          <w:bCs/>
          <w:kern w:val="0"/>
          <w:sz w:val="16"/>
          <w:szCs w:val="16"/>
          <w:vertAlign w:val="superscript"/>
        </w:rPr>
        <w:t>^</w:t>
      </w:r>
      <w:r w:rsidR="00767728" w:rsidRPr="00A65953">
        <w:rPr>
          <w:rFonts w:ascii="Times New Roman" w:hAnsi="Times New Roman" w:hint="eastAsia"/>
          <w:sz w:val="18"/>
          <w:szCs w:val="18"/>
        </w:rPr>
        <w:t xml:space="preserve">ST1, ST2 and ST3 refer to three biological replicates of ST; </w:t>
      </w:r>
      <w:r w:rsidR="001C7C19" w:rsidRPr="00A65953">
        <w:rPr>
          <w:rFonts w:ascii="Times New Roman" w:hAnsi="Times New Roman"/>
          <w:b/>
          <w:bCs/>
          <w:kern w:val="0"/>
          <w:sz w:val="16"/>
          <w:szCs w:val="16"/>
          <w:vertAlign w:val="superscript"/>
        </w:rPr>
        <w:t>#</w:t>
      </w:r>
      <w:r w:rsidR="00767728" w:rsidRPr="00A65953">
        <w:rPr>
          <w:rFonts w:ascii="Times New Roman" w:hAnsi="Times New Roman" w:hint="eastAsia"/>
          <w:sz w:val="18"/>
          <w:szCs w:val="18"/>
        </w:rPr>
        <w:t>OT1, OT2 and OT3 refer to three biological replicates of OT.</w:t>
      </w:r>
    </w:p>
    <w:p w:rsidR="002404FD" w:rsidRPr="00A65953" w:rsidRDefault="002404FD">
      <w:pPr>
        <w:rPr>
          <w:rFonts w:ascii="Times New Roman" w:hAnsi="Times New Roman"/>
        </w:rPr>
      </w:pPr>
    </w:p>
    <w:p w:rsidR="001E7CEA" w:rsidRPr="00A65953" w:rsidRDefault="001E7CEA">
      <w:pPr>
        <w:rPr>
          <w:rFonts w:ascii="Times New Roman" w:hAnsi="Times New Roman"/>
        </w:rPr>
      </w:pPr>
    </w:p>
    <w:p w:rsidR="001E7CEA" w:rsidRPr="00A65953" w:rsidRDefault="001E7CEA" w:rsidP="001E7CEA">
      <w:pPr>
        <w:widowControl/>
        <w:suppressAutoHyphens/>
        <w:rPr>
          <w:rStyle w:val="tlid-translation"/>
          <w:rFonts w:ascii="Times New Roman" w:hAnsi="Times New Roman"/>
        </w:rPr>
      </w:pPr>
      <w:r w:rsidRPr="00A65953">
        <w:rPr>
          <w:rStyle w:val="tlid-translation"/>
          <w:rFonts w:ascii="Times New Roman" w:hAnsi="Times New Roman"/>
          <w:b/>
          <w:bCs/>
          <w:sz w:val="18"/>
          <w:szCs w:val="18"/>
        </w:rPr>
        <w:t xml:space="preserve">Supplementary Table </w:t>
      </w:r>
      <w:r w:rsidR="000808EF" w:rsidRPr="00A65953">
        <w:rPr>
          <w:rStyle w:val="tlid-translation"/>
          <w:rFonts w:ascii="Times New Roman" w:hAnsi="Times New Roman"/>
          <w:b/>
          <w:bCs/>
          <w:sz w:val="18"/>
          <w:szCs w:val="18"/>
        </w:rPr>
        <w:t>S</w:t>
      </w:r>
      <w:r w:rsidRPr="00A65953">
        <w:rPr>
          <w:rStyle w:val="tlid-translation"/>
          <w:rFonts w:ascii="Times New Roman" w:hAnsi="Times New Roman"/>
          <w:b/>
          <w:bCs/>
          <w:sz w:val="18"/>
          <w:szCs w:val="18"/>
        </w:rPr>
        <w:t>3.</w:t>
      </w:r>
      <w:r w:rsidRPr="00A65953">
        <w:rPr>
          <w:rStyle w:val="tlid-translation"/>
          <w:rFonts w:ascii="Times New Roman" w:hAnsi="Times New Roman"/>
          <w:sz w:val="18"/>
          <w:szCs w:val="18"/>
        </w:rPr>
        <w:t xml:space="preserve"> List of DEPs potentially involved in the regulation of the anti-aging capacity of </w:t>
      </w:r>
      <w:r w:rsidR="00F47911" w:rsidRPr="00A65953">
        <w:rPr>
          <w:rStyle w:val="tlid-translation"/>
          <w:rFonts w:ascii="Times New Roman" w:hAnsi="Times New Roman" w:hint="eastAsia"/>
          <w:sz w:val="18"/>
          <w:szCs w:val="18"/>
        </w:rPr>
        <w:t xml:space="preserve">rice </w:t>
      </w:r>
      <w:r w:rsidRPr="00A65953">
        <w:rPr>
          <w:rStyle w:val="tlid-translation"/>
          <w:rFonts w:ascii="Times New Roman" w:hAnsi="Times New Roman"/>
          <w:sz w:val="18"/>
          <w:szCs w:val="18"/>
        </w:rPr>
        <w:t>seeds</w:t>
      </w:r>
    </w:p>
    <w:tbl>
      <w:tblPr>
        <w:tblW w:w="11341" w:type="dxa"/>
        <w:tblInd w:w="-1276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276"/>
        <w:gridCol w:w="1637"/>
        <w:gridCol w:w="5876"/>
        <w:gridCol w:w="851"/>
        <w:gridCol w:w="850"/>
        <w:gridCol w:w="851"/>
      </w:tblGrid>
      <w:tr w:rsidR="001E7CEA" w:rsidRPr="00A65953" w:rsidTr="001E7CEA">
        <w:trPr>
          <w:trHeight w:val="288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Functional categories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Protein accession</w:t>
            </w:r>
          </w:p>
        </w:tc>
        <w:tc>
          <w:tcPr>
            <w:tcW w:w="587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Protein description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MW (kDa)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ST/WT ratio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OT/WT ratio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stress response</w:t>
            </w:r>
          </w:p>
        </w:tc>
        <w:tc>
          <w:tcPr>
            <w:tcW w:w="1637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Os01t0126100-01</w:t>
            </w:r>
          </w:p>
        </w:tc>
        <w:tc>
          <w:tcPr>
            <w:tcW w:w="5876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Cupredoxin domain containing protein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64.049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1.823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0.926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Os03t0244200-01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Similar to thaumatin-like protein 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28.464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1.738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0.982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Os03t0663400-02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1E7CEA">
            <w:pPr>
              <w:widowControl/>
              <w:tabs>
                <w:tab w:val="left" w:pos="7219"/>
              </w:tabs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Thaumatin-like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22.766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1.339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1.072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Os04t0465600-01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Bet v I allergen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17.266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0.866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1.175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Os04t0685400-02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Harpin-induced 1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24.532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0.825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0.752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Os05t0247800-01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Glycoside hydrolase, family 18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32.436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1.053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1.433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Os06t0114500-02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Similar to ATOZI1 protein (Stress-induced protein OZI1) (AT0ZI1 protein)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8.786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0.852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1.118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Os06t0503400-01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Reticulon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28.59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0.915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Os06t0691200-01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Thaumatin-like protein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25.634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1.174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Os06t0726200-02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Chitinase 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33.764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0.976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Os08t0102700-05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Harpin-induced 1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25.209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1.236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1.431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Os08t0189300-01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Germin-like protein 8-4, Disease resistance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24.574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0.866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1.392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Os05t0247100-02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Similar to Chitinase (EC 3.2.1.14) III C00481-rice (EC 3.2.1.14)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32.549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1.129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1.421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Os08t0387700-03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Hypothetical conserved gene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73.172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1.342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1.144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Os11t0592200-01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Chitin-binding allergen Bra r 2 (Fragments)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16.041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1.023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Os11t0654100-01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NB-ARC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105.29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0.652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0.749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Os12t0516300-03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Hypothetical conserved gene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14.055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0.853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0.743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Os01t0135800-01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Cytosolic class I small heat shock protein 3B (Fragment)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16.649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0.460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Os03t0261500-02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DnaJ subfamily C member 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29.237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1.050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Os03t0392400-01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Heat shock protein DnaJ, N-terminal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42.385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0.708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1.125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Os04t0307200-01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Cysteine string protein (CCCS1)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76.249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1.181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0.885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Os06t0716700-02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Heat shock protein 90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93.044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1.342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1.090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Os09t0474300-01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Heat shock protein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74.805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0.852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0.715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Os09t0482600-01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Heat shock protein 81-3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80.183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0.640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endoplasmic reticulum</w:t>
            </w: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Os03t0296400-03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Eukaryotic translation initiation factor 2 subunit 1 (Eukaryotic translation initiation factor 2 alpha subunit) (eIF-2-alpha) (EIF- 2alpha) (EIF-2A) (Fragment)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38.234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1.226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0.930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Os05t0156300-03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Protein disulfide isomerase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39.912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0.879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1.173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Os11t0244200-01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Pisum sativum 17.9 kDa heat shock protein (hsp17.9) (Fragment)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21.87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0.708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0.875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Os01t0136000-00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Cytosolic class I small heat shock protein HSP17.5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16.904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0.813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1.155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Os01t0184100-01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17.5 kDa class II heat shock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18.031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0.600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0.839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Os02t0117700-01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UDPase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51.612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1.234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1.336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Os02t0758000-01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Low molecular weight heat shock protein precursor (Mitochondrial small heat shock protein 22)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24.097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0.602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0.816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Os02t0782500-01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Small heat stress protein class CIII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18.603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0.756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0.841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Os03t0266300-03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Class I low molecular weight heat shock protein 17.9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17.91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0.633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0.847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Os04t0445100-01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22.7 kDa class IV heat shock protein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23.228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0.703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0.927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Os06t0219500-00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26.2 kDa heat shock protein, mitochondrial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33.533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0.641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0.876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Os06t0253100-01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Heat shock protein Hsp20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16.023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0.572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0.665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embryo development</w:t>
            </w: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Os04t0589800-01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Late embryogenesis abundant (LEA) group 1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12.564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0.733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1.125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Os06t0324400-01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Late embryogenesis abundant (LEA) group 1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8.7166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1.023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Os08t0327700-01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Late embryogenesis abundant (LEA) group 1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15.163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0.726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1.147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Os09t0278000-00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Hypothetical conserved gene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17.334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0.786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1.043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serine-type </w:t>
            </w: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endopeptidase inhibitor</w:t>
            </w: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Os01t0124200-02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Similar to Bowman–Birk trypsin inhibitor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27.735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0.806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1.367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Os01t0124401-01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Bowman–Birk type bran trypsin inhibitor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27.79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0.820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1.085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Os01t0127600-01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Bowman–Birk type proteinase inhibitor D-II precursor (IV)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19.334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0.723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1.192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Os07t0213800-01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Allergenic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17.27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1.139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0.637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Os07t0214100-01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Seed allergenic protein RA17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17.568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1.271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0.739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Os07t0214300-01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Seed allergenic protein RAG2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17.864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1.297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Os07t0214600-01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Seed allergenic protein RA17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16.982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1.048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0.723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Os07t0216600-01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Bifunctional trypsin/alpha-amylase inhibitor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16.406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1.128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0.785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Os07t0216700-01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Bifunctional trypsin/alpha-amylase inhibitor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16.477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1.158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0.654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Os07t0222000-01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Alpha-amylase/trypsin inhibitor (RBI) (RATI)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15.767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1.233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0.934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energy metabolism</w:t>
            </w: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Os02t0718900-02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ADP,ATP carrier protein, mitochondrial precursor (ADP/ATP translocase) (Adenine nucleotide translocator) (ANT)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41.51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1.054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0.681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Os05t0302700-01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ATP/ADP carrier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40.977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0.935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0.734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Os07t0616800-01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Sucrose synthase 3 (EC 2.4.1.13) (Sucrose-UDP glucosyltransferase 3)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93.111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1.142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0.810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Os06t0194900-03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Sucrose synthase 2 (EC 2.4.1.13)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92.128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1.117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0.782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Os06t0133000-02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Granule-bound starch synthase 1, Starch biosynthesis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66.475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1.311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0.842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Os06t0229800-01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Starch synthase IIA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88.374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0.923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0.768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Os08t0520900-00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Isoamylase (Fragment)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81.618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0.762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0.716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Os09t0511600-04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Glycoside hydrolase, family 1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58.388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1.377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1.756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Os08t0473600-01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Alpha-amylase isozyme 3E precursor (EC 3.2.1.1) (1,4-alpha-D-glucan glucanohydrolase)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48.707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0.884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1.266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Os03t0401300-01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Sucrose synthase 2 (EC 2.4.1.13) (Sucrose-UDP glucosyltransferase 2)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92.907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1.213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0.910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Os04t0535600-02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H0502G05.3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48.355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1.676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1.261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Os03t0772800-02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Cytochrome c oxidase, subunit VIa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10.782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1.138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0.713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Os07t0262200-02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Prohibitin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31.954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0.997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0.686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Os08t0250200-01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ATPase, F1 complex, epsilon subunit, mitochondrial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7.6707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0.946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0.764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Os03t0129900-01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NADH-ubiquinone oxidoreductase B18 subunit family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16.698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0.751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0.582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Os03t0606200-01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Mitochondrial ATP synthase 6 KD subunit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6.9711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1.069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0.805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Os03t0774200-02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NADH-ubiquinone oxidoreductase subunit 8 (EC 1.6.5.3)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25.539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0.704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0.722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Os08t0187800-01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Similar to Glucose-6-phosphate/phosphate-translocator precursor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42.018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1.023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kern w:val="0"/>
                <w:sz w:val="18"/>
                <w:szCs w:val="18"/>
              </w:rPr>
              <w:t>0.664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Os02t0202400-01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ADP-glucose transporter, Plastidic translocator, Starch synthesis during seed development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45.363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1.051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0.777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Other</w:t>
            </w: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Os12t0485800-01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Prefoldin domain containing protein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16.446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0.757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0.993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Os07t0246200-02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Similar to Calreticulin (Fragment)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48.308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1.551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1.130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Os04t0107900-02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Heat shock protein 81-1 (HSP81-1) (Heat shock protein 83)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27.957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0.668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0.774</w:t>
            </w:r>
          </w:p>
        </w:tc>
      </w:tr>
      <w:tr w:rsidR="001E7CEA" w:rsidRPr="00A65953" w:rsidTr="001E7CEA">
        <w:trPr>
          <w:trHeight w:val="288"/>
        </w:trPr>
        <w:tc>
          <w:tcPr>
            <w:tcW w:w="12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Os03t0780600-01</w:t>
            </w:r>
          </w:p>
        </w:tc>
        <w:tc>
          <w:tcPr>
            <w:tcW w:w="5876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Tubulin beta-1 chain (Beta-1 tubulin)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49.822</w:t>
            </w:r>
          </w:p>
        </w:tc>
        <w:tc>
          <w:tcPr>
            <w:tcW w:w="850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1.440</w:t>
            </w:r>
          </w:p>
        </w:tc>
        <w:tc>
          <w:tcPr>
            <w:tcW w:w="851" w:type="dxa"/>
            <w:noWrap/>
            <w:vAlign w:val="center"/>
          </w:tcPr>
          <w:p w:rsidR="001E7CEA" w:rsidRPr="00A65953" w:rsidRDefault="001E7CEA" w:rsidP="00767728">
            <w:pPr>
              <w:widowControl/>
              <w:suppressAutoHyphens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A65953">
              <w:rPr>
                <w:rFonts w:ascii="Times New Roman" w:hAnsi="Times New Roman"/>
                <w:b/>
                <w:kern w:val="0"/>
                <w:sz w:val="18"/>
                <w:szCs w:val="18"/>
              </w:rPr>
              <w:t>0.954</w:t>
            </w:r>
          </w:p>
        </w:tc>
      </w:tr>
    </w:tbl>
    <w:p w:rsidR="001E7CEA" w:rsidRPr="00A65953" w:rsidRDefault="001E7CEA" w:rsidP="001E7CEA">
      <w:pPr>
        <w:widowControl/>
        <w:suppressAutoHyphens/>
        <w:rPr>
          <w:rStyle w:val="tlid-translation"/>
          <w:rFonts w:ascii="Times New Roman" w:hAnsi="Times New Roman"/>
          <w:sz w:val="18"/>
          <w:szCs w:val="18"/>
        </w:rPr>
      </w:pPr>
      <w:r w:rsidRPr="00A65953">
        <w:rPr>
          <w:rStyle w:val="tlid-translation"/>
          <w:rFonts w:ascii="Times New Roman" w:hAnsi="Times New Roman"/>
          <w:sz w:val="18"/>
          <w:szCs w:val="18"/>
        </w:rPr>
        <w:t>Proteins indicated in bold represent those included in the gene/protein interaction network in Fig. 9.</w:t>
      </w:r>
    </w:p>
    <w:p w:rsidR="001E7CEA" w:rsidRPr="00A65953" w:rsidRDefault="001E7CEA" w:rsidP="001E7CEA">
      <w:pPr>
        <w:suppressAutoHyphens/>
        <w:spacing w:line="240" w:lineRule="atLeast"/>
        <w:rPr>
          <w:rStyle w:val="tlid-translation"/>
          <w:rFonts w:ascii="Times New Roman" w:hAnsi="Times New Roman"/>
          <w:b/>
          <w:bCs/>
        </w:rPr>
      </w:pPr>
    </w:p>
    <w:p w:rsidR="001E7CEA" w:rsidRPr="00A65953" w:rsidRDefault="001E7CEA">
      <w:pPr>
        <w:rPr>
          <w:rFonts w:ascii="Times New Roman" w:hAnsi="Times New Roman"/>
        </w:rPr>
      </w:pPr>
    </w:p>
    <w:sectPr w:rsidR="001E7CEA" w:rsidRPr="00A65953" w:rsidSect="002A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77" w:rsidRDefault="00A32E77" w:rsidP="001E7CEA">
      <w:r>
        <w:separator/>
      </w:r>
    </w:p>
  </w:endnote>
  <w:endnote w:type="continuationSeparator" w:id="1">
    <w:p w:rsidR="00A32E77" w:rsidRDefault="00A32E77" w:rsidP="001E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77" w:rsidRDefault="00A32E77" w:rsidP="001E7CEA">
      <w:r>
        <w:separator/>
      </w:r>
    </w:p>
  </w:footnote>
  <w:footnote w:type="continuationSeparator" w:id="1">
    <w:p w:rsidR="00A32E77" w:rsidRDefault="00A32E77" w:rsidP="001E7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jQ2MbMwMDU3NTSzsDBS0lEKTi0uzszPAykwqgUAt+jZuSwAAAA="/>
  </w:docVars>
  <w:rsids>
    <w:rsidRoot w:val="004311B6"/>
    <w:rsid w:val="00035CEA"/>
    <w:rsid w:val="000808EF"/>
    <w:rsid w:val="000F30AC"/>
    <w:rsid w:val="001C7C19"/>
    <w:rsid w:val="001E7CEA"/>
    <w:rsid w:val="002404FD"/>
    <w:rsid w:val="00244DD8"/>
    <w:rsid w:val="002A290D"/>
    <w:rsid w:val="00407251"/>
    <w:rsid w:val="004311B6"/>
    <w:rsid w:val="004D3A7C"/>
    <w:rsid w:val="006F46BC"/>
    <w:rsid w:val="00767728"/>
    <w:rsid w:val="009444E3"/>
    <w:rsid w:val="00A32E77"/>
    <w:rsid w:val="00A65953"/>
    <w:rsid w:val="00C80394"/>
    <w:rsid w:val="00CA64E0"/>
    <w:rsid w:val="00E93F17"/>
    <w:rsid w:val="00F4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CE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CEA"/>
    <w:rPr>
      <w:sz w:val="18"/>
      <w:szCs w:val="18"/>
    </w:rPr>
  </w:style>
  <w:style w:type="character" w:customStyle="1" w:styleId="tlid-translation">
    <w:name w:val="tlid-translation"/>
    <w:basedOn w:val="a0"/>
    <w:rsid w:val="001E7CEA"/>
  </w:style>
  <w:style w:type="character" w:styleId="a6">
    <w:name w:val="annotation reference"/>
    <w:uiPriority w:val="99"/>
    <w:unhideWhenUsed/>
    <w:rsid w:val="001E7CEA"/>
    <w:rPr>
      <w:rFonts w:ascii="Times New Roman" w:hAnsi="Times New Roman"/>
      <w:sz w:val="18"/>
      <w:szCs w:val="21"/>
    </w:rPr>
  </w:style>
  <w:style w:type="character" w:customStyle="1" w:styleId="Char2">
    <w:name w:val="批注文字 Char"/>
    <w:link w:val="a7"/>
    <w:uiPriority w:val="99"/>
    <w:rsid w:val="001E7CEA"/>
    <w:rPr>
      <w:rFonts w:ascii="Times New Roman" w:eastAsia="宋体" w:hAnsi="Times New Roman" w:cs="Times New Roman"/>
    </w:rPr>
  </w:style>
  <w:style w:type="paragraph" w:styleId="a7">
    <w:name w:val="annotation text"/>
    <w:basedOn w:val="a"/>
    <w:link w:val="Char2"/>
    <w:uiPriority w:val="99"/>
    <w:unhideWhenUsed/>
    <w:rsid w:val="001E7CEA"/>
    <w:pPr>
      <w:jc w:val="left"/>
    </w:pPr>
    <w:rPr>
      <w:rFonts w:ascii="Times New Roman" w:eastAsia="宋体" w:hAnsi="Times New Roman"/>
    </w:rPr>
  </w:style>
  <w:style w:type="character" w:customStyle="1" w:styleId="a8">
    <w:name w:val="批注文字 字符"/>
    <w:basedOn w:val="a0"/>
    <w:uiPriority w:val="99"/>
    <w:semiHidden/>
    <w:rsid w:val="001E7CEA"/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微软用户</cp:lastModifiedBy>
  <cp:revision>7</cp:revision>
  <dcterms:created xsi:type="dcterms:W3CDTF">2020-07-16T04:20:00Z</dcterms:created>
  <dcterms:modified xsi:type="dcterms:W3CDTF">2020-08-02T01:55:00Z</dcterms:modified>
</cp:coreProperties>
</file>