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16D" w:rsidRPr="004143B7" w:rsidRDefault="0015116D" w:rsidP="0015116D">
      <w:pPr>
        <w:jc w:val="both"/>
        <w:rPr>
          <w:i/>
          <w:szCs w:val="24"/>
          <w:lang w:val="en-GB"/>
        </w:rPr>
      </w:pPr>
      <w:r w:rsidRPr="004143B7">
        <w:rPr>
          <w:b/>
          <w:i/>
          <w:szCs w:val="24"/>
          <w:lang w:val="en-GB"/>
        </w:rPr>
        <w:t>Supplementary Table 1.</w:t>
      </w:r>
      <w:r w:rsidRPr="004143B7">
        <w:rPr>
          <w:i/>
          <w:szCs w:val="24"/>
          <w:lang w:val="en-GB"/>
        </w:rPr>
        <w:t xml:space="preserve"> Linear regression equations for SDW vs TDW at the same air and root zone temperature, for the different light intensities. The intercept with the x-axis is an indication of the total dry weight at the end of the phase with preferential allocation to roots. Within the same temperature the regression lines do not statically differ at 99% confidence interval.</w:t>
      </w:r>
    </w:p>
    <w:tbl>
      <w:tblPr>
        <w:tblStyle w:val="TableGrid"/>
        <w:tblW w:w="9798"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978"/>
        <w:gridCol w:w="2136"/>
        <w:gridCol w:w="3629"/>
        <w:gridCol w:w="2055"/>
      </w:tblGrid>
      <w:tr w:rsidR="0015116D" w:rsidRPr="00136443" w:rsidTr="00111246">
        <w:trPr>
          <w:trHeight w:val="152"/>
        </w:trPr>
        <w:tc>
          <w:tcPr>
            <w:tcW w:w="197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5116D" w:rsidRPr="00BA4017" w:rsidRDefault="0015116D" w:rsidP="00111246">
            <w:pPr>
              <w:spacing w:before="0" w:after="0"/>
              <w:jc w:val="center"/>
              <w:rPr>
                <w:b/>
                <w:bCs/>
              </w:rPr>
            </w:pPr>
            <w:bookmarkStart w:id="0" w:name="_Hlk22211942"/>
            <w:r w:rsidRPr="00BA4017">
              <w:rPr>
                <w:b/>
                <w:bCs/>
              </w:rPr>
              <w:t>Air</w:t>
            </w:r>
            <w:r>
              <w:rPr>
                <w:b/>
                <w:bCs/>
              </w:rPr>
              <w:t>=</w:t>
            </w:r>
            <w:r w:rsidRPr="00BA4017">
              <w:rPr>
                <w:b/>
                <w:bCs/>
              </w:rPr>
              <w:t>root zone temperature</w:t>
            </w:r>
            <w:r>
              <w:rPr>
                <w:b/>
                <w:bCs/>
              </w:rPr>
              <w:t xml:space="preserve"> (°C)</w:t>
            </w:r>
          </w:p>
        </w:tc>
        <w:tc>
          <w:tcPr>
            <w:tcW w:w="213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5116D" w:rsidRPr="00BA4017" w:rsidRDefault="0015116D" w:rsidP="00111246">
            <w:pPr>
              <w:spacing w:before="0" w:after="0"/>
              <w:jc w:val="center"/>
              <w:rPr>
                <w:b/>
                <w:bCs/>
              </w:rPr>
            </w:pPr>
            <w:r w:rsidRPr="00BA4017">
              <w:rPr>
                <w:b/>
                <w:bCs/>
              </w:rPr>
              <w:t>Light intensity</w:t>
            </w:r>
            <w:r>
              <w:rPr>
                <w:b/>
                <w:bCs/>
              </w:rPr>
              <w:t xml:space="preserve"> (</w:t>
            </w:r>
            <w:r w:rsidRPr="00BA4017">
              <w:rPr>
                <w:b/>
                <w:bCs/>
                <w:i/>
                <w:iCs/>
              </w:rPr>
              <w:t>µmol m</w:t>
            </w:r>
            <w:r w:rsidRPr="00BA4017">
              <w:rPr>
                <w:b/>
                <w:bCs/>
                <w:i/>
                <w:iCs/>
                <w:vertAlign w:val="superscript"/>
              </w:rPr>
              <w:t>-2</w:t>
            </w:r>
            <w:r w:rsidRPr="00BA4017">
              <w:rPr>
                <w:b/>
                <w:bCs/>
                <w:i/>
                <w:iCs/>
              </w:rPr>
              <w:t>s</w:t>
            </w:r>
            <w:r w:rsidRPr="00BA4017">
              <w:rPr>
                <w:b/>
                <w:bCs/>
                <w:i/>
                <w:iCs/>
                <w:vertAlign w:val="superscript"/>
              </w:rPr>
              <w:t>-1</w:t>
            </w:r>
            <w:r>
              <w:rPr>
                <w:i/>
                <w:iCs/>
              </w:rPr>
              <w:t>)</w:t>
            </w:r>
          </w:p>
        </w:tc>
        <w:tc>
          <w:tcPr>
            <w:tcW w:w="362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5116D" w:rsidRPr="00BA4017" w:rsidRDefault="0015116D" w:rsidP="00111246">
            <w:pPr>
              <w:spacing w:before="0" w:after="0"/>
              <w:jc w:val="center"/>
              <w:rPr>
                <w:b/>
                <w:bCs/>
              </w:rPr>
            </w:pPr>
            <w:r w:rsidRPr="00BA4017">
              <w:rPr>
                <w:b/>
                <w:bCs/>
              </w:rPr>
              <w:t>Equation</w:t>
            </w:r>
          </w:p>
        </w:tc>
        <w:tc>
          <w:tcPr>
            <w:tcW w:w="205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5116D" w:rsidRPr="00514076" w:rsidRDefault="0015116D" w:rsidP="00111246">
            <w:pPr>
              <w:spacing w:before="0" w:after="0"/>
              <w:jc w:val="center"/>
              <w:rPr>
                <w:b/>
                <w:bCs/>
              </w:rPr>
            </w:pPr>
            <w:r>
              <w:rPr>
                <w:b/>
                <w:bCs/>
              </w:rPr>
              <w:t>Intercept x-axis (g/plant)</w:t>
            </w:r>
          </w:p>
        </w:tc>
      </w:tr>
      <w:tr w:rsidR="0015116D" w:rsidTr="00111246">
        <w:trPr>
          <w:trHeight w:val="130"/>
        </w:trPr>
        <w:tc>
          <w:tcPr>
            <w:tcW w:w="1978" w:type="dxa"/>
            <w:vMerge w:val="restar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5116D" w:rsidRDefault="0015116D" w:rsidP="00111246">
            <w:pPr>
              <w:spacing w:before="0" w:after="0"/>
              <w:jc w:val="center"/>
            </w:pPr>
          </w:p>
          <w:p w:rsidR="0015116D" w:rsidRDefault="0015116D" w:rsidP="00111246">
            <w:pPr>
              <w:spacing w:before="0" w:after="0"/>
              <w:jc w:val="center"/>
            </w:pPr>
            <w:r>
              <w:t>20</w:t>
            </w:r>
          </w:p>
        </w:tc>
        <w:tc>
          <w:tcPr>
            <w:tcW w:w="2136" w:type="dxa"/>
            <w:tcBorders>
              <w:top w:val="single" w:sz="4" w:space="0" w:color="auto"/>
              <w:left w:val="single" w:sz="4" w:space="0" w:color="auto"/>
              <w:bottom w:val="nil"/>
              <w:right w:val="single" w:sz="4" w:space="0" w:color="auto"/>
            </w:tcBorders>
            <w:tcMar>
              <w:top w:w="85" w:type="dxa"/>
              <w:bottom w:w="85" w:type="dxa"/>
            </w:tcMar>
            <w:vAlign w:val="center"/>
          </w:tcPr>
          <w:p w:rsidR="0015116D" w:rsidRDefault="0015116D" w:rsidP="00111246">
            <w:pPr>
              <w:spacing w:before="0" w:after="0"/>
              <w:jc w:val="center"/>
            </w:pPr>
            <w:r>
              <w:t>200</w:t>
            </w:r>
          </w:p>
        </w:tc>
        <w:tc>
          <w:tcPr>
            <w:tcW w:w="3629" w:type="dxa"/>
            <w:tcBorders>
              <w:top w:val="single" w:sz="4" w:space="0" w:color="auto"/>
              <w:left w:val="single" w:sz="4" w:space="0" w:color="auto"/>
              <w:bottom w:val="nil"/>
              <w:right w:val="single" w:sz="4" w:space="0" w:color="auto"/>
            </w:tcBorders>
            <w:tcMar>
              <w:top w:w="85" w:type="dxa"/>
              <w:bottom w:w="85" w:type="dxa"/>
            </w:tcMar>
            <w:vAlign w:val="center"/>
          </w:tcPr>
          <w:p w:rsidR="0015116D" w:rsidRPr="009114EE" w:rsidRDefault="0015116D" w:rsidP="00111246">
            <w:pPr>
              <w:spacing w:before="0" w:after="0"/>
              <w:jc w:val="center"/>
            </w:pPr>
            <w:r>
              <w:t>y=0.8215x-0.1611 (R</w:t>
            </w:r>
            <w:r>
              <w:rPr>
                <w:vertAlign w:val="superscript"/>
              </w:rPr>
              <w:t>2</w:t>
            </w:r>
            <w:r>
              <w:t>=0.9981)</w:t>
            </w:r>
          </w:p>
        </w:tc>
        <w:tc>
          <w:tcPr>
            <w:tcW w:w="2055" w:type="dxa"/>
            <w:tcBorders>
              <w:top w:val="single" w:sz="4" w:space="0" w:color="auto"/>
              <w:left w:val="single" w:sz="4" w:space="0" w:color="auto"/>
              <w:bottom w:val="nil"/>
              <w:right w:val="single" w:sz="4" w:space="0" w:color="auto"/>
            </w:tcBorders>
            <w:shd w:val="clear" w:color="auto" w:fill="auto"/>
            <w:tcMar>
              <w:top w:w="85" w:type="dxa"/>
              <w:bottom w:w="85" w:type="dxa"/>
            </w:tcMar>
            <w:vAlign w:val="center"/>
          </w:tcPr>
          <w:p w:rsidR="0015116D" w:rsidRPr="00B947E6" w:rsidRDefault="0015116D" w:rsidP="00111246">
            <w:pPr>
              <w:spacing w:before="0" w:after="0"/>
              <w:jc w:val="center"/>
              <w:rPr>
                <w:rFonts w:cs="Times New Roman"/>
              </w:rPr>
            </w:pPr>
            <w:r w:rsidRPr="00B947E6">
              <w:rPr>
                <w:rFonts w:cs="Times New Roman"/>
                <w:color w:val="000000"/>
              </w:rPr>
              <w:t>0.20</w:t>
            </w:r>
          </w:p>
        </w:tc>
      </w:tr>
      <w:tr w:rsidR="0015116D" w:rsidTr="00111246">
        <w:trPr>
          <w:trHeight w:val="136"/>
        </w:trPr>
        <w:tc>
          <w:tcPr>
            <w:tcW w:w="1978" w:type="dxa"/>
            <w:vMerge/>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5116D" w:rsidRDefault="0015116D" w:rsidP="00111246">
            <w:pPr>
              <w:spacing w:before="0" w:after="0"/>
              <w:jc w:val="center"/>
            </w:pPr>
          </w:p>
        </w:tc>
        <w:tc>
          <w:tcPr>
            <w:tcW w:w="2136" w:type="dxa"/>
            <w:tcBorders>
              <w:left w:val="single" w:sz="4" w:space="0" w:color="auto"/>
              <w:bottom w:val="nil"/>
              <w:right w:val="single" w:sz="4" w:space="0" w:color="auto"/>
            </w:tcBorders>
            <w:tcMar>
              <w:top w:w="85" w:type="dxa"/>
              <w:bottom w:w="85" w:type="dxa"/>
            </w:tcMar>
            <w:vAlign w:val="center"/>
          </w:tcPr>
          <w:p w:rsidR="0015116D" w:rsidRDefault="0015116D" w:rsidP="00111246">
            <w:pPr>
              <w:spacing w:before="0" w:after="0"/>
              <w:jc w:val="center"/>
            </w:pPr>
            <w:r>
              <w:t>400</w:t>
            </w:r>
          </w:p>
        </w:tc>
        <w:tc>
          <w:tcPr>
            <w:tcW w:w="3629" w:type="dxa"/>
            <w:tcBorders>
              <w:left w:val="single" w:sz="4" w:space="0" w:color="auto"/>
              <w:bottom w:val="nil"/>
              <w:right w:val="single" w:sz="4" w:space="0" w:color="auto"/>
            </w:tcBorders>
            <w:tcMar>
              <w:top w:w="85" w:type="dxa"/>
              <w:bottom w:w="85" w:type="dxa"/>
            </w:tcMar>
            <w:vAlign w:val="center"/>
          </w:tcPr>
          <w:p w:rsidR="0015116D" w:rsidRPr="009114EE" w:rsidRDefault="0015116D" w:rsidP="00111246">
            <w:pPr>
              <w:spacing w:before="0" w:after="0"/>
              <w:jc w:val="center"/>
            </w:pPr>
            <w:r>
              <w:t>y=0.8372x-0.2871 (</w:t>
            </w:r>
            <w:r w:rsidRPr="009114EE">
              <w:t>R</w:t>
            </w:r>
            <w:r w:rsidRPr="00841F50">
              <w:rPr>
                <w:vertAlign w:val="superscript"/>
              </w:rPr>
              <w:t>2</w:t>
            </w:r>
            <w:r>
              <w:t>=</w:t>
            </w:r>
            <w:r w:rsidRPr="009114EE">
              <w:t>0</w:t>
            </w:r>
            <w:r>
              <w:t>.9983)</w:t>
            </w:r>
          </w:p>
        </w:tc>
        <w:tc>
          <w:tcPr>
            <w:tcW w:w="2055" w:type="dxa"/>
            <w:tcBorders>
              <w:top w:val="nil"/>
              <w:left w:val="single" w:sz="4" w:space="0" w:color="auto"/>
              <w:bottom w:val="nil"/>
              <w:right w:val="single" w:sz="4" w:space="0" w:color="auto"/>
            </w:tcBorders>
            <w:shd w:val="clear" w:color="auto" w:fill="auto"/>
            <w:tcMar>
              <w:top w:w="85" w:type="dxa"/>
              <w:bottom w:w="85" w:type="dxa"/>
            </w:tcMar>
            <w:vAlign w:val="center"/>
          </w:tcPr>
          <w:p w:rsidR="0015116D" w:rsidRPr="00B947E6" w:rsidRDefault="0015116D" w:rsidP="00111246">
            <w:pPr>
              <w:spacing w:before="0" w:after="0"/>
              <w:jc w:val="center"/>
              <w:rPr>
                <w:rFonts w:cs="Times New Roman"/>
              </w:rPr>
            </w:pPr>
            <w:r w:rsidRPr="00B947E6">
              <w:rPr>
                <w:rFonts w:cs="Times New Roman"/>
                <w:color w:val="000000"/>
              </w:rPr>
              <w:t>0.34</w:t>
            </w:r>
          </w:p>
        </w:tc>
      </w:tr>
      <w:tr w:rsidR="0015116D" w:rsidTr="00111246">
        <w:trPr>
          <w:trHeight w:val="130"/>
        </w:trPr>
        <w:tc>
          <w:tcPr>
            <w:tcW w:w="1978" w:type="dxa"/>
            <w:vMerge/>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5116D" w:rsidRDefault="0015116D" w:rsidP="00111246">
            <w:pPr>
              <w:spacing w:before="0" w:after="0"/>
              <w:jc w:val="center"/>
            </w:pPr>
          </w:p>
        </w:tc>
        <w:tc>
          <w:tcPr>
            <w:tcW w:w="2136" w:type="dxa"/>
            <w:tcBorders>
              <w:left w:val="single" w:sz="4" w:space="0" w:color="auto"/>
              <w:bottom w:val="single" w:sz="4" w:space="0" w:color="auto"/>
              <w:right w:val="single" w:sz="4" w:space="0" w:color="auto"/>
            </w:tcBorders>
            <w:tcMar>
              <w:top w:w="85" w:type="dxa"/>
              <w:bottom w:w="85" w:type="dxa"/>
            </w:tcMar>
            <w:vAlign w:val="center"/>
          </w:tcPr>
          <w:p w:rsidR="0015116D" w:rsidRDefault="0015116D" w:rsidP="00111246">
            <w:pPr>
              <w:spacing w:before="0" w:after="0"/>
              <w:jc w:val="center"/>
            </w:pPr>
            <w:r>
              <w:t>750</w:t>
            </w:r>
          </w:p>
        </w:tc>
        <w:tc>
          <w:tcPr>
            <w:tcW w:w="3629" w:type="dxa"/>
            <w:tcBorders>
              <w:left w:val="single" w:sz="4" w:space="0" w:color="auto"/>
              <w:bottom w:val="single" w:sz="4" w:space="0" w:color="auto"/>
              <w:right w:val="single" w:sz="4" w:space="0" w:color="auto"/>
            </w:tcBorders>
            <w:tcMar>
              <w:top w:w="85" w:type="dxa"/>
              <w:bottom w:w="85" w:type="dxa"/>
            </w:tcMar>
            <w:vAlign w:val="center"/>
          </w:tcPr>
          <w:p w:rsidR="0015116D" w:rsidRPr="009114EE" w:rsidRDefault="0015116D" w:rsidP="00111246">
            <w:pPr>
              <w:spacing w:before="0" w:after="0"/>
              <w:jc w:val="center"/>
            </w:pPr>
            <w:r>
              <w:t>y=0.8354x-0.3216x (R</w:t>
            </w:r>
            <w:r>
              <w:rPr>
                <w:vertAlign w:val="superscript"/>
              </w:rPr>
              <w:t>2</w:t>
            </w:r>
            <w:r>
              <w:t>=0.9962)</w:t>
            </w:r>
          </w:p>
        </w:tc>
        <w:tc>
          <w:tcPr>
            <w:tcW w:w="2055" w:type="dxa"/>
            <w:tcBorders>
              <w:top w:val="nil"/>
              <w:left w:val="single" w:sz="4" w:space="0" w:color="auto"/>
              <w:bottom w:val="single" w:sz="4" w:space="0" w:color="auto"/>
              <w:right w:val="single" w:sz="4" w:space="0" w:color="auto"/>
            </w:tcBorders>
            <w:shd w:val="clear" w:color="auto" w:fill="auto"/>
            <w:tcMar>
              <w:top w:w="85" w:type="dxa"/>
              <w:bottom w:w="85" w:type="dxa"/>
            </w:tcMar>
            <w:vAlign w:val="center"/>
          </w:tcPr>
          <w:p w:rsidR="0015116D" w:rsidRPr="00B947E6" w:rsidRDefault="0015116D" w:rsidP="00111246">
            <w:pPr>
              <w:spacing w:before="0" w:after="0"/>
              <w:jc w:val="center"/>
              <w:rPr>
                <w:rFonts w:cs="Times New Roman"/>
              </w:rPr>
            </w:pPr>
            <w:r w:rsidRPr="00B947E6">
              <w:rPr>
                <w:rFonts w:cs="Times New Roman"/>
                <w:color w:val="000000"/>
              </w:rPr>
              <w:t>0.38</w:t>
            </w:r>
          </w:p>
        </w:tc>
      </w:tr>
      <w:tr w:rsidR="0015116D" w:rsidTr="00111246">
        <w:trPr>
          <w:trHeight w:val="130"/>
        </w:trPr>
        <w:tc>
          <w:tcPr>
            <w:tcW w:w="1978" w:type="dxa"/>
            <w:vMerge w:val="restar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5116D" w:rsidRDefault="0015116D" w:rsidP="00111246">
            <w:pPr>
              <w:spacing w:before="0" w:after="0"/>
              <w:jc w:val="center"/>
            </w:pPr>
          </w:p>
          <w:p w:rsidR="0015116D" w:rsidRDefault="0015116D" w:rsidP="00111246">
            <w:pPr>
              <w:spacing w:before="0" w:after="0"/>
              <w:jc w:val="center"/>
            </w:pPr>
            <w:r>
              <w:t>24</w:t>
            </w:r>
          </w:p>
        </w:tc>
        <w:tc>
          <w:tcPr>
            <w:tcW w:w="2136" w:type="dxa"/>
            <w:tcBorders>
              <w:top w:val="single" w:sz="4" w:space="0" w:color="auto"/>
              <w:left w:val="single" w:sz="4" w:space="0" w:color="auto"/>
              <w:bottom w:val="nil"/>
              <w:right w:val="single" w:sz="4" w:space="0" w:color="auto"/>
            </w:tcBorders>
            <w:tcMar>
              <w:top w:w="85" w:type="dxa"/>
              <w:bottom w:w="85" w:type="dxa"/>
            </w:tcMar>
            <w:vAlign w:val="center"/>
          </w:tcPr>
          <w:p w:rsidR="0015116D" w:rsidRDefault="0015116D" w:rsidP="00111246">
            <w:pPr>
              <w:spacing w:before="0" w:after="0"/>
              <w:jc w:val="center"/>
            </w:pPr>
            <w:r>
              <w:t>200</w:t>
            </w:r>
          </w:p>
        </w:tc>
        <w:tc>
          <w:tcPr>
            <w:tcW w:w="3629" w:type="dxa"/>
            <w:tcBorders>
              <w:top w:val="single" w:sz="4" w:space="0" w:color="auto"/>
              <w:left w:val="single" w:sz="4" w:space="0" w:color="auto"/>
              <w:bottom w:val="nil"/>
              <w:right w:val="single" w:sz="4" w:space="0" w:color="auto"/>
            </w:tcBorders>
            <w:tcMar>
              <w:top w:w="85" w:type="dxa"/>
              <w:bottom w:w="85" w:type="dxa"/>
            </w:tcMar>
            <w:vAlign w:val="center"/>
          </w:tcPr>
          <w:p w:rsidR="0015116D" w:rsidRPr="009114EE" w:rsidRDefault="0015116D" w:rsidP="00111246">
            <w:pPr>
              <w:spacing w:before="0" w:after="0"/>
              <w:jc w:val="center"/>
            </w:pPr>
            <w:r>
              <w:t>y=0.8595x-0.2765 (R</w:t>
            </w:r>
            <w:r>
              <w:rPr>
                <w:vertAlign w:val="superscript"/>
              </w:rPr>
              <w:t>2</w:t>
            </w:r>
            <w:r>
              <w:t>=0.9961)</w:t>
            </w:r>
          </w:p>
        </w:tc>
        <w:tc>
          <w:tcPr>
            <w:tcW w:w="2055" w:type="dxa"/>
            <w:tcBorders>
              <w:top w:val="single" w:sz="4" w:space="0" w:color="auto"/>
              <w:left w:val="single" w:sz="4" w:space="0" w:color="auto"/>
              <w:bottom w:val="nil"/>
              <w:right w:val="single" w:sz="4" w:space="0" w:color="auto"/>
            </w:tcBorders>
            <w:shd w:val="clear" w:color="auto" w:fill="auto"/>
            <w:tcMar>
              <w:top w:w="85" w:type="dxa"/>
              <w:bottom w:w="85" w:type="dxa"/>
            </w:tcMar>
            <w:vAlign w:val="center"/>
          </w:tcPr>
          <w:p w:rsidR="0015116D" w:rsidRPr="00B947E6" w:rsidRDefault="0015116D" w:rsidP="00111246">
            <w:pPr>
              <w:spacing w:before="0" w:after="0"/>
              <w:jc w:val="center"/>
              <w:rPr>
                <w:rFonts w:cs="Times New Roman"/>
              </w:rPr>
            </w:pPr>
            <w:r w:rsidRPr="00B947E6">
              <w:rPr>
                <w:rFonts w:cs="Times New Roman"/>
                <w:color w:val="000000"/>
              </w:rPr>
              <w:t>0.32</w:t>
            </w:r>
          </w:p>
        </w:tc>
      </w:tr>
      <w:tr w:rsidR="0015116D" w:rsidTr="00111246">
        <w:trPr>
          <w:trHeight w:val="130"/>
        </w:trPr>
        <w:tc>
          <w:tcPr>
            <w:tcW w:w="1978" w:type="dxa"/>
            <w:vMerge/>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5116D" w:rsidRDefault="0015116D" w:rsidP="00111246">
            <w:pPr>
              <w:spacing w:before="0" w:after="0"/>
              <w:jc w:val="center"/>
            </w:pPr>
          </w:p>
        </w:tc>
        <w:tc>
          <w:tcPr>
            <w:tcW w:w="2136" w:type="dxa"/>
            <w:tcBorders>
              <w:left w:val="single" w:sz="4" w:space="0" w:color="auto"/>
              <w:bottom w:val="nil"/>
              <w:right w:val="single" w:sz="4" w:space="0" w:color="auto"/>
            </w:tcBorders>
            <w:tcMar>
              <w:top w:w="85" w:type="dxa"/>
              <w:bottom w:w="85" w:type="dxa"/>
            </w:tcMar>
            <w:vAlign w:val="center"/>
          </w:tcPr>
          <w:p w:rsidR="0015116D" w:rsidRDefault="0015116D" w:rsidP="00111246">
            <w:pPr>
              <w:spacing w:before="0" w:after="0"/>
              <w:jc w:val="center"/>
            </w:pPr>
            <w:r>
              <w:t>400</w:t>
            </w:r>
          </w:p>
        </w:tc>
        <w:tc>
          <w:tcPr>
            <w:tcW w:w="3629" w:type="dxa"/>
            <w:tcBorders>
              <w:left w:val="single" w:sz="4" w:space="0" w:color="auto"/>
              <w:bottom w:val="nil"/>
              <w:right w:val="single" w:sz="4" w:space="0" w:color="auto"/>
            </w:tcBorders>
            <w:tcMar>
              <w:top w:w="85" w:type="dxa"/>
              <w:bottom w:w="85" w:type="dxa"/>
            </w:tcMar>
            <w:vAlign w:val="center"/>
          </w:tcPr>
          <w:p w:rsidR="0015116D" w:rsidRPr="009114EE" w:rsidRDefault="0015116D" w:rsidP="00111246">
            <w:pPr>
              <w:spacing w:before="0" w:after="0"/>
              <w:jc w:val="center"/>
            </w:pPr>
            <w:r>
              <w:t>y=0.8391x-0.4402 (R</w:t>
            </w:r>
            <w:r>
              <w:rPr>
                <w:vertAlign w:val="superscript"/>
              </w:rPr>
              <w:t>2</w:t>
            </w:r>
            <w:r>
              <w:t>=0.9974)</w:t>
            </w:r>
          </w:p>
        </w:tc>
        <w:tc>
          <w:tcPr>
            <w:tcW w:w="2055" w:type="dxa"/>
            <w:tcBorders>
              <w:top w:val="nil"/>
              <w:left w:val="single" w:sz="4" w:space="0" w:color="auto"/>
              <w:bottom w:val="nil"/>
              <w:right w:val="single" w:sz="4" w:space="0" w:color="auto"/>
            </w:tcBorders>
            <w:shd w:val="clear" w:color="auto" w:fill="auto"/>
            <w:tcMar>
              <w:top w:w="85" w:type="dxa"/>
              <w:bottom w:w="85" w:type="dxa"/>
            </w:tcMar>
            <w:vAlign w:val="center"/>
          </w:tcPr>
          <w:p w:rsidR="0015116D" w:rsidRPr="00B947E6" w:rsidRDefault="0015116D" w:rsidP="00111246">
            <w:pPr>
              <w:spacing w:before="0" w:after="0"/>
              <w:jc w:val="center"/>
              <w:rPr>
                <w:rFonts w:cs="Times New Roman"/>
              </w:rPr>
            </w:pPr>
            <w:r w:rsidRPr="00B947E6">
              <w:rPr>
                <w:rFonts w:cs="Times New Roman"/>
                <w:color w:val="000000"/>
              </w:rPr>
              <w:t>0.52</w:t>
            </w:r>
          </w:p>
        </w:tc>
      </w:tr>
      <w:tr w:rsidR="0015116D" w:rsidTr="00111246">
        <w:trPr>
          <w:trHeight w:val="136"/>
        </w:trPr>
        <w:tc>
          <w:tcPr>
            <w:tcW w:w="1978" w:type="dxa"/>
            <w:vMerge/>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5116D" w:rsidRDefault="0015116D" w:rsidP="00111246">
            <w:pPr>
              <w:spacing w:before="0" w:after="0"/>
              <w:jc w:val="center"/>
            </w:pPr>
          </w:p>
        </w:tc>
        <w:tc>
          <w:tcPr>
            <w:tcW w:w="2136" w:type="dxa"/>
            <w:tcBorders>
              <w:left w:val="single" w:sz="4" w:space="0" w:color="auto"/>
              <w:bottom w:val="single" w:sz="4" w:space="0" w:color="auto"/>
              <w:right w:val="single" w:sz="4" w:space="0" w:color="auto"/>
            </w:tcBorders>
            <w:tcMar>
              <w:top w:w="85" w:type="dxa"/>
              <w:bottom w:w="85" w:type="dxa"/>
            </w:tcMar>
            <w:vAlign w:val="center"/>
          </w:tcPr>
          <w:p w:rsidR="0015116D" w:rsidRDefault="0015116D" w:rsidP="00111246">
            <w:pPr>
              <w:spacing w:before="0" w:after="0"/>
              <w:jc w:val="center"/>
            </w:pPr>
            <w:r>
              <w:t>750</w:t>
            </w:r>
          </w:p>
        </w:tc>
        <w:tc>
          <w:tcPr>
            <w:tcW w:w="3629" w:type="dxa"/>
            <w:tcBorders>
              <w:left w:val="single" w:sz="4" w:space="0" w:color="auto"/>
              <w:bottom w:val="single" w:sz="4" w:space="0" w:color="auto"/>
              <w:right w:val="single" w:sz="4" w:space="0" w:color="auto"/>
            </w:tcBorders>
            <w:tcMar>
              <w:top w:w="85" w:type="dxa"/>
              <w:bottom w:w="85" w:type="dxa"/>
            </w:tcMar>
            <w:vAlign w:val="center"/>
          </w:tcPr>
          <w:p w:rsidR="0015116D" w:rsidRPr="009114EE" w:rsidRDefault="0015116D" w:rsidP="00111246">
            <w:pPr>
              <w:spacing w:before="0" w:after="0"/>
              <w:jc w:val="center"/>
            </w:pPr>
            <w:r>
              <w:t>y=0.8996x-0.6626 (R</w:t>
            </w:r>
            <w:r>
              <w:rPr>
                <w:vertAlign w:val="superscript"/>
              </w:rPr>
              <w:t>2</w:t>
            </w:r>
            <w:r>
              <w:t>=0.9964)</w:t>
            </w:r>
          </w:p>
        </w:tc>
        <w:tc>
          <w:tcPr>
            <w:tcW w:w="2055" w:type="dxa"/>
            <w:tcBorders>
              <w:top w:val="nil"/>
              <w:left w:val="single" w:sz="4" w:space="0" w:color="auto"/>
              <w:bottom w:val="single" w:sz="4" w:space="0" w:color="auto"/>
              <w:right w:val="single" w:sz="4" w:space="0" w:color="auto"/>
            </w:tcBorders>
            <w:shd w:val="clear" w:color="auto" w:fill="auto"/>
            <w:tcMar>
              <w:top w:w="85" w:type="dxa"/>
              <w:bottom w:w="85" w:type="dxa"/>
            </w:tcMar>
            <w:vAlign w:val="center"/>
          </w:tcPr>
          <w:p w:rsidR="0015116D" w:rsidRPr="00B947E6" w:rsidRDefault="0015116D" w:rsidP="00111246">
            <w:pPr>
              <w:spacing w:before="0" w:after="0"/>
              <w:jc w:val="center"/>
              <w:rPr>
                <w:rFonts w:cs="Times New Roman"/>
              </w:rPr>
            </w:pPr>
            <w:r w:rsidRPr="00B947E6">
              <w:rPr>
                <w:rFonts w:cs="Times New Roman"/>
                <w:color w:val="000000"/>
              </w:rPr>
              <w:t>0.74</w:t>
            </w:r>
          </w:p>
        </w:tc>
      </w:tr>
      <w:tr w:rsidR="0015116D" w:rsidTr="00111246">
        <w:trPr>
          <w:trHeight w:val="130"/>
        </w:trPr>
        <w:tc>
          <w:tcPr>
            <w:tcW w:w="1978" w:type="dxa"/>
            <w:vMerge w:val="restar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5116D" w:rsidRDefault="0015116D" w:rsidP="00111246">
            <w:pPr>
              <w:spacing w:before="0" w:after="0"/>
              <w:jc w:val="center"/>
            </w:pPr>
          </w:p>
          <w:p w:rsidR="0015116D" w:rsidRDefault="0015116D" w:rsidP="00111246">
            <w:pPr>
              <w:spacing w:before="0" w:after="0"/>
              <w:jc w:val="center"/>
            </w:pPr>
            <w:r>
              <w:t>28</w:t>
            </w:r>
          </w:p>
        </w:tc>
        <w:tc>
          <w:tcPr>
            <w:tcW w:w="2136" w:type="dxa"/>
            <w:tcBorders>
              <w:top w:val="single" w:sz="4" w:space="0" w:color="auto"/>
              <w:left w:val="single" w:sz="4" w:space="0" w:color="auto"/>
              <w:bottom w:val="nil"/>
              <w:right w:val="single" w:sz="4" w:space="0" w:color="auto"/>
            </w:tcBorders>
            <w:tcMar>
              <w:top w:w="85" w:type="dxa"/>
              <w:bottom w:w="85" w:type="dxa"/>
            </w:tcMar>
            <w:vAlign w:val="center"/>
          </w:tcPr>
          <w:p w:rsidR="0015116D" w:rsidRDefault="0015116D" w:rsidP="00111246">
            <w:pPr>
              <w:spacing w:before="0" w:after="0"/>
              <w:jc w:val="center"/>
            </w:pPr>
            <w:r>
              <w:t>200</w:t>
            </w:r>
          </w:p>
        </w:tc>
        <w:tc>
          <w:tcPr>
            <w:tcW w:w="3629" w:type="dxa"/>
            <w:tcBorders>
              <w:top w:val="single" w:sz="4" w:space="0" w:color="auto"/>
              <w:left w:val="single" w:sz="4" w:space="0" w:color="auto"/>
              <w:bottom w:val="nil"/>
              <w:right w:val="single" w:sz="4" w:space="0" w:color="auto"/>
            </w:tcBorders>
            <w:tcMar>
              <w:top w:w="85" w:type="dxa"/>
              <w:bottom w:w="85" w:type="dxa"/>
            </w:tcMar>
            <w:vAlign w:val="center"/>
          </w:tcPr>
          <w:p w:rsidR="0015116D" w:rsidRPr="009114EE" w:rsidRDefault="0015116D" w:rsidP="00111246">
            <w:pPr>
              <w:spacing w:before="0" w:after="0"/>
              <w:jc w:val="center"/>
            </w:pPr>
            <w:r>
              <w:t>y=0.8701x-0.2335 (R</w:t>
            </w:r>
            <w:r>
              <w:rPr>
                <w:vertAlign w:val="superscript"/>
              </w:rPr>
              <w:t>2</w:t>
            </w:r>
            <w:r>
              <w:t>=0.9969)</w:t>
            </w:r>
          </w:p>
        </w:tc>
        <w:tc>
          <w:tcPr>
            <w:tcW w:w="2055" w:type="dxa"/>
            <w:tcBorders>
              <w:top w:val="single" w:sz="4" w:space="0" w:color="auto"/>
              <w:left w:val="single" w:sz="4" w:space="0" w:color="auto"/>
              <w:bottom w:val="nil"/>
              <w:right w:val="single" w:sz="4" w:space="0" w:color="auto"/>
            </w:tcBorders>
            <w:shd w:val="clear" w:color="auto" w:fill="auto"/>
            <w:tcMar>
              <w:top w:w="85" w:type="dxa"/>
              <w:bottom w:w="85" w:type="dxa"/>
            </w:tcMar>
            <w:vAlign w:val="center"/>
          </w:tcPr>
          <w:p w:rsidR="0015116D" w:rsidRPr="00B947E6" w:rsidRDefault="0015116D" w:rsidP="00111246">
            <w:pPr>
              <w:spacing w:before="0" w:after="0"/>
              <w:jc w:val="center"/>
              <w:rPr>
                <w:rFonts w:cs="Times New Roman"/>
              </w:rPr>
            </w:pPr>
            <w:r w:rsidRPr="00B947E6">
              <w:rPr>
                <w:rFonts w:cs="Times New Roman"/>
                <w:color w:val="000000"/>
              </w:rPr>
              <w:t>0.27</w:t>
            </w:r>
          </w:p>
        </w:tc>
      </w:tr>
      <w:tr w:rsidR="0015116D" w:rsidTr="00111246">
        <w:trPr>
          <w:trHeight w:val="130"/>
        </w:trPr>
        <w:tc>
          <w:tcPr>
            <w:tcW w:w="1978" w:type="dxa"/>
            <w:vMerge/>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5116D" w:rsidRDefault="0015116D" w:rsidP="00111246">
            <w:pPr>
              <w:spacing w:before="0" w:after="0"/>
              <w:jc w:val="center"/>
            </w:pPr>
          </w:p>
        </w:tc>
        <w:tc>
          <w:tcPr>
            <w:tcW w:w="2136" w:type="dxa"/>
            <w:tcBorders>
              <w:left w:val="single" w:sz="4" w:space="0" w:color="auto"/>
              <w:bottom w:val="nil"/>
              <w:right w:val="single" w:sz="4" w:space="0" w:color="auto"/>
            </w:tcBorders>
            <w:tcMar>
              <w:top w:w="85" w:type="dxa"/>
              <w:bottom w:w="85" w:type="dxa"/>
            </w:tcMar>
            <w:vAlign w:val="center"/>
          </w:tcPr>
          <w:p w:rsidR="0015116D" w:rsidRDefault="0015116D" w:rsidP="00111246">
            <w:pPr>
              <w:spacing w:before="0" w:after="0"/>
              <w:jc w:val="center"/>
            </w:pPr>
            <w:r>
              <w:t>400</w:t>
            </w:r>
          </w:p>
        </w:tc>
        <w:tc>
          <w:tcPr>
            <w:tcW w:w="3629" w:type="dxa"/>
            <w:tcBorders>
              <w:left w:val="single" w:sz="4" w:space="0" w:color="auto"/>
              <w:bottom w:val="nil"/>
              <w:right w:val="single" w:sz="4" w:space="0" w:color="auto"/>
            </w:tcBorders>
            <w:tcMar>
              <w:top w:w="85" w:type="dxa"/>
              <w:bottom w:w="85" w:type="dxa"/>
            </w:tcMar>
            <w:vAlign w:val="center"/>
          </w:tcPr>
          <w:p w:rsidR="0015116D" w:rsidRPr="009114EE" w:rsidRDefault="0015116D" w:rsidP="00111246">
            <w:pPr>
              <w:spacing w:before="0" w:after="0"/>
              <w:jc w:val="center"/>
            </w:pPr>
            <w:r>
              <w:t>y=0.8658x-0.3879 (R</w:t>
            </w:r>
            <w:r>
              <w:rPr>
                <w:vertAlign w:val="superscript"/>
              </w:rPr>
              <w:t>2</w:t>
            </w:r>
            <w:r>
              <w:t>=0.9957)</w:t>
            </w:r>
          </w:p>
        </w:tc>
        <w:tc>
          <w:tcPr>
            <w:tcW w:w="2055" w:type="dxa"/>
            <w:tcBorders>
              <w:top w:val="nil"/>
              <w:left w:val="single" w:sz="4" w:space="0" w:color="auto"/>
              <w:bottom w:val="nil"/>
              <w:right w:val="single" w:sz="4" w:space="0" w:color="auto"/>
            </w:tcBorders>
            <w:shd w:val="clear" w:color="auto" w:fill="auto"/>
            <w:tcMar>
              <w:top w:w="85" w:type="dxa"/>
              <w:bottom w:w="85" w:type="dxa"/>
            </w:tcMar>
            <w:vAlign w:val="center"/>
          </w:tcPr>
          <w:p w:rsidR="0015116D" w:rsidRPr="00B947E6" w:rsidRDefault="0015116D" w:rsidP="00111246">
            <w:pPr>
              <w:spacing w:before="0" w:after="0"/>
              <w:jc w:val="center"/>
              <w:rPr>
                <w:rFonts w:cs="Times New Roman"/>
              </w:rPr>
            </w:pPr>
            <w:r w:rsidRPr="00B947E6">
              <w:rPr>
                <w:rFonts w:cs="Times New Roman"/>
                <w:color w:val="000000"/>
              </w:rPr>
              <w:t>0.45</w:t>
            </w:r>
          </w:p>
        </w:tc>
      </w:tr>
      <w:tr w:rsidR="0015116D" w:rsidTr="00111246">
        <w:trPr>
          <w:trHeight w:val="130"/>
        </w:trPr>
        <w:tc>
          <w:tcPr>
            <w:tcW w:w="1978" w:type="dxa"/>
            <w:vMerge/>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5116D" w:rsidRDefault="0015116D" w:rsidP="00111246">
            <w:pPr>
              <w:spacing w:before="0" w:after="0"/>
              <w:jc w:val="center"/>
            </w:pPr>
          </w:p>
        </w:tc>
        <w:tc>
          <w:tcPr>
            <w:tcW w:w="2136" w:type="dxa"/>
            <w:tcBorders>
              <w:left w:val="single" w:sz="4" w:space="0" w:color="auto"/>
              <w:bottom w:val="single" w:sz="4" w:space="0" w:color="auto"/>
              <w:right w:val="single" w:sz="4" w:space="0" w:color="auto"/>
            </w:tcBorders>
            <w:tcMar>
              <w:top w:w="85" w:type="dxa"/>
              <w:bottom w:w="85" w:type="dxa"/>
            </w:tcMar>
            <w:vAlign w:val="center"/>
          </w:tcPr>
          <w:p w:rsidR="0015116D" w:rsidRDefault="0015116D" w:rsidP="00111246">
            <w:pPr>
              <w:spacing w:before="0" w:after="0"/>
              <w:jc w:val="center"/>
            </w:pPr>
            <w:r>
              <w:t>750</w:t>
            </w:r>
          </w:p>
        </w:tc>
        <w:tc>
          <w:tcPr>
            <w:tcW w:w="3629" w:type="dxa"/>
            <w:tcBorders>
              <w:left w:val="single" w:sz="4" w:space="0" w:color="auto"/>
              <w:bottom w:val="single" w:sz="4" w:space="0" w:color="auto"/>
              <w:right w:val="single" w:sz="4" w:space="0" w:color="auto"/>
            </w:tcBorders>
            <w:tcMar>
              <w:top w:w="85" w:type="dxa"/>
              <w:bottom w:w="85" w:type="dxa"/>
            </w:tcMar>
            <w:vAlign w:val="center"/>
          </w:tcPr>
          <w:p w:rsidR="0015116D" w:rsidRPr="009114EE" w:rsidRDefault="0015116D" w:rsidP="00111246">
            <w:pPr>
              <w:spacing w:before="0" w:after="0"/>
              <w:jc w:val="center"/>
            </w:pPr>
            <w:r>
              <w:t>y=0.8755-0.5587x (R</w:t>
            </w:r>
            <w:r>
              <w:rPr>
                <w:vertAlign w:val="superscript"/>
              </w:rPr>
              <w:t>2</w:t>
            </w:r>
            <w:r>
              <w:t>=0.9966)</w:t>
            </w:r>
          </w:p>
        </w:tc>
        <w:tc>
          <w:tcPr>
            <w:tcW w:w="2055" w:type="dxa"/>
            <w:tcBorders>
              <w:top w:val="nil"/>
              <w:left w:val="single" w:sz="4" w:space="0" w:color="auto"/>
              <w:bottom w:val="single" w:sz="4" w:space="0" w:color="auto"/>
              <w:right w:val="single" w:sz="4" w:space="0" w:color="auto"/>
            </w:tcBorders>
            <w:shd w:val="clear" w:color="auto" w:fill="auto"/>
            <w:tcMar>
              <w:top w:w="85" w:type="dxa"/>
              <w:bottom w:w="85" w:type="dxa"/>
            </w:tcMar>
            <w:vAlign w:val="center"/>
          </w:tcPr>
          <w:p w:rsidR="0015116D" w:rsidRPr="00B947E6" w:rsidRDefault="0015116D" w:rsidP="00111246">
            <w:pPr>
              <w:spacing w:before="0" w:after="0"/>
              <w:jc w:val="center"/>
              <w:rPr>
                <w:rFonts w:cs="Times New Roman"/>
              </w:rPr>
            </w:pPr>
            <w:r w:rsidRPr="00B947E6">
              <w:rPr>
                <w:rFonts w:cs="Times New Roman"/>
                <w:color w:val="000000"/>
              </w:rPr>
              <w:t>0.64</w:t>
            </w:r>
          </w:p>
        </w:tc>
      </w:tr>
      <w:tr w:rsidR="0015116D" w:rsidTr="00111246">
        <w:trPr>
          <w:trHeight w:val="130"/>
        </w:trPr>
        <w:tc>
          <w:tcPr>
            <w:tcW w:w="1978" w:type="dxa"/>
            <w:vMerge w:val="restar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5116D" w:rsidRDefault="0015116D" w:rsidP="00111246">
            <w:pPr>
              <w:spacing w:before="0" w:after="0"/>
              <w:jc w:val="center"/>
            </w:pPr>
          </w:p>
          <w:p w:rsidR="0015116D" w:rsidRDefault="0015116D" w:rsidP="00111246">
            <w:pPr>
              <w:spacing w:before="0" w:after="0"/>
              <w:jc w:val="center"/>
            </w:pPr>
            <w:r>
              <w:t>32</w:t>
            </w:r>
          </w:p>
        </w:tc>
        <w:tc>
          <w:tcPr>
            <w:tcW w:w="2136" w:type="dxa"/>
            <w:tcBorders>
              <w:top w:val="single" w:sz="4" w:space="0" w:color="auto"/>
              <w:left w:val="single" w:sz="4" w:space="0" w:color="auto"/>
              <w:bottom w:val="nil"/>
              <w:right w:val="single" w:sz="4" w:space="0" w:color="auto"/>
            </w:tcBorders>
            <w:tcMar>
              <w:top w:w="85" w:type="dxa"/>
              <w:bottom w:w="85" w:type="dxa"/>
            </w:tcMar>
            <w:vAlign w:val="center"/>
          </w:tcPr>
          <w:p w:rsidR="0015116D" w:rsidRDefault="0015116D" w:rsidP="00111246">
            <w:pPr>
              <w:spacing w:before="0" w:after="0"/>
              <w:jc w:val="center"/>
            </w:pPr>
            <w:r>
              <w:t>200</w:t>
            </w:r>
          </w:p>
        </w:tc>
        <w:tc>
          <w:tcPr>
            <w:tcW w:w="3629" w:type="dxa"/>
            <w:tcBorders>
              <w:top w:val="single" w:sz="4" w:space="0" w:color="auto"/>
              <w:left w:val="single" w:sz="4" w:space="0" w:color="auto"/>
              <w:right w:val="single" w:sz="4" w:space="0" w:color="auto"/>
            </w:tcBorders>
            <w:tcMar>
              <w:top w:w="85" w:type="dxa"/>
              <w:bottom w:w="85" w:type="dxa"/>
            </w:tcMar>
            <w:vAlign w:val="center"/>
          </w:tcPr>
          <w:p w:rsidR="0015116D" w:rsidRPr="009114EE" w:rsidRDefault="0015116D" w:rsidP="00111246">
            <w:pPr>
              <w:spacing w:before="0" w:after="0"/>
              <w:jc w:val="center"/>
            </w:pPr>
            <w:r>
              <w:t>y=0.7523x-0.0323 (R</w:t>
            </w:r>
            <w:r>
              <w:rPr>
                <w:vertAlign w:val="superscript"/>
              </w:rPr>
              <w:t>2</w:t>
            </w:r>
            <w:r>
              <w:t>=0.9982)</w:t>
            </w:r>
          </w:p>
        </w:tc>
        <w:tc>
          <w:tcPr>
            <w:tcW w:w="2055" w:type="dxa"/>
            <w:tcBorders>
              <w:top w:val="single" w:sz="4" w:space="0" w:color="auto"/>
              <w:left w:val="single" w:sz="4" w:space="0" w:color="auto"/>
              <w:bottom w:val="nil"/>
              <w:right w:val="single" w:sz="4" w:space="0" w:color="auto"/>
            </w:tcBorders>
            <w:shd w:val="clear" w:color="auto" w:fill="auto"/>
            <w:tcMar>
              <w:top w:w="85" w:type="dxa"/>
              <w:bottom w:w="85" w:type="dxa"/>
            </w:tcMar>
            <w:vAlign w:val="center"/>
          </w:tcPr>
          <w:p w:rsidR="0015116D" w:rsidRPr="00B947E6" w:rsidRDefault="0015116D" w:rsidP="00111246">
            <w:pPr>
              <w:spacing w:before="0" w:after="0"/>
              <w:jc w:val="center"/>
              <w:rPr>
                <w:rFonts w:cs="Times New Roman"/>
              </w:rPr>
            </w:pPr>
            <w:r w:rsidRPr="00B947E6">
              <w:rPr>
                <w:rFonts w:cs="Times New Roman"/>
                <w:color w:val="000000"/>
              </w:rPr>
              <w:t>0.04</w:t>
            </w:r>
          </w:p>
        </w:tc>
      </w:tr>
      <w:tr w:rsidR="0015116D" w:rsidTr="00111246">
        <w:trPr>
          <w:trHeight w:val="130"/>
        </w:trPr>
        <w:tc>
          <w:tcPr>
            <w:tcW w:w="1978" w:type="dxa"/>
            <w:vMerge/>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5116D" w:rsidRDefault="0015116D" w:rsidP="00111246">
            <w:pPr>
              <w:spacing w:before="0" w:after="0"/>
              <w:jc w:val="center"/>
            </w:pPr>
          </w:p>
        </w:tc>
        <w:tc>
          <w:tcPr>
            <w:tcW w:w="2136" w:type="dxa"/>
            <w:tcBorders>
              <w:left w:val="single" w:sz="4" w:space="0" w:color="auto"/>
              <w:bottom w:val="nil"/>
              <w:right w:val="single" w:sz="4" w:space="0" w:color="auto"/>
            </w:tcBorders>
            <w:tcMar>
              <w:top w:w="85" w:type="dxa"/>
              <w:bottom w:w="85" w:type="dxa"/>
            </w:tcMar>
            <w:vAlign w:val="center"/>
          </w:tcPr>
          <w:p w:rsidR="0015116D" w:rsidRDefault="0015116D" w:rsidP="00111246">
            <w:pPr>
              <w:spacing w:before="0" w:after="0"/>
              <w:jc w:val="center"/>
            </w:pPr>
            <w:r>
              <w:t>400</w:t>
            </w:r>
          </w:p>
        </w:tc>
        <w:tc>
          <w:tcPr>
            <w:tcW w:w="3629" w:type="dxa"/>
            <w:tcBorders>
              <w:left w:val="single" w:sz="4" w:space="0" w:color="auto"/>
              <w:right w:val="single" w:sz="4" w:space="0" w:color="auto"/>
            </w:tcBorders>
            <w:tcMar>
              <w:top w:w="85" w:type="dxa"/>
              <w:bottom w:w="85" w:type="dxa"/>
            </w:tcMar>
            <w:vAlign w:val="center"/>
          </w:tcPr>
          <w:p w:rsidR="0015116D" w:rsidRPr="009114EE" w:rsidRDefault="0015116D" w:rsidP="00111246">
            <w:pPr>
              <w:spacing w:before="0" w:after="0"/>
              <w:jc w:val="center"/>
            </w:pPr>
            <w:r>
              <w:t>y=0.7757x-0.1255 (R</w:t>
            </w:r>
            <w:r>
              <w:rPr>
                <w:vertAlign w:val="superscript"/>
              </w:rPr>
              <w:t>2</w:t>
            </w:r>
            <w:r>
              <w:t>=0.9983)</w:t>
            </w:r>
          </w:p>
        </w:tc>
        <w:tc>
          <w:tcPr>
            <w:tcW w:w="2055" w:type="dxa"/>
            <w:tcBorders>
              <w:top w:val="nil"/>
              <w:left w:val="single" w:sz="4" w:space="0" w:color="auto"/>
              <w:bottom w:val="nil"/>
              <w:right w:val="single" w:sz="4" w:space="0" w:color="auto"/>
            </w:tcBorders>
            <w:shd w:val="clear" w:color="auto" w:fill="auto"/>
            <w:tcMar>
              <w:top w:w="85" w:type="dxa"/>
              <w:bottom w:w="85" w:type="dxa"/>
            </w:tcMar>
            <w:vAlign w:val="center"/>
          </w:tcPr>
          <w:p w:rsidR="0015116D" w:rsidRPr="00B947E6" w:rsidRDefault="0015116D" w:rsidP="00111246">
            <w:pPr>
              <w:spacing w:before="0" w:after="0"/>
              <w:jc w:val="center"/>
              <w:rPr>
                <w:rFonts w:cs="Times New Roman"/>
              </w:rPr>
            </w:pPr>
            <w:r w:rsidRPr="00B947E6">
              <w:rPr>
                <w:rFonts w:cs="Times New Roman"/>
                <w:color w:val="000000"/>
              </w:rPr>
              <w:t>0.16</w:t>
            </w:r>
          </w:p>
        </w:tc>
      </w:tr>
      <w:tr w:rsidR="0015116D" w:rsidTr="00111246">
        <w:trPr>
          <w:trHeight w:val="130"/>
        </w:trPr>
        <w:tc>
          <w:tcPr>
            <w:tcW w:w="1978" w:type="dxa"/>
            <w:vMerge/>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5116D" w:rsidRDefault="0015116D" w:rsidP="00111246">
            <w:pPr>
              <w:spacing w:before="0" w:after="0"/>
              <w:jc w:val="center"/>
            </w:pPr>
          </w:p>
        </w:tc>
        <w:tc>
          <w:tcPr>
            <w:tcW w:w="2136" w:type="dxa"/>
            <w:tcBorders>
              <w:left w:val="single" w:sz="4" w:space="0" w:color="auto"/>
              <w:bottom w:val="single" w:sz="4" w:space="0" w:color="auto"/>
              <w:right w:val="single" w:sz="4" w:space="0" w:color="auto"/>
            </w:tcBorders>
            <w:tcMar>
              <w:top w:w="85" w:type="dxa"/>
              <w:bottom w:w="85" w:type="dxa"/>
            </w:tcMar>
            <w:vAlign w:val="center"/>
          </w:tcPr>
          <w:p w:rsidR="0015116D" w:rsidRDefault="0015116D" w:rsidP="00111246">
            <w:pPr>
              <w:spacing w:before="0" w:after="0"/>
              <w:jc w:val="center"/>
            </w:pPr>
            <w:r>
              <w:t>750</w:t>
            </w:r>
          </w:p>
        </w:tc>
        <w:tc>
          <w:tcPr>
            <w:tcW w:w="3629" w:type="dxa"/>
            <w:tcBorders>
              <w:left w:val="single" w:sz="4" w:space="0" w:color="auto"/>
              <w:bottom w:val="single" w:sz="4" w:space="0" w:color="auto"/>
              <w:right w:val="single" w:sz="4" w:space="0" w:color="auto"/>
            </w:tcBorders>
            <w:tcMar>
              <w:top w:w="85" w:type="dxa"/>
              <w:bottom w:w="85" w:type="dxa"/>
            </w:tcMar>
            <w:vAlign w:val="center"/>
          </w:tcPr>
          <w:p w:rsidR="0015116D" w:rsidRPr="009114EE" w:rsidRDefault="0015116D" w:rsidP="00111246">
            <w:pPr>
              <w:spacing w:before="0" w:after="0"/>
              <w:jc w:val="center"/>
            </w:pPr>
            <w:r>
              <w:t>y=0.7797x-0.1744 (R</w:t>
            </w:r>
            <w:r>
              <w:rPr>
                <w:vertAlign w:val="superscript"/>
              </w:rPr>
              <w:t>2</w:t>
            </w:r>
            <w:r>
              <w:t>=0.9986)</w:t>
            </w:r>
          </w:p>
        </w:tc>
        <w:tc>
          <w:tcPr>
            <w:tcW w:w="2055" w:type="dxa"/>
            <w:tcBorders>
              <w:top w:val="nil"/>
              <w:left w:val="single" w:sz="4" w:space="0" w:color="auto"/>
              <w:bottom w:val="single" w:sz="4" w:space="0" w:color="auto"/>
              <w:right w:val="single" w:sz="4" w:space="0" w:color="auto"/>
            </w:tcBorders>
            <w:shd w:val="clear" w:color="auto" w:fill="auto"/>
            <w:tcMar>
              <w:top w:w="85" w:type="dxa"/>
              <w:bottom w:w="85" w:type="dxa"/>
            </w:tcMar>
            <w:vAlign w:val="center"/>
          </w:tcPr>
          <w:p w:rsidR="0015116D" w:rsidRPr="00B947E6" w:rsidRDefault="0015116D" w:rsidP="00111246">
            <w:pPr>
              <w:spacing w:before="0" w:after="0"/>
              <w:jc w:val="center"/>
              <w:rPr>
                <w:rFonts w:cs="Times New Roman"/>
              </w:rPr>
            </w:pPr>
            <w:r w:rsidRPr="00B947E6">
              <w:rPr>
                <w:rFonts w:cs="Times New Roman"/>
                <w:color w:val="000000"/>
              </w:rPr>
              <w:t>0.22</w:t>
            </w:r>
          </w:p>
        </w:tc>
      </w:tr>
    </w:tbl>
    <w:p w:rsidR="001562B1" w:rsidRPr="0015116D" w:rsidRDefault="001562B1" w:rsidP="0015116D">
      <w:pPr>
        <w:spacing w:before="0" w:after="200" w:line="276" w:lineRule="auto"/>
        <w:rPr>
          <w:bCs/>
          <w:lang w:val="en-GB"/>
        </w:rPr>
      </w:pPr>
      <w:bookmarkStart w:id="1" w:name="_GoBack"/>
      <w:bookmarkEnd w:id="0"/>
      <w:bookmarkEnd w:id="1"/>
    </w:p>
    <w:sectPr w:rsidR="001562B1" w:rsidRPr="001511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6D"/>
    <w:rsid w:val="0015116D"/>
    <w:rsid w:val="0015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843D"/>
  <w15:chartTrackingRefBased/>
  <w15:docId w15:val="{2BDD5802-E195-4015-97C5-98D4541B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160" w:line="30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116D"/>
    <w:pPr>
      <w:spacing w:before="120" w:after="240" w:line="240"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16D"/>
    <w:pPr>
      <w:spacing w:after="0" w:line="240" w:lineRule="auto"/>
    </w:pPr>
    <w:rPr>
      <w:rFonts w:asciiTheme="majorHAnsi" w:hAnsiTheme="maj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1CB0556D.dotm</Template>
  <TotalTime>1</TotalTime>
  <Pages>1</Pages>
  <Words>145</Words>
  <Characters>829</Characters>
  <Application>Microsoft Office Word</Application>
  <DocSecurity>0</DocSecurity>
  <Lines>6</Lines>
  <Paragraphs>1</Paragraphs>
  <ScaleCrop>false</ScaleCrop>
  <Company>Wageningen University and Research</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Graamans, Luuk</dc:creator>
  <cp:keywords/>
  <dc:description/>
  <cp:lastModifiedBy>Graamans, Luuk</cp:lastModifiedBy>
  <cp:revision>1</cp:revision>
  <dcterms:created xsi:type="dcterms:W3CDTF">2021-01-08T14:51:00Z</dcterms:created>
  <dcterms:modified xsi:type="dcterms:W3CDTF">2021-01-08T14:52:00Z</dcterms:modified>
</cp:coreProperties>
</file>