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BC24D7C" w14:textId="751EAA72" w:rsidR="00A20802" w:rsidRDefault="00654E8F" w:rsidP="00A20802">
      <w:pPr>
        <w:pStyle w:val="Titre1"/>
      </w:pPr>
      <w:r w:rsidRPr="00994A3D">
        <w:t>Supplementary Tables</w:t>
      </w:r>
    </w:p>
    <w:p w14:paraId="347DBB98" w14:textId="77777777" w:rsidR="00A20802" w:rsidRPr="00A20802" w:rsidRDefault="00A20802" w:rsidP="00A20802"/>
    <w:p w14:paraId="08235C80" w14:textId="77777777" w:rsidR="00A20802" w:rsidRDefault="00A20802" w:rsidP="00A20802">
      <w:r>
        <w:t>Table S</w:t>
      </w:r>
      <w:proofErr w:type="gramStart"/>
      <w:r>
        <w:t>1 :</w:t>
      </w:r>
      <w:proofErr w:type="gramEnd"/>
      <w:r>
        <w:t xml:space="preserve"> List of targets present in </w:t>
      </w:r>
      <w:proofErr w:type="spellStart"/>
      <w:r>
        <w:t>ePlex</w:t>
      </w:r>
      <w:proofErr w:type="spellEnd"/>
      <w:r>
        <w:t xml:space="preserve"> BCID-GP, BCID-GN and BCID-FP panels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700"/>
        <w:gridCol w:w="3020"/>
      </w:tblGrid>
      <w:tr w:rsidR="00A20802" w:rsidRPr="00A20802" w14:paraId="4A6893EF" w14:textId="77777777" w:rsidTr="00580DE6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054CB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BCID-GP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1D5B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BCID-GN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0FC3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BCID-FP</w:t>
            </w:r>
          </w:p>
        </w:tc>
      </w:tr>
      <w:tr w:rsidR="00A20802" w:rsidRPr="00A20802" w14:paraId="1305811F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1C7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Bacillus cereus </w:t>
            </w: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group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65D0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Acinetobacter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baumannii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7D9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albicans</w:t>
            </w:r>
            <w:proofErr w:type="spellEnd"/>
          </w:p>
        </w:tc>
      </w:tr>
      <w:tr w:rsidR="00A20802" w:rsidRPr="00A20802" w14:paraId="04365B48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459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Bacillus subtilis </w:t>
            </w: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group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C9E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Bacteroides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fragilis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F817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auris</w:t>
            </w:r>
            <w:proofErr w:type="spellEnd"/>
          </w:p>
        </w:tc>
      </w:tr>
      <w:tr w:rsidR="00A20802" w:rsidRPr="00A20802" w14:paraId="2D881C9C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933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Corynebacterium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E925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Citrobacter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F87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dubliniensis</w:t>
            </w:r>
            <w:proofErr w:type="spellEnd"/>
          </w:p>
        </w:tc>
      </w:tr>
      <w:tr w:rsidR="00A20802" w:rsidRPr="00A20802" w14:paraId="08FD2602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556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Cutibacterium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acnes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1EB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Cronobacter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sakazakii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71A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famata</w:t>
            </w:r>
            <w:proofErr w:type="spellEnd"/>
          </w:p>
        </w:tc>
      </w:tr>
      <w:tr w:rsidR="00A20802" w:rsidRPr="00A20802" w14:paraId="615EB7EC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C46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Enterococcus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E38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Enterobacter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 </w:t>
            </w: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(non-</w:t>
            </w: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cloacae</w:t>
            </w: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 complex)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A81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glabrata</w:t>
            </w:r>
            <w:proofErr w:type="spellEnd"/>
          </w:p>
        </w:tc>
      </w:tr>
      <w:tr w:rsidR="00A20802" w:rsidRPr="00A20802" w14:paraId="57B6E9A6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C7B5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Enterococcus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faecalis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1E9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Enterobacter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cloacae </w:t>
            </w: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complex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EE75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guilliermondii</w:t>
            </w:r>
            <w:proofErr w:type="spellEnd"/>
          </w:p>
        </w:tc>
      </w:tr>
      <w:tr w:rsidR="00A20802" w:rsidRPr="00A20802" w14:paraId="3FC8ACC8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7BC5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Enterococcus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faecium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EEEB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Escherichia coli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9428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kefyr</w:t>
            </w:r>
            <w:proofErr w:type="spellEnd"/>
          </w:p>
        </w:tc>
      </w:tr>
      <w:tr w:rsidR="00A20802" w:rsidRPr="00A20802" w14:paraId="38FE6F11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3DD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Lactobacillus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0C8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Fusobacterium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 </w:t>
            </w:r>
            <w:proofErr w:type="spellStart"/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nucleatum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1DD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krusei</w:t>
            </w:r>
            <w:proofErr w:type="spellEnd"/>
          </w:p>
        </w:tc>
      </w:tr>
      <w:tr w:rsidR="00A20802" w:rsidRPr="00A20802" w14:paraId="0B3D7A4E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B99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Listeria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9F18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Fusobacterium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necrophorum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1423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lusitaniae</w:t>
            </w:r>
            <w:proofErr w:type="spellEnd"/>
          </w:p>
        </w:tc>
      </w:tr>
      <w:tr w:rsidR="00A20802" w:rsidRPr="00A20802" w14:paraId="6DD7FE1E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B1E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Listeria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monocytogenes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44F5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Haemophilus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influenzae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5AE0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parapsilosis</w:t>
            </w:r>
            <w:proofErr w:type="spellEnd"/>
          </w:p>
        </w:tc>
      </w:tr>
      <w:tr w:rsidR="00A20802" w:rsidRPr="00A20802" w14:paraId="5B6E915B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AE53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Micrococcus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6F8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Klebsiella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oxytoca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A16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Candida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tropicalis</w:t>
            </w:r>
            <w:proofErr w:type="spellEnd"/>
          </w:p>
        </w:tc>
      </w:tr>
      <w:tr w:rsidR="00A20802" w:rsidRPr="00A20802" w14:paraId="2936C639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3EF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Staphylococcus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AE9E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Klebsiella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pneumoniae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7BB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Cryptococcus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gattii</w:t>
            </w:r>
            <w:proofErr w:type="spellEnd"/>
          </w:p>
        </w:tc>
      </w:tr>
      <w:tr w:rsidR="00A20802" w:rsidRPr="00A20802" w14:paraId="2DFF1568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33E7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Staphylococcus aureus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EB6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Morganella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morganii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8B8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Cryptococcus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neoformans</w:t>
            </w:r>
            <w:proofErr w:type="spellEnd"/>
          </w:p>
        </w:tc>
      </w:tr>
      <w:tr w:rsidR="00A20802" w:rsidRPr="00A20802" w14:paraId="6B2FE157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4F11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Staphylococcus epidermidis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4BE1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Neisseria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meningitidis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D8B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Fusarium</w:t>
            </w:r>
            <w:proofErr w:type="spellEnd"/>
          </w:p>
        </w:tc>
      </w:tr>
      <w:tr w:rsidR="00A20802" w:rsidRPr="00A20802" w14:paraId="00210E9C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AB2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Staphylococcus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lugdunensis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14B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Proteus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967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Rhodotorula</w:t>
            </w:r>
            <w:proofErr w:type="spellEnd"/>
          </w:p>
        </w:tc>
      </w:tr>
      <w:tr w:rsidR="00A20802" w:rsidRPr="00A20802" w14:paraId="7946CC4A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17F1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Streptococcus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44E8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Proteus mirabilis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3DA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205D7541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1B8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Streptococcus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agalactiae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 </w:t>
            </w: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(GBS)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D5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Pseudomonas aeruginosa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E55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6A8ACE82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03F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Streptococcus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anginosus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 </w:t>
            </w: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group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2F1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Salmonella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77C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304E92EA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45A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Streptococcus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pneumoniae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6EF1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Serratia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C16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232FC081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F69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Streptococcus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pyogenes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 </w:t>
            </w: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(GAS)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E1787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Serratia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marcescens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83B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38DCA34F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DC57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Resistance Genes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00B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Stenotrophomonas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maltophilia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8510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4D6B12EB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E82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mecA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69C5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Resistance Genes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895B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0039291D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9751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mecC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BF03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CTX-M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C5F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37B05A14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009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vanA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B6D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KPC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16E0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41256510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8EC8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vanB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362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NDM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F8B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53E1550E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F5E5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Pan Targets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3F4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VIM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BF57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08F35D22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DC05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Pan Gram-Negative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6EC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IMP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972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32B26649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8A0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lastRenderedPageBreak/>
              <w:t>Pan </w:t>
            </w: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Candida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6D50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OXA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5B38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12CD1B30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A6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6B27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Pan Targets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697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60FFA84B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B74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43D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Pan Gram-Positive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2EA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A20802" w:rsidRPr="00A20802" w14:paraId="1BBD8B25" w14:textId="77777777" w:rsidTr="00580DE6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83257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01F6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Pan </w:t>
            </w:r>
            <w:r w:rsidRPr="00A20802">
              <w:rPr>
                <w:rFonts w:eastAsia="Times New Roman" w:cs="Times New Roman"/>
                <w:i/>
                <w:iCs/>
                <w:color w:val="000000"/>
                <w:szCs w:val="24"/>
                <w:lang w:eastAsia="fr-FR"/>
              </w:rPr>
              <w:t>Candida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810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Cs w:val="24"/>
                <w:lang w:eastAsia="fr-FR"/>
              </w:rPr>
              <w:t> </w:t>
            </w:r>
          </w:p>
        </w:tc>
      </w:tr>
    </w:tbl>
    <w:p w14:paraId="518FBF7D" w14:textId="77777777" w:rsidR="00A20802" w:rsidRDefault="00A20802" w:rsidP="00A20802"/>
    <w:p w14:paraId="12B20F55" w14:textId="77777777" w:rsidR="00A20802" w:rsidRDefault="00A20802" w:rsidP="00A20802"/>
    <w:p w14:paraId="5402D917" w14:textId="77777777" w:rsidR="00A20802" w:rsidRDefault="00A20802" w:rsidP="00A20802"/>
    <w:p w14:paraId="0C4F1D74" w14:textId="77777777" w:rsidR="00A20802" w:rsidRDefault="00A20802" w:rsidP="00A20802"/>
    <w:p w14:paraId="5229934D" w14:textId="77777777" w:rsidR="00A20802" w:rsidRDefault="00A20802" w:rsidP="00A20802"/>
    <w:p w14:paraId="2004D89A" w14:textId="77777777" w:rsidR="00A20802" w:rsidRDefault="00A20802" w:rsidP="00A20802"/>
    <w:p w14:paraId="74F6476F" w14:textId="77777777" w:rsidR="00A20802" w:rsidRDefault="00A20802" w:rsidP="00A20802"/>
    <w:p w14:paraId="271F7612" w14:textId="77777777" w:rsidR="00A20802" w:rsidRDefault="00A20802" w:rsidP="00A20802"/>
    <w:p w14:paraId="7D01570B" w14:textId="77777777" w:rsidR="00A20802" w:rsidRDefault="00A20802" w:rsidP="00A20802">
      <w:pPr>
        <w:sectPr w:rsidR="00A20802" w:rsidSect="0071303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7753E47" w14:textId="1D25B59A" w:rsidR="00A20802" w:rsidRDefault="006C7612" w:rsidP="00A20802">
      <w:r>
        <w:lastRenderedPageBreak/>
        <w:t>Table S2</w:t>
      </w:r>
      <w:r w:rsidR="00A20802">
        <w:t xml:space="preserve">: Focus on </w:t>
      </w:r>
      <w:proofErr w:type="spellStart"/>
      <w:r w:rsidR="00A20802">
        <w:t>ePlex</w:t>
      </w:r>
      <w:proofErr w:type="spellEnd"/>
      <w:r w:rsidR="00A20802">
        <w:t xml:space="preserve"> results of </w:t>
      </w:r>
      <w:proofErr w:type="spellStart"/>
      <w:r w:rsidR="00A20802">
        <w:t>polymicrobial</w:t>
      </w:r>
      <w:proofErr w:type="spellEnd"/>
      <w:r w:rsidR="00A20802">
        <w:t xml:space="preserve"> samples compared to SOC testing</w:t>
      </w:r>
    </w:p>
    <w:tbl>
      <w:tblPr>
        <w:tblW w:w="14485" w:type="dxa"/>
        <w:tblInd w:w="-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4661"/>
        <w:gridCol w:w="3628"/>
        <w:gridCol w:w="4891"/>
      </w:tblGrid>
      <w:tr w:rsidR="00A20802" w:rsidRPr="00A20802" w14:paraId="0CE093DF" w14:textId="77777777" w:rsidTr="00580DE6">
        <w:trPr>
          <w:trHeight w:val="300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2F83F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6C7612"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Gram stain 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A432E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6C7612"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Panel tested and Positive </w:t>
            </w:r>
            <w:proofErr w:type="spellStart"/>
            <w:r w:rsidRPr="006C7612"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ePlex</w:t>
            </w:r>
            <w:proofErr w:type="spellEnd"/>
            <w:r w:rsidRPr="006C7612"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 targets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021B1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6C7612"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>SOC results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93EF2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6C7612">
              <w:rPr>
                <w:rFonts w:eastAsia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Concordance/Point of attention </w:t>
            </w:r>
          </w:p>
        </w:tc>
      </w:tr>
      <w:tr w:rsidR="00A20802" w:rsidRPr="00A20802" w14:paraId="1B13E284" w14:textId="77777777" w:rsidTr="00580DE6">
        <w:trPr>
          <w:trHeight w:val="514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5903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9EB9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Enterococcus, 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faecalis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, Staphylococcus,      S. aureus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FCB6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faecalis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, S. aureus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A4C0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Concordant</w:t>
            </w:r>
          </w:p>
        </w:tc>
      </w:tr>
      <w:tr w:rsidR="00A20802" w:rsidRPr="00A20802" w14:paraId="288AA16F" w14:textId="77777777" w:rsidTr="00580DE6">
        <w:trPr>
          <w:trHeight w:val="280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5B57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EB-GNR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0B748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E.coli, Proteus, P. mirabilis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41F73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E. coli, P. mirabilis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72D8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Concordant</w:t>
            </w:r>
          </w:p>
        </w:tc>
      </w:tr>
      <w:tr w:rsidR="00A20802" w:rsidRPr="00A20802" w14:paraId="240AC2EF" w14:textId="77777777" w:rsidTr="00580DE6">
        <w:trPr>
          <w:trHeight w:val="553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FEFC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EB-GNR and 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F4D9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Enterococcus, 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faecium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, Staphylococcus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, pan-GN 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P. aeruginosa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panGP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0B8B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P. aeruginosa, 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faecium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,                                     MR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haemolyticus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AAE3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Concordant</w:t>
            </w:r>
          </w:p>
        </w:tc>
      </w:tr>
      <w:tr w:rsidR="00A20802" w:rsidRPr="00A20802" w14:paraId="0B22B730" w14:textId="77777777" w:rsidTr="00580DE6">
        <w:trPr>
          <w:trHeight w:val="433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518D3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633D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Enterococcus, 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faecium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, Streptococcus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vanA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07DA0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faecium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vanA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-positive,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S. mitis/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oralis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group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042E1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Concordant</w:t>
            </w:r>
          </w:p>
        </w:tc>
      </w:tr>
      <w:tr w:rsidR="00A20802" w:rsidRPr="00A20802" w14:paraId="1C8CD017" w14:textId="77777777" w:rsidTr="00580DE6">
        <w:trPr>
          <w:trHeight w:val="199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A733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EB-GNR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40450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E. coli, K.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pneumoniae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(2 episodes of BSI)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65563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E. coli, K.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pneumoniae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6BF7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Concordant</w:t>
            </w:r>
          </w:p>
        </w:tc>
      </w:tr>
      <w:tr w:rsidR="00A20802" w:rsidRPr="00A20802" w14:paraId="3790B267" w14:textId="77777777" w:rsidTr="00580DE6">
        <w:trPr>
          <w:trHeight w:val="231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7C63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GPR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D01B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BCID-GP: No target detected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8282B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A.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neuii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, V.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parvula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9CD2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Pan GP target not detected (species not covered by pan GP target)</w:t>
            </w:r>
          </w:p>
        </w:tc>
      </w:tr>
      <w:tr w:rsidR="00A20802" w:rsidRPr="00A20802" w14:paraId="01D93089" w14:textId="77777777" w:rsidTr="00580DE6">
        <w:trPr>
          <w:trHeight w:val="450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8F3DB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GNR and 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FFB9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Enterococcus, 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faecalis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,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pan-GN                                   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Proteus, P. mirabilis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, pan-GP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494D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faecalis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, P. mirabilis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E0D8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Concordant</w:t>
            </w:r>
          </w:p>
        </w:tc>
      </w:tr>
      <w:tr w:rsidR="00A20802" w:rsidRPr="00A20802" w14:paraId="2298F5EB" w14:textId="77777777" w:rsidTr="00580DE6">
        <w:trPr>
          <w:trHeight w:val="514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7B85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EB-GNR and other GNR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86AE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K.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oxytoca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, Proteus, P. mirabilis, M.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morganii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AFE33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K.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oxytoca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, P. mirabilis, M.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morganii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6BBA1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Concordant</w:t>
            </w:r>
          </w:p>
        </w:tc>
      </w:tr>
      <w:tr w:rsidR="00A20802" w:rsidRPr="00A20802" w14:paraId="1E79900E" w14:textId="77777777" w:rsidTr="00580DE6">
        <w:trPr>
          <w:trHeight w:val="423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EF77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GNR and 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8417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no GP target, pan GN                                                          BCID-GN: 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B.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fragilis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, P. aeruginosa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40C4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B.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fragilis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, P. aeruginosa, C.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aerofaciens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,           D.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pneumosintes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8EE4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P. aeruginosa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not detected in aerobic bottle with RUO cartridge, detected with CE-IVD cartridge. True negative of Pan GP target detected (species not covered)</w:t>
            </w:r>
          </w:p>
        </w:tc>
      </w:tr>
      <w:tr w:rsidR="00A20802" w:rsidRPr="00A20802" w14:paraId="0FA9D210" w14:textId="77777777" w:rsidTr="00580DE6">
        <w:trPr>
          <w:trHeight w:val="107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82B8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EB-GNR and 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B781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Streptococcus, 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anginosus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group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, pan-GN             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Proteus, P. mirabilis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C0411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P. mirabilis, 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anginosus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group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4F2F8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Pan-GP target not det</w:t>
            </w:r>
            <w:bookmarkStart w:id="0" w:name="_GoBack"/>
            <w:bookmarkEnd w:id="0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ected with RUO cartridge, detected with CE-IVD cartridge</w:t>
            </w:r>
          </w:p>
        </w:tc>
      </w:tr>
      <w:tr w:rsidR="00A20802" w:rsidRPr="00A20802" w14:paraId="5CFAC254" w14:textId="77777777" w:rsidTr="00580DE6">
        <w:trPr>
          <w:trHeight w:val="313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C6B9C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GPR and GNR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8F13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C. acnes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, pan-GN                                                                    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P. aeruginosa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A0DD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C. acnes, P. aeruginosa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1CE0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Pan-GP target not detected (species not covered by </w:t>
            </w:r>
            <w:proofErr w:type="spellStart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panGP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target)</w:t>
            </w:r>
          </w:p>
        </w:tc>
      </w:tr>
      <w:tr w:rsidR="00A20802" w:rsidRPr="00A20802" w14:paraId="780504A5" w14:textId="77777777" w:rsidTr="00580DE6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E0927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1E19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Streptococcus, 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anginosus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group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27BE63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anginosus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group, S. mitis/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oralis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group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FAAB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  <w:t>S. mitis/</w:t>
            </w:r>
            <w:proofErr w:type="spellStart"/>
            <w:r w:rsidRPr="00A20802">
              <w:rPr>
                <w:rFonts w:eastAsia="Times New Roman" w:cs="Times New Roman"/>
                <w:i/>
                <w:color w:val="000000"/>
                <w:sz w:val="20"/>
                <w:szCs w:val="20"/>
                <w:lang w:eastAsia="fr-FR"/>
              </w:rPr>
              <w:t>oralis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not suspected with molecular results</w:t>
            </w:r>
          </w:p>
        </w:tc>
      </w:tr>
      <w:tr w:rsidR="00A20802" w:rsidRPr="00A20802" w14:paraId="49215B34" w14:textId="77777777" w:rsidTr="00580DE6">
        <w:trPr>
          <w:trHeight w:val="409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029F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EB-GNR and 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61A6D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Enterococcus, 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faecium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, pan-GN                                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E. coli,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bla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eastAsia="fr-FR"/>
              </w:rPr>
              <w:t>CTX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eastAsia="fr-FR"/>
              </w:rPr>
              <w:t>-M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0CEF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E.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faecium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, ESBL-producing E. coli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1C8C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Pan-GP target not detected with RUO cartridge, detected with CE-IVD cartridge</w:t>
            </w:r>
          </w:p>
        </w:tc>
      </w:tr>
      <w:tr w:rsidR="00A20802" w:rsidRPr="00A20802" w14:paraId="11B14CDE" w14:textId="77777777" w:rsidTr="00580DE6">
        <w:trPr>
          <w:trHeight w:val="274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4C7F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GPCP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7FBA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Streptococcus, 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anginosus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group, pan-GN               BCID-GN :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B.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fragilis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, pan-GP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F682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anginosus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group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, B.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fragilis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(only after secondary culture of the frozen aliquot)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C6D14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True positive</w:t>
            </w:r>
          </w:p>
        </w:tc>
      </w:tr>
      <w:tr w:rsidR="00A20802" w:rsidRPr="00A20802" w14:paraId="5DC4B5BF" w14:textId="77777777" w:rsidTr="00580DE6">
        <w:trPr>
          <w:trHeight w:val="267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EA7C2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GNR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6966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BCID-GN: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P. aeruginosa, 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maltophilia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551A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P. aeruginosa, S.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maltophilia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(only after secondary culture of the frozen aliquot)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A31C9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True positive</w:t>
            </w:r>
          </w:p>
        </w:tc>
      </w:tr>
      <w:tr w:rsidR="00A20802" w:rsidRPr="00A20802" w14:paraId="377A80CB" w14:textId="77777777" w:rsidTr="00580DE6">
        <w:trPr>
          <w:trHeight w:val="331"/>
        </w:trPr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D5666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Yeast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8641F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BCID-FP: 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C.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krusei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, C.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glabrata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59D4E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C.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krusei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, C.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glabrata</w:t>
            </w:r>
            <w:proofErr w:type="spellEnd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C. </w:t>
            </w:r>
            <w:proofErr w:type="spellStart"/>
            <w:r w:rsidRPr="00A208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glabrata</w:t>
            </w:r>
            <w:proofErr w:type="spellEnd"/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not detected by culture in aerobic bottle)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07AFA" w14:textId="77777777" w:rsidR="00A20802" w:rsidRPr="00A2080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0802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True positive</w:t>
            </w:r>
          </w:p>
        </w:tc>
      </w:tr>
    </w:tbl>
    <w:p w14:paraId="71ABB985" w14:textId="77777777" w:rsidR="00A20802" w:rsidRDefault="00A20802" w:rsidP="00A20802">
      <w:pPr>
        <w:spacing w:line="480" w:lineRule="auto"/>
        <w:jc w:val="both"/>
        <w:rPr>
          <w:i/>
        </w:rPr>
      </w:pPr>
      <w:proofErr w:type="gramStart"/>
      <w:r w:rsidRPr="00E75749">
        <w:rPr>
          <w:i/>
        </w:rPr>
        <w:t>GNR :</w:t>
      </w:r>
      <w:proofErr w:type="gramEnd"/>
      <w:r w:rsidRPr="00E75749">
        <w:rPr>
          <w:i/>
        </w:rPr>
        <w:t xml:space="preserve"> Gram-negative rods ; </w:t>
      </w:r>
      <w:r>
        <w:rPr>
          <w:i/>
        </w:rPr>
        <w:t xml:space="preserve">EB : </w:t>
      </w:r>
      <w:proofErr w:type="spellStart"/>
      <w:r>
        <w:rPr>
          <w:i/>
        </w:rPr>
        <w:t>Enterobacteriaceae</w:t>
      </w:r>
      <w:proofErr w:type="spellEnd"/>
      <w:r>
        <w:rPr>
          <w:i/>
        </w:rPr>
        <w:t xml:space="preserve"> ; </w:t>
      </w:r>
      <w:r w:rsidRPr="00E75749">
        <w:rPr>
          <w:i/>
        </w:rPr>
        <w:t xml:space="preserve">GPCC : Gram-positive cocci in cluster ; GPCP : Gram-positive cocci in pairs or chains </w:t>
      </w:r>
    </w:p>
    <w:p w14:paraId="1089FEA8" w14:textId="77777777" w:rsidR="00A20802" w:rsidRDefault="00A20802" w:rsidP="00A20802">
      <w:pPr>
        <w:spacing w:line="480" w:lineRule="auto"/>
        <w:jc w:val="both"/>
      </w:pPr>
    </w:p>
    <w:p w14:paraId="1AEEA9D6" w14:textId="77777777" w:rsidR="00A20802" w:rsidRDefault="00A20802" w:rsidP="00A20802">
      <w:pPr>
        <w:spacing w:line="480" w:lineRule="auto"/>
        <w:jc w:val="both"/>
      </w:pPr>
    </w:p>
    <w:p w14:paraId="67BF7AF4" w14:textId="77777777" w:rsidR="006C7612" w:rsidRDefault="006C7612" w:rsidP="00A20802">
      <w:pPr>
        <w:spacing w:line="480" w:lineRule="auto"/>
        <w:jc w:val="both"/>
      </w:pPr>
    </w:p>
    <w:p w14:paraId="11DD2F67" w14:textId="77777777" w:rsidR="006C7612" w:rsidRDefault="006C7612" w:rsidP="00A20802">
      <w:pPr>
        <w:spacing w:line="480" w:lineRule="auto"/>
        <w:jc w:val="both"/>
      </w:pPr>
    </w:p>
    <w:p w14:paraId="555B19CA" w14:textId="77777777" w:rsidR="006C7612" w:rsidRDefault="006C7612" w:rsidP="00A20802">
      <w:pPr>
        <w:spacing w:line="480" w:lineRule="auto"/>
        <w:jc w:val="both"/>
      </w:pPr>
    </w:p>
    <w:p w14:paraId="2D6C21AC" w14:textId="77777777" w:rsidR="006C7612" w:rsidRDefault="006C7612" w:rsidP="00A20802">
      <w:pPr>
        <w:spacing w:line="480" w:lineRule="auto"/>
        <w:jc w:val="both"/>
      </w:pPr>
    </w:p>
    <w:p w14:paraId="403D9288" w14:textId="77777777" w:rsidR="006C7612" w:rsidRDefault="006C7612" w:rsidP="00A20802">
      <w:pPr>
        <w:spacing w:line="480" w:lineRule="auto"/>
        <w:jc w:val="both"/>
      </w:pPr>
    </w:p>
    <w:p w14:paraId="738778C8" w14:textId="77777777" w:rsidR="006C7612" w:rsidRDefault="006C7612" w:rsidP="00A20802">
      <w:pPr>
        <w:spacing w:line="480" w:lineRule="auto"/>
        <w:jc w:val="both"/>
      </w:pPr>
    </w:p>
    <w:p w14:paraId="71C9878C" w14:textId="77777777" w:rsidR="006C7612" w:rsidRDefault="006C7612" w:rsidP="00A20802">
      <w:pPr>
        <w:spacing w:line="480" w:lineRule="auto"/>
        <w:jc w:val="both"/>
      </w:pPr>
    </w:p>
    <w:p w14:paraId="63F911FC" w14:textId="240950B8" w:rsidR="00A20802" w:rsidRPr="003B7075" w:rsidRDefault="00A20802" w:rsidP="00A20802">
      <w:pPr>
        <w:spacing w:line="480" w:lineRule="auto"/>
        <w:jc w:val="both"/>
        <w:rPr>
          <w:i/>
        </w:rPr>
      </w:pPr>
      <w:r>
        <w:lastRenderedPageBreak/>
        <w:t>Table S3</w:t>
      </w:r>
      <w:r w:rsidRPr="00116D79">
        <w:t xml:space="preserve">: Results of retrospective analysis of potential clinical impact of </w:t>
      </w:r>
      <w:proofErr w:type="spellStart"/>
      <w:r w:rsidRPr="00116D79">
        <w:t>ePlex</w:t>
      </w:r>
      <w:proofErr w:type="spellEnd"/>
      <w:r w:rsidRPr="00116D79">
        <w:t xml:space="preserve"> BCID assay</w:t>
      </w:r>
      <w:r>
        <w:t>, stratified by Gram-stain</w:t>
      </w:r>
    </w:p>
    <w:tbl>
      <w:tblPr>
        <w:tblW w:w="1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950"/>
        <w:gridCol w:w="732"/>
        <w:gridCol w:w="1097"/>
        <w:gridCol w:w="1160"/>
        <w:gridCol w:w="941"/>
        <w:gridCol w:w="420"/>
        <w:gridCol w:w="330"/>
        <w:gridCol w:w="380"/>
        <w:gridCol w:w="360"/>
        <w:gridCol w:w="520"/>
        <w:gridCol w:w="520"/>
        <w:gridCol w:w="520"/>
        <w:gridCol w:w="2800"/>
      </w:tblGrid>
      <w:tr w:rsidR="00A20802" w:rsidRPr="006C7612" w14:paraId="536E8C80" w14:textId="77777777" w:rsidTr="006C7612">
        <w:trPr>
          <w:trHeight w:val="510"/>
        </w:trPr>
        <w:tc>
          <w:tcPr>
            <w:tcW w:w="37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33D553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Potential therapeutic modification, No.(%) following…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8BB6C2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None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EEEFA4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Stop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6C4524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De-escalation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A53266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Optimization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8B2F00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Escalation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6D276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Loss of chance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4F34C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Erroneous decision based on PCR result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6A32C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Other impact</w:t>
            </w:r>
          </w:p>
        </w:tc>
      </w:tr>
      <w:tr w:rsidR="00A20802" w:rsidRPr="006C7612" w14:paraId="12ECA5C0" w14:textId="77777777" w:rsidTr="006C7612">
        <w:trPr>
          <w:trHeight w:val="300"/>
        </w:trPr>
        <w:tc>
          <w:tcPr>
            <w:tcW w:w="37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10E935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CF86DF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5F314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FB067B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3469B6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C83A77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7CEC8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Yes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4A98C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92000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D660F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No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120EC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Yes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8BE8C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2DF46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No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8C2ECF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A20802" w:rsidRPr="006C7612" w14:paraId="7B98F075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759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F116" w14:textId="77777777" w:rsidR="00A20802" w:rsidRPr="006C7612" w:rsidRDefault="00A20802" w:rsidP="00580DE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A5CC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3D8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3E24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9E7A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9F63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768D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D40B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752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13C3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B53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970B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2617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A20802" w:rsidRPr="006C7612" w14:paraId="47676D30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A9DF" w14:textId="6A4A9B14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… identification res</w:t>
            </w:r>
            <w:r w:rsid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ults only :                    </w:t>
            </w: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A31B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99 (63%)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2D82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(1%)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A0E1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(14%)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AA9C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 (18%)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F87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(4%)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C63F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30A1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9736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CD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9113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6CA1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3774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243F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A20802" w:rsidRPr="006C7612" w14:paraId="49B5DC03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9E48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GP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913D0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28 (48%)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DC5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2 (3%)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D8C4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11 (19%)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B025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15 (26%)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4638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2 (3%)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B6D2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8661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2D3F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CD51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409F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BCF9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728D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59BF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A20802" w:rsidRPr="006C7612" w14:paraId="62379966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640F2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GN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664C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58 (74%)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380A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CDF3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8 (10%)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8F7D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9 (12%)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6854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3 (4%)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4803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91B3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6E78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E7C2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C21D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94B3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596B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ECD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A20802" w:rsidRPr="006C7612" w14:paraId="19D6DA71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D079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PM (GN+GP)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7371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8 (62%)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ACD0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7DA8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1 (8%)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648F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2 (15%)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88336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2 (15%)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9079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547C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13C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A782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2DD8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AEFB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229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39B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A20802" w:rsidRPr="006C7612" w14:paraId="28167171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DF50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FP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FE1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5 (56%)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A61F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782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 (22%)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626FF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 (22%)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C658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29A4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1BDF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02B1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387C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D460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CDC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C06C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DA89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A20802" w:rsidRPr="006C7612" w14:paraId="129E5F3D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D452" w14:textId="7F319E44" w:rsidR="00A20802" w:rsidRPr="006C7612" w:rsidRDefault="00A20802" w:rsidP="00580DE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… identific</w:t>
            </w:r>
            <w:r w:rsid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ation and resistance results:    </w:t>
            </w: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003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 (55%)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2130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(1%)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0270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 (17%)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278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 (16%)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342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(11%)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842B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71F34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EB3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6C8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9AE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36BD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1ED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C97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A20802" w:rsidRPr="006C7612" w14:paraId="6062D1BE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6D9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GP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302B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26 (45%)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B432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2 (3%)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9C15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14 (24%)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BB21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13 (22%)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B13C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3 (5%)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393F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CF52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67CA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728B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2740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7354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B3661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21169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 TEE, 2 infection control measures</w:t>
            </w:r>
          </w:p>
        </w:tc>
      </w:tr>
      <w:tr w:rsidR="00A20802" w:rsidRPr="006C7612" w14:paraId="0A6E9E04" w14:textId="77777777" w:rsidTr="006C7612">
        <w:trPr>
          <w:trHeight w:val="735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55B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GN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2D32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48 (62%)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DA277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9E20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10 (13%)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04D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8  (10%)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B149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12 (15%)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01EE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DB14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8361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F67B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A926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CFD3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B442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2350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9 infection control measures ;           1 readmission ; 1 TEE ; 1 catheter removal ; 1 reoperation</w:t>
            </w:r>
          </w:p>
        </w:tc>
      </w:tr>
      <w:tr w:rsidR="00A20802" w:rsidRPr="006C7612" w14:paraId="244C989D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ACC9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PM (GN+GP)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70BD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8 (62%)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ED4B4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F9A0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1 (8%)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28E6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2 (15%)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B4C1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2 (15%)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289B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89A5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2F6C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209B7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9642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47A7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BE3E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0B92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none</w:t>
            </w:r>
          </w:p>
        </w:tc>
      </w:tr>
      <w:tr w:rsidR="00A20802" w:rsidRPr="006C7612" w14:paraId="10F96AF3" w14:textId="77777777" w:rsidTr="006C7612">
        <w:trPr>
          <w:trHeight w:val="300"/>
        </w:trPr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777D5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FP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CF414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5 (56%)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C8AF8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C0E8E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 (22%)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73BD9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 (22%)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FBAA3" w14:textId="77777777" w:rsidR="00A20802" w:rsidRPr="006C7612" w:rsidRDefault="00A20802" w:rsidP="00580DE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7F201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BF4B2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70C75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5BC65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4B00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36D0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68E1E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71CD2" w14:textId="77777777" w:rsidR="00A20802" w:rsidRPr="006C7612" w:rsidRDefault="00A20802" w:rsidP="00580DE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6C7612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1 TEE, 1 catheter removal</w:t>
            </w:r>
          </w:p>
        </w:tc>
      </w:tr>
    </w:tbl>
    <w:p w14:paraId="4B88AAC4" w14:textId="77777777" w:rsidR="00A20802" w:rsidRPr="00893E08" w:rsidRDefault="00A20802" w:rsidP="00A20802">
      <w:pPr>
        <w:rPr>
          <w:sz w:val="18"/>
          <w:szCs w:val="18"/>
        </w:rPr>
      </w:pPr>
      <w:proofErr w:type="gramStart"/>
      <w:r w:rsidRPr="00893E08">
        <w:rPr>
          <w:sz w:val="18"/>
          <w:szCs w:val="18"/>
        </w:rPr>
        <w:t>TEE :</w:t>
      </w:r>
      <w:proofErr w:type="gramEnd"/>
      <w:r w:rsidRPr="00893E08">
        <w:rPr>
          <w:sz w:val="18"/>
          <w:szCs w:val="18"/>
        </w:rPr>
        <w:t xml:space="preserve"> </w:t>
      </w:r>
      <w:proofErr w:type="spellStart"/>
      <w:r w:rsidRPr="00893E08">
        <w:rPr>
          <w:sz w:val="18"/>
          <w:szCs w:val="18"/>
        </w:rPr>
        <w:t>transesophageal</w:t>
      </w:r>
      <w:proofErr w:type="spellEnd"/>
      <w:r w:rsidRPr="00893E08">
        <w:rPr>
          <w:sz w:val="18"/>
          <w:szCs w:val="18"/>
        </w:rPr>
        <w:t xml:space="preserve"> echocardiography</w:t>
      </w:r>
      <w:r>
        <w:rPr>
          <w:sz w:val="18"/>
          <w:szCs w:val="18"/>
        </w:rPr>
        <w:t xml:space="preserve"> ; P : Probably ; PN : Probably not</w:t>
      </w:r>
    </w:p>
    <w:p w14:paraId="550C0DC6" w14:textId="77777777" w:rsidR="00A20802" w:rsidRDefault="00A20802" w:rsidP="00A20802"/>
    <w:p w14:paraId="7B65BC41" w14:textId="5A9079D4" w:rsidR="00DE23E8" w:rsidRPr="001549D3" w:rsidRDefault="00DE23E8" w:rsidP="00A20802">
      <w:pPr>
        <w:pStyle w:val="Titre2"/>
        <w:numPr>
          <w:ilvl w:val="0"/>
          <w:numId w:val="0"/>
        </w:numPr>
        <w:ind w:left="567" w:hanging="567"/>
      </w:pPr>
    </w:p>
    <w:sectPr w:rsidR="00DE23E8" w:rsidRPr="001549D3" w:rsidSect="00A20802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0286" w14:textId="77777777" w:rsidR="00814378" w:rsidRDefault="00814378" w:rsidP="00117666">
      <w:pPr>
        <w:spacing w:after="0"/>
      </w:pPr>
      <w:r>
        <w:separator/>
      </w:r>
    </w:p>
  </w:endnote>
  <w:endnote w:type="continuationSeparator" w:id="0">
    <w:p w14:paraId="187C17C5" w14:textId="77777777" w:rsidR="00814378" w:rsidRDefault="008143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C3D66B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C761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C3D66B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C7612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D2C1C5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C761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D2C1C5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C7612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16E1" w14:textId="77777777" w:rsidR="00814378" w:rsidRDefault="00814378" w:rsidP="00117666">
      <w:pPr>
        <w:spacing w:after="0"/>
      </w:pPr>
      <w:r>
        <w:separator/>
      </w:r>
    </w:p>
  </w:footnote>
  <w:footnote w:type="continuationSeparator" w:id="0">
    <w:p w14:paraId="4364DFB4" w14:textId="77777777" w:rsidR="00814378" w:rsidRDefault="008143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7612"/>
    <w:rsid w:val="00701727"/>
    <w:rsid w:val="0070566C"/>
    <w:rsid w:val="00714C50"/>
    <w:rsid w:val="00725A7D"/>
    <w:rsid w:val="007501BE"/>
    <w:rsid w:val="00790BB3"/>
    <w:rsid w:val="007C206C"/>
    <w:rsid w:val="00814378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20802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70C6E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5122C4-7ECF-45CB-BAD7-DE2A526F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104</TotalTime>
  <Pages>5</Pages>
  <Words>875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Caspar, Yvan</cp:lastModifiedBy>
  <cp:revision>3</cp:revision>
  <cp:lastPrinted>2013-10-03T12:51:00Z</cp:lastPrinted>
  <dcterms:created xsi:type="dcterms:W3CDTF">2020-08-12T10:23:00Z</dcterms:created>
  <dcterms:modified xsi:type="dcterms:W3CDTF">2020-08-12T17:12:00Z</dcterms:modified>
</cp:coreProperties>
</file>