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Supplementary 1</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1.Protein Extraction and Peptide Segment Enzymolysis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Heart tissue was taken and added with appropriate amount of SDT lysate, transferred to a 2 ml centrifuge tube pre-loaded with appropriate amount of quartz sand and a 1/4 Inch Ceramic bead, and homogenized by MP homogenizer (24 x 2, 6.0 M/S, 60 s, twice), followed by ultrasound (80 W, 10 s work, 15 s intermittent, 10 cycles).Boiling water bath for 15 min.Subsequently, centrifugation was performed to remove remaining debris at 12,000 g (4 °C) for 40 min and filtered with 0.22µm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filter membrane to collect the filtrate. The protein concentration in the supernatant was determined with BCA kit (Beyotime, China)</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2、</w:t>
      </w:r>
      <w:r>
        <w:rPr>
          <w:rFonts w:hint="default" w:ascii="Times New Roman" w:hAnsi="Times New Roman" w:cs="Times New Roman"/>
          <w:b/>
          <w:bCs/>
          <w:sz w:val="24"/>
          <w:szCs w:val="24"/>
          <w:lang w:val="en-US" w:eastAsia="zh-CN"/>
        </w:rPr>
        <w:t>SDS-PAGE Separation</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20 µg of proteins for each sample were mixed with 5X loading buffer respectively and boiled for 5 min. The proteins were separated on 12.5% SDS-PAGE gel (constant current 14 mA, 90 min). Protein bands were visualized by Coomassie Blue R-250 staining.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r>
        <w:rPr>
          <w:rFonts w:ascii="Times New Roman" w:hAnsi="Times New Roman"/>
        </w:rPr>
        <w:drawing>
          <wp:anchor distT="0" distB="0" distL="0" distR="0" simplePos="0" relativeHeight="251658240" behindDoc="0" locked="0" layoutInCell="1" allowOverlap="1">
            <wp:simplePos x="0" y="0"/>
            <wp:positionH relativeFrom="column">
              <wp:posOffset>355600</wp:posOffset>
            </wp:positionH>
            <wp:positionV relativeFrom="paragraph">
              <wp:posOffset>27305</wp:posOffset>
            </wp:positionV>
            <wp:extent cx="4383405" cy="3790950"/>
            <wp:effectExtent l="0" t="0" r="1714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tretch>
                      <a:fillRect/>
                    </a:stretch>
                  </pic:blipFill>
                  <pic:spPr>
                    <a:xfrm>
                      <a:off x="0" y="0"/>
                      <a:ext cx="4383405" cy="37909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3、</w:t>
      </w:r>
      <w:r>
        <w:rPr>
          <w:rFonts w:hint="default" w:ascii="Times New Roman" w:hAnsi="Times New Roman" w:cs="Times New Roman"/>
          <w:b/>
          <w:bCs/>
          <w:sz w:val="24"/>
          <w:szCs w:val="24"/>
          <w:lang w:val="en-US" w:eastAsia="zh-CN"/>
        </w:rPr>
        <w:t>FASP enzymatic hydrolysis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200 μg of proteins for each sample were incorporated into 30 μl SDT buffer (4% SDS,100 mM DTT, 150 mM Tris-HCl pH 8.0). The detergent, DTT and other low-molecular-weight components were removed using UA buffer (8 M Urea, 150 mM Tris-HCl pH 8.0) by repeated ultrafiltration(Microcon units, 10 kD). Then 100 μl iodoacetamide (100 mM IAA in UA buffer) was added to block reduced cysteine residues and the samples were incubated for 30 min in darkness. The filters were washed with100 μl UA buffer three times and then 100 μl 100 mM TEAB buffer twice. Finally, the protein suspensions were digested with 4 μg trypsin (Promega) in 40 μl TEAB buffer overnight at 37 °C, and the resulting peptides were collected as a filtrate. The peptide content was estimated by UV light spectral density at 280 nm using an extinctions coefficient of 1.1 of 0.1% (g/l) solution that was calculated on the basis of the frequency of tryptophan and tyrosine in vertebrate proteins.</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4、TMT Labeling</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100 </w:t>
      </w:r>
      <w:r>
        <w:rPr>
          <w:rFonts w:hint="default" w:ascii="Times New Roman" w:hAnsi="Times New Roman" w:cs="Times New Roman"/>
          <w:sz w:val="24"/>
          <w:szCs w:val="24"/>
          <w:lang w:val="en-US" w:eastAsia="zh-CN"/>
        </w:rPr>
        <w:t>μ</w:t>
      </w:r>
      <w:r>
        <w:rPr>
          <w:rFonts w:hint="eastAsia" w:ascii="Times New Roman" w:hAnsi="Times New Roman" w:cs="Times New Roman"/>
          <w:sz w:val="24"/>
          <w:szCs w:val="24"/>
          <w:lang w:val="en-US" w:eastAsia="zh-CN"/>
        </w:rPr>
        <w:t>g peptide mixture of each sample was labeled using TMT reagent [7] according to the manufacturer’s instructions (Thermo Fisher Scientific).</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5、Peptide Fractionation with High pH reversed-phase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The labeled peptides in each group were mixed in the same amount and graded by HighpHReversed-PhasePeptideFractionationKit. Firstly, acetonitrile and 0.1% trifluoroacetic acid (TFA) were used for column equilibrium, and then the mixed labeled peptide samples were added to pure water and desalted at low speed by centrifugation. Finally, the column-bound peptides were gradient eluted with high pH acetonitrile solution with increased concentration in turn. After vacuum drying of each eluted peptide sample, the freeze-dried sample was redissolved with 12 μL 0.1% FA, and the peptide concentration was determined by OD280.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6、Data Analysis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MS/MS spectra were searched using MASCOT engine (Matrix Science, London, UK;</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version 2.2) embedded into Proteome Discoverer 1.4.</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The following parameters were set. </w:t>
      </w:r>
    </w:p>
    <w:tbl>
      <w:tblPr>
        <w:tblStyle w:val="2"/>
        <w:tblpPr w:leftFromText="180" w:rightFromText="180" w:vertAnchor="text" w:horzAnchor="page" w:tblpX="1927" w:tblpY="313"/>
        <w:tblOverlap w:val="never"/>
        <w:tblW w:w="8399"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15"/>
        <w:gridCol w:w="4784"/>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3615" w:type="dxa"/>
            <w:tcBorders>
              <w:tl2br w:val="nil"/>
              <w:tr2bl w:val="nil"/>
            </w:tcBorders>
            <w:shd w:val="clear" w:color="auto" w:fill="auto"/>
          </w:tcPr>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Item</w:t>
            </w:r>
          </w:p>
        </w:tc>
        <w:tc>
          <w:tcPr>
            <w:tcW w:w="4784" w:type="dxa"/>
            <w:tcBorders>
              <w:tl2br w:val="nil"/>
              <w:tr2bl w:val="nil"/>
            </w:tcBorders>
            <w:shd w:val="clear" w:color="auto" w:fill="auto"/>
          </w:tcPr>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Value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3615" w:type="dxa"/>
            <w:tcBorders>
              <w:tl2br w:val="nil"/>
              <w:tr2bl w:val="nil"/>
            </w:tcBorders>
          </w:tcPr>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Enzyme</w:t>
            </w:r>
          </w:p>
        </w:tc>
        <w:tc>
          <w:tcPr>
            <w:tcW w:w="4784" w:type="dxa"/>
            <w:tcBorders>
              <w:tl2br w:val="nil"/>
              <w:tr2bl w:val="nil"/>
            </w:tcBorders>
          </w:tcPr>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Trypsin</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707" w:hRule="atLeast"/>
        </w:trPr>
        <w:tc>
          <w:tcPr>
            <w:tcW w:w="3615" w:type="dxa"/>
            <w:tcBorders>
              <w:tl2br w:val="nil"/>
              <w:tr2bl w:val="nil"/>
            </w:tcBorders>
          </w:tcPr>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Max Missed Cleavages</w:t>
            </w:r>
          </w:p>
          <w:p>
            <w:pPr>
              <w:numPr>
                <w:ilvl w:val="0"/>
                <w:numId w:val="0"/>
              </w:numPr>
              <w:ind w:leftChars="0"/>
              <w:jc w:val="both"/>
              <w:rPr>
                <w:rFonts w:hint="default" w:ascii="Times New Roman" w:hAnsi="Times New Roman" w:cs="Times New Roman"/>
                <w:sz w:val="24"/>
                <w:szCs w:val="24"/>
                <w:lang w:val="en-US" w:eastAsia="zh-CN"/>
              </w:rPr>
            </w:pPr>
          </w:p>
        </w:tc>
        <w:tc>
          <w:tcPr>
            <w:tcW w:w="4784" w:type="dxa"/>
            <w:tcBorders>
              <w:tl2br w:val="nil"/>
              <w:tr2bl w:val="nil"/>
            </w:tcBorders>
          </w:tcPr>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3615" w:type="dxa"/>
            <w:tcBorders>
              <w:tl2br w:val="nil"/>
              <w:tr2bl w:val="nil"/>
            </w:tcBorders>
          </w:tcPr>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Fixed modifications</w:t>
            </w:r>
          </w:p>
        </w:tc>
        <w:tc>
          <w:tcPr>
            <w:tcW w:w="4784" w:type="dxa"/>
            <w:tcBorders>
              <w:tl2br w:val="nil"/>
              <w:tr2bl w:val="nil"/>
            </w:tcBorders>
          </w:tcPr>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Carbamidomethyl (C),</w:t>
            </w:r>
          </w:p>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TMT 6/10plex (N-term),TMT6/10 plex (K)</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615" w:type="dxa"/>
            <w:tcBorders>
              <w:tl2br w:val="nil"/>
              <w:tr2bl w:val="nil"/>
            </w:tcBorders>
          </w:tcPr>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Variable modifications</w:t>
            </w:r>
          </w:p>
        </w:tc>
        <w:tc>
          <w:tcPr>
            <w:tcW w:w="4784" w:type="dxa"/>
            <w:tcBorders>
              <w:tl2br w:val="nil"/>
              <w:tr2bl w:val="nil"/>
            </w:tcBorders>
          </w:tcPr>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Oxidation (M) , TMT 6/10plex (Y)</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trPr>
        <w:tc>
          <w:tcPr>
            <w:tcW w:w="3615" w:type="dxa"/>
            <w:tcBorders>
              <w:tl2br w:val="nil"/>
              <w:tr2bl w:val="nil"/>
            </w:tcBorders>
          </w:tcPr>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Peptide Mass Tolerance</w:t>
            </w:r>
          </w:p>
          <w:p>
            <w:pPr>
              <w:numPr>
                <w:ilvl w:val="0"/>
                <w:numId w:val="0"/>
              </w:numPr>
              <w:ind w:leftChars="0"/>
              <w:jc w:val="both"/>
              <w:rPr>
                <w:rFonts w:hint="default" w:ascii="Times New Roman" w:hAnsi="Times New Roman" w:cs="Times New Roman"/>
                <w:sz w:val="24"/>
                <w:szCs w:val="24"/>
                <w:lang w:val="en-US" w:eastAsia="zh-CN"/>
              </w:rPr>
            </w:pPr>
          </w:p>
        </w:tc>
        <w:tc>
          <w:tcPr>
            <w:tcW w:w="4784" w:type="dxa"/>
            <w:tcBorders>
              <w:tl2br w:val="nil"/>
              <w:tr2bl w:val="nil"/>
            </w:tcBorders>
          </w:tcPr>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20 ppm</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3615" w:type="dxa"/>
            <w:tcBorders>
              <w:tl2br w:val="nil"/>
              <w:tr2bl w:val="nil"/>
            </w:tcBorders>
          </w:tcPr>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Fragment Mass Tolerance</w:t>
            </w:r>
          </w:p>
          <w:p>
            <w:pPr>
              <w:numPr>
                <w:ilvl w:val="0"/>
                <w:numId w:val="0"/>
              </w:numPr>
              <w:ind w:leftChars="0"/>
              <w:jc w:val="both"/>
              <w:rPr>
                <w:rFonts w:hint="default" w:ascii="Times New Roman" w:hAnsi="Times New Roman" w:cs="Times New Roman"/>
                <w:sz w:val="24"/>
                <w:szCs w:val="24"/>
                <w:lang w:val="en-US" w:eastAsia="zh-CN"/>
              </w:rPr>
            </w:pPr>
          </w:p>
        </w:tc>
        <w:tc>
          <w:tcPr>
            <w:tcW w:w="4784" w:type="dxa"/>
            <w:tcBorders>
              <w:tl2br w:val="nil"/>
              <w:tr2bl w:val="nil"/>
            </w:tcBorders>
          </w:tcPr>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0.1Da</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1667" w:hRule="atLeast"/>
        </w:trPr>
        <w:tc>
          <w:tcPr>
            <w:tcW w:w="3615" w:type="dxa"/>
            <w:tcBorders>
              <w:tl2br w:val="nil"/>
              <w:tr2bl w:val="nil"/>
            </w:tcBorders>
          </w:tcPr>
          <w:p>
            <w:pPr>
              <w:numPr>
                <w:ilvl w:val="0"/>
                <w:numId w:val="0"/>
              </w:numPr>
              <w:ind w:leftChars="0"/>
              <w:jc w:val="both"/>
              <w:rPr>
                <w:rFonts w:hint="default" w:ascii="Times New Roman" w:hAnsi="Times New Roman" w:cs="Times New Roman"/>
                <w:sz w:val="24"/>
                <w:szCs w:val="24"/>
                <w:lang w:val="en-US" w:eastAsia="zh-CN"/>
              </w:rPr>
            </w:pPr>
          </w:p>
          <w:p>
            <w:pPr>
              <w:numPr>
                <w:ilvl w:val="0"/>
                <w:numId w:val="0"/>
              </w:numPr>
              <w:ind w:leftChars="0"/>
              <w:jc w:val="both"/>
              <w:rPr>
                <w:rFonts w:hint="default" w:ascii="Times New Roman" w:hAnsi="Times New Roman" w:cs="Times New Roman"/>
                <w:sz w:val="24"/>
                <w:szCs w:val="24"/>
                <w:lang w:val="en-US" w:eastAsia="zh-CN"/>
              </w:rPr>
            </w:pPr>
          </w:p>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Database</w:t>
            </w:r>
          </w:p>
        </w:tc>
        <w:tc>
          <w:tcPr>
            <w:tcW w:w="4784" w:type="dxa"/>
            <w:tcBorders>
              <w:tl2br w:val="nil"/>
              <w:tr2bl w:val="nil"/>
            </w:tcBorders>
          </w:tcPr>
          <w:p>
            <w:pPr>
              <w:numPr>
                <w:ilvl w:val="0"/>
                <w:numId w:val="0"/>
              </w:numPr>
              <w:ind w:leftChars="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Uniport </w:t>
            </w:r>
            <w:r>
              <w:rPr>
                <w:rFonts w:hint="default" w:ascii="Times New Roman" w:hAnsi="Times New Roman" w:cs="Times New Roman"/>
                <w:sz w:val="24"/>
                <w:szCs w:val="24"/>
                <w:lang w:val="en-US" w:eastAsia="zh-CN"/>
              </w:rPr>
              <w:t>Database</w:t>
            </w:r>
            <w:r>
              <w:rPr>
                <w:rFonts w:hint="eastAsia" w:ascii="Times New Roman" w:hAnsi="Times New Roman" w:cs="Times New Roman"/>
                <w:sz w:val="24"/>
                <w:szCs w:val="24"/>
                <w:lang w:val="en-US" w:eastAsia="zh-CN"/>
              </w:rPr>
              <w:t xml:space="preserve">, non-redundant </w:t>
            </w:r>
            <w:r>
              <w:rPr>
                <w:rFonts w:hint="default" w:ascii="Times New Roman" w:hAnsi="Times New Roman" w:cs="Times New Roman"/>
                <w:sz w:val="24"/>
                <w:szCs w:val="24"/>
                <w:lang w:val="en-US" w:eastAsia="zh-CN"/>
              </w:rPr>
              <w:t>Database</w:t>
            </w:r>
            <w:r>
              <w:rPr>
                <w:rFonts w:hint="eastAsia" w:ascii="Times New Roman" w:hAnsi="Times New Roman" w:cs="Times New Roman"/>
                <w:sz w:val="24"/>
                <w:szCs w:val="24"/>
                <w:lang w:val="en-US" w:eastAsia="zh-CN"/>
              </w:rPr>
              <w:t xml:space="preserve">, Gene Ontology </w:t>
            </w:r>
            <w:r>
              <w:rPr>
                <w:rFonts w:hint="default" w:ascii="Times New Roman" w:hAnsi="Times New Roman" w:cs="Times New Roman"/>
                <w:sz w:val="24"/>
                <w:szCs w:val="24"/>
                <w:lang w:val="en-US" w:eastAsia="zh-CN"/>
              </w:rPr>
              <w:t>Database</w:t>
            </w:r>
            <w:r>
              <w:rPr>
                <w:rFonts w:hint="eastAsia" w:ascii="Times New Roman" w:hAnsi="Times New Roman" w:cs="Times New Roman"/>
                <w:sz w:val="24"/>
                <w:szCs w:val="24"/>
                <w:lang w:val="en-US" w:eastAsia="zh-CN"/>
              </w:rPr>
              <w:t xml:space="preserve"> ,KEGG </w:t>
            </w:r>
            <w:r>
              <w:rPr>
                <w:rFonts w:hint="default" w:ascii="Times New Roman" w:hAnsi="Times New Roman" w:cs="Times New Roman"/>
                <w:sz w:val="24"/>
                <w:szCs w:val="24"/>
                <w:lang w:val="en-US" w:eastAsia="zh-CN"/>
              </w:rPr>
              <w:t>Database</w:t>
            </w:r>
            <w:r>
              <w:rPr>
                <w:rFonts w:hint="eastAsia" w:ascii="Times New Roman" w:hAnsi="Times New Roman" w:cs="Times New Roman"/>
                <w:sz w:val="24"/>
                <w:szCs w:val="24"/>
                <w:lang w:val="en-US" w:eastAsia="zh-CN"/>
              </w:rPr>
              <w:t xml:space="preserve"> ,STRING </w:t>
            </w:r>
            <w:r>
              <w:rPr>
                <w:rFonts w:hint="default" w:ascii="Times New Roman" w:hAnsi="Times New Roman" w:cs="Times New Roman"/>
                <w:sz w:val="24"/>
                <w:szCs w:val="24"/>
                <w:lang w:val="en-US" w:eastAsia="zh-CN"/>
              </w:rPr>
              <w:t>Database</w:t>
            </w:r>
            <w:r>
              <w:rPr>
                <w:rFonts w:hint="eastAsia" w:ascii="Times New Roman" w:hAnsi="Times New Roman" w:cs="Times New Roman"/>
                <w:sz w:val="24"/>
                <w:szCs w:val="24"/>
                <w:lang w:val="en-US" w:eastAsia="zh-CN"/>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trPr>
        <w:tc>
          <w:tcPr>
            <w:tcW w:w="3615" w:type="dxa"/>
            <w:tcBorders>
              <w:tl2br w:val="nil"/>
              <w:tr2bl w:val="nil"/>
            </w:tcBorders>
          </w:tcPr>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Database pattern</w:t>
            </w:r>
          </w:p>
        </w:tc>
        <w:tc>
          <w:tcPr>
            <w:tcW w:w="4784" w:type="dxa"/>
            <w:tcBorders>
              <w:tl2br w:val="nil"/>
              <w:tr2bl w:val="nil"/>
            </w:tcBorders>
          </w:tcPr>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Decoy</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trPr>
        <w:tc>
          <w:tcPr>
            <w:tcW w:w="3615" w:type="dxa"/>
            <w:tcBorders>
              <w:tl2br w:val="nil"/>
              <w:tr2bl w:val="nil"/>
            </w:tcBorders>
          </w:tcPr>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Protein Quantification </w:t>
            </w:r>
          </w:p>
          <w:p>
            <w:pPr>
              <w:numPr>
                <w:ilvl w:val="0"/>
                <w:numId w:val="0"/>
              </w:numPr>
              <w:ind w:leftChars="0"/>
              <w:jc w:val="both"/>
              <w:rPr>
                <w:rFonts w:hint="default" w:ascii="Times New Roman" w:hAnsi="Times New Roman" w:cs="Times New Roman"/>
                <w:sz w:val="24"/>
                <w:szCs w:val="24"/>
                <w:lang w:val="en-US" w:eastAsia="zh-CN"/>
              </w:rPr>
            </w:pPr>
          </w:p>
        </w:tc>
        <w:tc>
          <w:tcPr>
            <w:tcW w:w="4784" w:type="dxa"/>
            <w:tcBorders>
              <w:tl2br w:val="nil"/>
              <w:tr2bl w:val="nil"/>
            </w:tcBorders>
          </w:tcPr>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The protein ratios are calculated as the median of only unique peptides of the protein </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trPr>
        <w:tc>
          <w:tcPr>
            <w:tcW w:w="3615" w:type="dxa"/>
            <w:tcBorders>
              <w:tl2br w:val="nil"/>
              <w:tr2bl w:val="nil"/>
            </w:tcBorders>
          </w:tcPr>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Experimental Bias</w:t>
            </w:r>
          </w:p>
          <w:p>
            <w:pPr>
              <w:numPr>
                <w:ilvl w:val="0"/>
                <w:numId w:val="0"/>
              </w:numPr>
              <w:ind w:leftChars="0"/>
              <w:jc w:val="both"/>
              <w:rPr>
                <w:rFonts w:hint="default" w:ascii="Times New Roman" w:hAnsi="Times New Roman" w:cs="Times New Roman"/>
                <w:sz w:val="24"/>
                <w:szCs w:val="24"/>
                <w:lang w:val="en-US" w:eastAsia="zh-CN"/>
              </w:rPr>
            </w:pPr>
          </w:p>
        </w:tc>
        <w:tc>
          <w:tcPr>
            <w:tcW w:w="4784" w:type="dxa"/>
            <w:tcBorders>
              <w:tl2br w:val="nil"/>
              <w:tr2bl w:val="nil"/>
            </w:tcBorders>
          </w:tcPr>
          <w:p>
            <w:pPr>
              <w:numPr>
                <w:ilvl w:val="0"/>
                <w:numId w:val="0"/>
              </w:numPr>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Normalizes all peptide ratios by the median protein ratio. The median protein ratio should be 1 after the normalization.</w:t>
            </w:r>
          </w:p>
        </w:tc>
      </w:tr>
    </w:tbl>
    <w:p>
      <w:pPr>
        <w:jc w:val="both"/>
        <w:rPr>
          <w:rFonts w:hint="default" w:ascii="Times New Roman" w:hAnsi="Times New Roman" w:cs="Times New Roman"/>
          <w:sz w:val="24"/>
          <w:szCs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33631"/>
    <w:rsid w:val="0287245D"/>
    <w:rsid w:val="0E2533A8"/>
    <w:rsid w:val="1E2731D3"/>
    <w:rsid w:val="2C733631"/>
    <w:rsid w:val="63F12710"/>
    <w:rsid w:val="6A025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2020-04-25T06:26:00Z</dcterms:created>
  <dc:creator>一定过六级</dc:creator>
  <cp:lastModifiedBy>一定过六级</cp:lastModifiedBy>
  <dcterms:modified xsi:type="dcterms:W3CDTF">2020-07-18T09:07:07Z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