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  <w:highlight w:val="none"/>
        </w:rPr>
      </w:pPr>
      <w:r>
        <w:rPr>
          <w:highlight w:val="none"/>
        </w:rPr>
        <w:t>Supplementary Material</w:t>
      </w:r>
    </w:p>
    <w:p>
      <w:pPr>
        <w:pStyle w:val="2"/>
        <w:rPr>
          <w:highlight w:val="none"/>
        </w:rPr>
      </w:pPr>
      <w:r>
        <w:rPr>
          <w:highlight w:val="none"/>
        </w:rPr>
        <w:t>Supplementary Table</w:t>
      </w:r>
    </w:p>
    <w:p>
      <w:pPr>
        <w:rPr>
          <w:rFonts w:cs="Times New Roman"/>
          <w:szCs w:val="24"/>
          <w:highlight w:val="none"/>
        </w:rPr>
      </w:pPr>
    </w:p>
    <w:p>
      <w:pPr>
        <w:rPr>
          <w:rFonts w:cs="Times New Roman"/>
          <w:szCs w:val="24"/>
          <w:highlight w:val="none"/>
        </w:rPr>
      </w:pPr>
      <w:r>
        <w:rPr>
          <w:rFonts w:hint="eastAsia" w:cs="Times New Roman"/>
          <w:szCs w:val="24"/>
          <w:highlight w:val="none"/>
        </w:rPr>
        <w:t>Supplementar</w:t>
      </w:r>
      <w:bookmarkStart w:id="0" w:name="_GoBack"/>
      <w:bookmarkEnd w:id="0"/>
      <w:r>
        <w:rPr>
          <w:rFonts w:hint="eastAsia" w:cs="Times New Roman"/>
          <w:szCs w:val="24"/>
          <w:highlight w:val="none"/>
        </w:rPr>
        <w:t xml:space="preserve">y </w:t>
      </w:r>
      <w:r>
        <w:rPr>
          <w:rFonts w:cs="Times New Roman"/>
          <w:szCs w:val="24"/>
          <w:highlight w:val="none"/>
        </w:rPr>
        <w:t xml:space="preserve">Table 1. </w:t>
      </w:r>
      <w:r>
        <w:rPr>
          <w:rFonts w:cs="Times New Roman"/>
          <w:szCs w:val="24"/>
          <w:highlight w:val="none"/>
          <w:lang w:eastAsia="zh-CN"/>
        </w:rPr>
        <w:t>R</w:t>
      </w:r>
      <w:r>
        <w:rPr>
          <w:rFonts w:cs="Times New Roman"/>
          <w:szCs w:val="24"/>
          <w:highlight w:val="none"/>
        </w:rPr>
        <w:t>elationship between baseline data and cerebral infarction prognosis.</w:t>
      </w:r>
    </w:p>
    <w:p>
      <w:pPr>
        <w:rPr>
          <w:rFonts w:cs="Times New Roman"/>
          <w:szCs w:val="24"/>
          <w:highlight w:val="none"/>
        </w:rPr>
      </w:pPr>
    </w:p>
    <w:tbl>
      <w:tblPr>
        <w:tblStyle w:val="20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685"/>
        <w:gridCol w:w="1164"/>
        <w:gridCol w:w="1605"/>
        <w:gridCol w:w="1620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82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Factor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3m mRS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8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cs="Times New Roman"/>
                <w:szCs w:val="24"/>
                <w:highlight w:val="none"/>
                <w:lang w:eastAsia="zh-CN"/>
              </w:rPr>
              <w:t>Favorable outcome(</w:t>
            </w:r>
            <w:r>
              <w:rPr>
                <w:rFonts w:cs="Times New Roman"/>
                <w:szCs w:val="24"/>
                <w:highlight w:val="none"/>
              </w:rPr>
              <w:t>0-2</w:t>
            </w:r>
            <w:r>
              <w:rPr>
                <w:rFonts w:cs="Times New Roman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cs="Times New Roman"/>
                <w:szCs w:val="24"/>
                <w:highlight w:val="none"/>
                <w:lang w:eastAsia="zh-CN"/>
              </w:rPr>
              <w:t>Unfavorable outcome(</w:t>
            </w:r>
            <w:r>
              <w:rPr>
                <w:rFonts w:cs="Times New Roman"/>
                <w:szCs w:val="24"/>
                <w:highlight w:val="none"/>
              </w:rPr>
              <w:t>3-6</w:t>
            </w:r>
            <w:r>
              <w:rPr>
                <w:rFonts w:cs="Times New Roman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82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cs="Times New Roman"/>
                <w:szCs w:val="24"/>
                <w:highlight w:val="none"/>
              </w:rPr>
              <w:t>n=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cs="Times New Roman"/>
                <w:szCs w:val="24"/>
                <w:highlight w:val="none"/>
              </w:rPr>
              <w:t>n=1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64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Age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year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59.49±11.86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61.59±11.76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Male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</w:t>
            </w:r>
            <w:r>
              <w:rPr>
                <w:rFonts w:eastAsia="宋体" w:cs="Times New Roman"/>
                <w:szCs w:val="24"/>
                <w:highlight w:val="none"/>
                <w:lang w:eastAsia="zh-CN"/>
              </w:rPr>
              <w:t>11</w:t>
            </w:r>
            <w:r>
              <w:rPr>
                <w:rFonts w:cs="Times New Roman"/>
                <w:szCs w:val="24"/>
                <w:highlight w:val="none"/>
              </w:rPr>
              <w:t>(71.8)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2</w:t>
            </w:r>
            <w:r>
              <w:rPr>
                <w:rFonts w:eastAsia="宋体" w:cs="Times New Roman"/>
                <w:szCs w:val="24"/>
                <w:highlight w:val="none"/>
                <w:lang w:eastAsia="zh-CN"/>
              </w:rPr>
              <w:t>1</w:t>
            </w:r>
            <w:r>
              <w:rPr>
                <w:rFonts w:cs="Times New Roman"/>
                <w:szCs w:val="24"/>
                <w:highlight w:val="none"/>
              </w:rPr>
              <w:t>(73.8)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Personal history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Smoking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8</w:t>
            </w:r>
            <w:r>
              <w:rPr>
                <w:rFonts w:cs="Times New Roman"/>
                <w:szCs w:val="24"/>
                <w:highlight w:val="none"/>
              </w:rPr>
              <w:t>5(62.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9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97</w:t>
            </w:r>
            <w:r>
              <w:rPr>
                <w:rFonts w:cs="Times New Roman"/>
                <w:szCs w:val="24"/>
                <w:highlight w:val="none"/>
              </w:rPr>
              <w:t>(59.1)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Drinking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39</w:t>
            </w:r>
            <w:r>
              <w:rPr>
                <w:rFonts w:cs="Times New Roman"/>
                <w:szCs w:val="24"/>
                <w:highlight w:val="none"/>
              </w:rPr>
              <w:t>(4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7.3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7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9</w:t>
            </w:r>
            <w:r>
              <w:rPr>
                <w:rFonts w:cs="Times New Roman"/>
                <w:szCs w:val="24"/>
                <w:highlight w:val="none"/>
              </w:rPr>
              <w:t>(4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8.2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  <w:lang w:eastAsia="zh-CN"/>
              </w:rPr>
              <w:t xml:space="preserve">Medical </w:t>
            </w:r>
            <w:r>
              <w:rPr>
                <w:rFonts w:cs="Times New Roman"/>
                <w:szCs w:val="24"/>
                <w:highlight w:val="none"/>
              </w:rPr>
              <w:t>History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Coronary artery disease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3</w:t>
            </w:r>
            <w:r>
              <w:rPr>
                <w:rFonts w:cs="Times New Roman"/>
                <w:szCs w:val="24"/>
                <w:highlight w:val="none"/>
              </w:rPr>
              <w:t>(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7.8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19(1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1.6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0.181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A</w:t>
            </w:r>
            <w:r>
              <w:rPr>
                <w:rFonts w:cs="Times New Roman"/>
                <w:szCs w:val="24"/>
                <w:highlight w:val="none"/>
              </w:rPr>
              <w:t>trial fibrillation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7</w:t>
            </w:r>
            <w:r>
              <w:rPr>
                <w:rFonts w:cs="Times New Roman"/>
                <w:szCs w:val="24"/>
                <w:highlight w:val="none"/>
              </w:rPr>
              <w:t>(9.2)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19</w:t>
            </w:r>
            <w:r>
              <w:rPr>
                <w:rFonts w:cs="Times New Roman"/>
                <w:szCs w:val="24"/>
                <w:highlight w:val="none"/>
              </w:rPr>
              <w:t>(11.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6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Cerebral infarction / TIA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33</w:t>
            </w:r>
            <w:r>
              <w:rPr>
                <w:rFonts w:cs="Times New Roman"/>
                <w:szCs w:val="24"/>
                <w:highlight w:val="none"/>
              </w:rPr>
              <w:t>(1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1.2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26</w:t>
            </w:r>
            <w:r>
              <w:rPr>
                <w:rFonts w:cs="Times New Roman"/>
                <w:szCs w:val="24"/>
                <w:highlight w:val="none"/>
              </w:rPr>
              <w:t>(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15.9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Hypertension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118</w:t>
            </w:r>
            <w:r>
              <w:rPr>
                <w:rFonts w:cs="Times New Roman"/>
                <w:szCs w:val="24"/>
                <w:highlight w:val="none"/>
              </w:rPr>
              <w:t>(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40.0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88</w:t>
            </w:r>
            <w:r>
              <w:rPr>
                <w:rFonts w:cs="Times New Roman"/>
                <w:szCs w:val="24"/>
                <w:highlight w:val="none"/>
              </w:rPr>
              <w:t>(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54.0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cs="Times New Roman"/>
                <w:szCs w:val="24"/>
                <w:highlight w:val="none"/>
              </w:rPr>
              <w:t>0.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005*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Diabetes mellitus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41</w:t>
            </w:r>
            <w:r>
              <w:rPr>
                <w:rFonts w:cs="Times New Roman"/>
                <w:szCs w:val="24"/>
                <w:highlight w:val="none"/>
              </w:rPr>
              <w:t>(1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3.9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21</w:t>
            </w:r>
            <w:r>
              <w:rPr>
                <w:rFonts w:cs="Times New Roman"/>
                <w:szCs w:val="24"/>
                <w:highlight w:val="none"/>
              </w:rPr>
              <w:t>(1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2.8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Baseline </w:t>
            </w:r>
            <w:r>
              <w:rPr>
                <w:rFonts w:cs="Times New Roman"/>
                <w:szCs w:val="24"/>
                <w:highlight w:val="none"/>
                <w:lang w:eastAsia="zh-CN"/>
              </w:rPr>
              <w:t>BP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150.78±19.44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153.91±22.27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0.118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shd w:val="clear" w:color="auto" w:fill="auto"/>
              </w:rPr>
              <w:t>Baseline NIHSS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score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8.25±5.57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13.51±7.42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&lt;0.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shd w:val="clear" w:color="auto" w:fill="auto"/>
              </w:rPr>
              <w:t>Baseline ASPECT score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8.65±1.82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8.13±2.00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0.005*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Lab tests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eastAsia="宋体" w:cs="Times New Roman"/>
                <w:szCs w:val="24"/>
                <w:highlight w:val="none"/>
                <w:lang w:eastAsia="zh-CN"/>
              </w:rPr>
            </w:pPr>
            <w:r>
              <w:rPr>
                <w:rFonts w:cs="Times New Roman"/>
                <w:szCs w:val="24"/>
                <w:highlight w:val="none"/>
                <w:lang w:eastAsia="zh-CN"/>
              </w:rPr>
              <w:t>B</w:t>
            </w:r>
            <w:r>
              <w:rPr>
                <w:rFonts w:cs="Times New Roman"/>
                <w:szCs w:val="24"/>
                <w:highlight w:val="none"/>
              </w:rPr>
              <w:t xml:space="preserve">lood </w:t>
            </w:r>
            <w:r>
              <w:rPr>
                <w:rFonts w:cs="Times New Roman"/>
                <w:szCs w:val="24"/>
                <w:highlight w:val="none"/>
                <w:lang w:eastAsia="zh-CN"/>
              </w:rPr>
              <w:t>glucose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6.47±2.45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6.82±2.53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RBC count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10^12/L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4.80±0.50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4.75±0.64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PLT count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10^9/L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206.25±54.09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201.44±58.42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Fibrinogen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g/L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3.08±0.63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3.04±0.65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Triglyceride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1.74±1.32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1.70±1.64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0.790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Total cholesterol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4.66±1.04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4.80±1.12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0.171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LDL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2.85±0.71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2.87±0.79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Cs w:val="24"/>
                <w:highlight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HDL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mmol/L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1.24±0.32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1.36±0.41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0.012*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ONT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182.54±56.14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187.04±62.78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 xml:space="preserve">0.432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DNT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min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63.46±24.59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67.34±32.60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0.185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BP decrease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2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cs="Times New Roman"/>
                <w:szCs w:val="24"/>
                <w:highlight w:val="none"/>
              </w:rPr>
              <w:t>(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69.4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9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cs="Times New Roman"/>
                <w:szCs w:val="24"/>
                <w:highlight w:val="none"/>
              </w:rPr>
              <w:t>(5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9.8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shd w:val="clear" w:color="auto" w:fill="auto"/>
              </w:rPr>
              <w:t xml:space="preserve">0.037*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Hemorrhage transformation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cs="Times New Roman"/>
                <w:szCs w:val="24"/>
                <w:highlight w:val="none"/>
              </w:rPr>
              <w:t>n(%)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47</w:t>
            </w:r>
            <w:r>
              <w:rPr>
                <w:rFonts w:cs="Times New Roman"/>
                <w:szCs w:val="24"/>
                <w:highlight w:val="none"/>
              </w:rPr>
              <w:t>(1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.0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Times New Roman"/>
                <w:szCs w:val="24"/>
                <w:highlight w:val="none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cs="Times New Roman"/>
                <w:szCs w:val="24"/>
                <w:highlight w:val="none"/>
              </w:rPr>
              <w:t>(2</w:t>
            </w: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3.9</w:t>
            </w:r>
            <w:r>
              <w:rPr>
                <w:rFonts w:cs="Times New Roman"/>
                <w:szCs w:val="24"/>
                <w:highlight w:val="none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Cs w:val="24"/>
                <w:highlight w:val="none"/>
                <w:lang w:val="en-US" w:eastAsia="zh-CN"/>
              </w:rPr>
              <w:t>0.041*</w:t>
            </w:r>
          </w:p>
        </w:tc>
      </w:tr>
    </w:tbl>
    <w:p>
      <w:pPr>
        <w:rPr>
          <w:rFonts w:eastAsia="宋体" w:cs="Times New Roman"/>
          <w:szCs w:val="24"/>
          <w:highlight w:val="none"/>
          <w:lang w:eastAsia="zh-CN"/>
        </w:rPr>
      </w:pPr>
      <w:r>
        <w:rPr>
          <w:rFonts w:cs="Times New Roman"/>
          <w:szCs w:val="24"/>
          <w:highlight w:val="none"/>
        </w:rPr>
        <w:t xml:space="preserve"> *denotes P＜0.05 for comparing between two groups.</w:t>
      </w:r>
      <w:r>
        <w:rPr>
          <w:rFonts w:cs="Times New Roman"/>
          <w:szCs w:val="24"/>
          <w:highlight w:val="none"/>
          <w:lang w:eastAsia="zh-CN"/>
        </w:rPr>
        <w:t xml:space="preserve"> </w:t>
      </w:r>
      <w:r>
        <w:rPr>
          <w:rFonts w:cs="Times New Roman"/>
          <w:szCs w:val="24"/>
          <w:highlight w:val="none"/>
        </w:rPr>
        <w:t xml:space="preserve">BP, blood pressure; NIHSS, National Institute of Health Stroke Scale; </w:t>
      </w:r>
      <w:r>
        <w:rPr>
          <w:rFonts w:cs="Times New Roman"/>
          <w:szCs w:val="24"/>
          <w:highlight w:val="none"/>
          <w:lang w:eastAsia="zh-CN"/>
        </w:rPr>
        <w:t xml:space="preserve">ASPECT, </w:t>
      </w:r>
      <w:r>
        <w:rPr>
          <w:rFonts w:cs="Times New Roman"/>
          <w:szCs w:val="24"/>
          <w:highlight w:val="none"/>
        </w:rPr>
        <w:t>Alberta Stroke Program Early CT Score</w:t>
      </w:r>
      <w:r>
        <w:rPr>
          <w:rFonts w:cs="Times New Roman"/>
          <w:szCs w:val="24"/>
          <w:highlight w:val="none"/>
          <w:lang w:eastAsia="zh-CN"/>
        </w:rPr>
        <w:t>; TIA, transient ischemic attacks; RBC, red blood count; PLT, platelets; LDL, low density lipoprotein; HDL, high density lipoprotein; ONT, onset to needle time; DNT, door to needle time.</w:t>
      </w:r>
    </w:p>
    <w:p>
      <w:pPr>
        <w:rPr>
          <w:rFonts w:cs="Times New Roman"/>
          <w:szCs w:val="24"/>
          <w:highlight w:val="none"/>
        </w:rPr>
      </w:pPr>
    </w:p>
    <w:p>
      <w:pPr>
        <w:rPr>
          <w:rFonts w:cs="Times New Roman"/>
          <w:szCs w:val="24"/>
          <w:highlight w:val="none"/>
        </w:rPr>
      </w:pPr>
    </w:p>
    <w:p>
      <w:pPr>
        <w:spacing w:before="240"/>
        <w:rPr>
          <w:rFonts w:cs="Times New Roman"/>
          <w:szCs w:val="24"/>
          <w:highlight w:val="none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46976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eastAsia="zh-CN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53D8D"/>
    <w:rsid w:val="00077D53"/>
    <w:rsid w:val="00101357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E6B53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63052"/>
    <w:rsid w:val="00790BB3"/>
    <w:rsid w:val="007918B4"/>
    <w:rsid w:val="007C206C"/>
    <w:rsid w:val="00817DD6"/>
    <w:rsid w:val="0083759F"/>
    <w:rsid w:val="00875BCD"/>
    <w:rsid w:val="00885156"/>
    <w:rsid w:val="009151AA"/>
    <w:rsid w:val="00926FDE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2EC8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0664"/>
    <w:rsid w:val="00DE23E8"/>
    <w:rsid w:val="00E52377"/>
    <w:rsid w:val="00E537AD"/>
    <w:rsid w:val="00E64E17"/>
    <w:rsid w:val="00E866C9"/>
    <w:rsid w:val="00EA3D3C"/>
    <w:rsid w:val="00EC090A"/>
    <w:rsid w:val="00ED20B5"/>
    <w:rsid w:val="00F23FC9"/>
    <w:rsid w:val="00F46900"/>
    <w:rsid w:val="00F61D89"/>
    <w:rsid w:val="024A7A5D"/>
    <w:rsid w:val="145603AA"/>
    <w:rsid w:val="156E0FC5"/>
    <w:rsid w:val="1BD918AE"/>
    <w:rsid w:val="1C0117E9"/>
    <w:rsid w:val="20DC3D49"/>
    <w:rsid w:val="2A43391B"/>
    <w:rsid w:val="2C684FF0"/>
    <w:rsid w:val="340F6BD0"/>
    <w:rsid w:val="3A445351"/>
    <w:rsid w:val="3E325420"/>
    <w:rsid w:val="3ED7598C"/>
    <w:rsid w:val="44CD217D"/>
    <w:rsid w:val="5ECE4459"/>
    <w:rsid w:val="6EA4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书籍标题1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明显强调1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明显参考1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不明显强调1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4D037-E7C8-4164-BB9D-7FE04E02A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Pages>2</Pages>
  <Words>258</Words>
  <Characters>1477</Characters>
  <Lines>12</Lines>
  <Paragraphs>3</Paragraphs>
  <TotalTime>3</TotalTime>
  <ScaleCrop>false</ScaleCrop>
  <LinksUpToDate>false</LinksUpToDate>
  <CharactersWithSpaces>1732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2018-11-23T08:58:00Z</dcterms:created>
  <dc:creator>Frontiers Media SA</dc:creator>
  <cp:lastModifiedBy>端午</cp:lastModifiedBy>
  <cp:lastPrinted>2013-10-03T12:51:00Z</cp:lastPrinted>
  <dcterms:modified xsi:type="dcterms:W3CDTF">2020-11-24T04:52:13Z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