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182A07" w14:textId="6CCCC543" w:rsidR="00932DCE" w:rsidRPr="00B872DF" w:rsidRDefault="005C5CE0">
      <w:r>
        <w:t xml:space="preserve">　　</w:t>
      </w:r>
      <w:r w:rsidRPr="00B872DF">
        <w:rPr>
          <w:b/>
          <w:bCs/>
        </w:rPr>
        <w:t xml:space="preserve"> </w:t>
      </w:r>
      <w:r w:rsidR="00B872DF" w:rsidRPr="00B872DF">
        <w:rPr>
          <w:b/>
          <w:bCs/>
        </w:rPr>
        <w:t xml:space="preserve">Supplement Table 1. </w:t>
      </w:r>
      <w:proofErr w:type="spellStart"/>
      <w:r w:rsidR="00B872DF" w:rsidRPr="00B872DF">
        <w:rPr>
          <w:b/>
          <w:bCs/>
        </w:rPr>
        <w:t>IrAEs</w:t>
      </w:r>
      <w:proofErr w:type="spellEnd"/>
      <w:r w:rsidR="00B872DF" w:rsidRPr="00B872DF">
        <w:rPr>
          <w:b/>
          <w:bCs/>
        </w:rPr>
        <w:t xml:space="preserve"> reported in other cancer type cohorts from the Checkmate 032, Keynote 028, Keynote 158, NCT01375842 and NCT03432598.</w:t>
      </w:r>
    </w:p>
    <w:tbl>
      <w:tblPr>
        <w:tblW w:w="31680" w:type="dxa"/>
        <w:jc w:val="center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7"/>
        <w:gridCol w:w="3054"/>
        <w:gridCol w:w="3421"/>
        <w:gridCol w:w="2992"/>
        <w:gridCol w:w="1407"/>
        <w:gridCol w:w="1273"/>
        <w:gridCol w:w="1844"/>
        <w:gridCol w:w="992"/>
        <w:gridCol w:w="1701"/>
        <w:gridCol w:w="2977"/>
        <w:gridCol w:w="5002"/>
        <w:gridCol w:w="3002"/>
        <w:gridCol w:w="2838"/>
      </w:tblGrid>
      <w:tr w:rsidR="005D4F0B" w14:paraId="6CC3CACF" w14:textId="77777777" w:rsidTr="005D4F0B">
        <w:trPr>
          <w:trHeight w:val="280"/>
          <w:jc w:val="center"/>
        </w:trPr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11434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Target</w:t>
            </w:r>
          </w:p>
        </w:tc>
        <w:tc>
          <w:tcPr>
            <w:tcW w:w="30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4EFAD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NCT number</w:t>
            </w:r>
          </w:p>
        </w:tc>
        <w:tc>
          <w:tcPr>
            <w:tcW w:w="3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FA1A9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Treatment</w:t>
            </w:r>
          </w:p>
        </w:tc>
        <w:tc>
          <w:tcPr>
            <w:tcW w:w="2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DA0E4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Tumor type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63BA3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Enrolled number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ED031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TRAEs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9C5B1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TRAEs (grade</w:t>
            </w:r>
            <w:r>
              <w:rPr>
                <w:rFonts w:ascii="DengXian" w:eastAsia="DengXian" w:hAnsi="DengXian" w:cs="Times New Roman" w:hint="eastAsia"/>
                <w:color w:val="000000"/>
                <w:sz w:val="20"/>
                <w:szCs w:val="20"/>
              </w:rPr>
              <w:t>≥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5FD4C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IRAEs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73ACF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IRAEs (grade</w:t>
            </w:r>
            <w:r>
              <w:rPr>
                <w:rFonts w:ascii="DengXian" w:eastAsia="DengXian" w:hAnsi="DengXian" w:cs="Times New Roman" w:hint="eastAsia"/>
                <w:color w:val="000000"/>
                <w:sz w:val="20"/>
                <w:szCs w:val="20"/>
              </w:rPr>
              <w:t>≥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BE65AE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Most common TRAEs/IRAEs</w:t>
            </w:r>
          </w:p>
        </w:tc>
        <w:tc>
          <w:tcPr>
            <w:tcW w:w="50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4F8CAA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Most </w:t>
            </w: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commonTRAEs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/IRAEs (grade</w:t>
            </w:r>
            <w:r>
              <w:rPr>
                <w:rFonts w:ascii="DengXian" w:eastAsia="DengXian" w:hAnsi="DengXian" w:cs="Times New Roman" w:hint="eastAsia"/>
                <w:color w:val="000000"/>
                <w:sz w:val="20"/>
                <w:szCs w:val="20"/>
              </w:rPr>
              <w:t>≥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3)</w:t>
            </w:r>
          </w:p>
        </w:tc>
        <w:tc>
          <w:tcPr>
            <w:tcW w:w="30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4D4486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Death related to TRAEs/IRAEs</w:t>
            </w:r>
          </w:p>
        </w:tc>
        <w:tc>
          <w:tcPr>
            <w:tcW w:w="28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EA477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reference</w:t>
            </w:r>
          </w:p>
        </w:tc>
      </w:tr>
      <w:tr w:rsidR="00932DCE" w14:paraId="593E0E26" w14:textId="77777777" w:rsidTr="005D4F0B">
        <w:trPr>
          <w:trHeight w:val="208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4864B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PD-1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4C30D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CheckMate032 (NCT01928394)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F9C38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nivolumab 3 mg/kg</w:t>
            </w: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53CFDB3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81931B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2994C21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55.0%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4AE70EA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11.9%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D29E0C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47.7%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AA1106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3.6%</w:t>
            </w:r>
          </w:p>
        </w:tc>
        <w:tc>
          <w:tcPr>
            <w:tcW w:w="2977" w:type="dxa"/>
            <w:shd w:val="clear" w:color="auto" w:fill="auto"/>
            <w:hideMark/>
          </w:tcPr>
          <w:p w14:paraId="3FFF1EA7" w14:textId="78485A58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skin reactions (21.1%),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endocrine (9.2%),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gastrointestinal (6.4%),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hepatic (4.6%),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infusion reaction (3.7%),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pulmonary (1.8%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renal (0.9%)</w:t>
            </w:r>
          </w:p>
        </w:tc>
        <w:tc>
          <w:tcPr>
            <w:tcW w:w="5002" w:type="dxa"/>
            <w:shd w:val="clear" w:color="auto" w:fill="auto"/>
            <w:hideMark/>
          </w:tcPr>
          <w:p w14:paraId="3947C15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pneumonitis (1.8%),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rash (0.9%),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AST increased (0.9%)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0D0E3D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pneumonitis (0.9%)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C0D87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Ready et al., 2019</w:t>
            </w:r>
          </w:p>
        </w:tc>
      </w:tr>
      <w:tr w:rsidR="00932DCE" w14:paraId="59356D18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CB1A05F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5622AD1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2114049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0ADBF86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metastatic urothelial carcinoma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33D45C2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78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74DF555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84.6%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36DA1EB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26.9%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8D9DF3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95662A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5212A629" w14:textId="30D10600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skin (43.6%),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endocrine 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(11.5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gastrointestinal (14.1%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renal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9.0%),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hepatic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7.0%),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pulmonary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2.6%)</w:t>
            </w:r>
          </w:p>
        </w:tc>
        <w:tc>
          <w:tcPr>
            <w:tcW w:w="5002" w:type="dxa"/>
            <w:shd w:val="clear" w:color="auto" w:fill="auto"/>
            <w:hideMark/>
          </w:tcPr>
          <w:p w14:paraId="307D4D69" w14:textId="4EAD606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skin (3.8%),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renal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2.6%),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hepatic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2.6%),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gastrointestinal (1.3%),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pneumonitis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1.3%)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20F78CE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9A518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Sharma et al., 2019</w:t>
            </w:r>
          </w:p>
        </w:tc>
      </w:tr>
      <w:tr w:rsidR="00932DCE" w14:paraId="1494206F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1A72A80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166936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7CF0812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hideMark/>
          </w:tcPr>
          <w:p w14:paraId="1C75710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esophagogastric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07D24B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59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3BF6ECF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69.0%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AED306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8657D4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8842C0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01996EC6" w14:textId="0EA2BB6F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fatigue (34%),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pruritus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diarrhea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decreased appetite (15%), AST increased (12%), ALT increased (8%)</w:t>
            </w:r>
          </w:p>
        </w:tc>
        <w:tc>
          <w:tcPr>
            <w:tcW w:w="5002" w:type="dxa"/>
            <w:shd w:val="clear" w:color="auto" w:fill="auto"/>
            <w:hideMark/>
          </w:tcPr>
          <w:p w14:paraId="763B42D2" w14:textId="6B469E0B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AST increased (5%),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ALT increased (3%),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diarrhea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fatigue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A7F688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D9DA2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Janjigian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2018</w:t>
            </w:r>
          </w:p>
        </w:tc>
      </w:tr>
      <w:tr w:rsidR="00932DCE" w14:paraId="4C3F961A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ACF042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89D4B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KEYNOTE028 (NCT02054806)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B247E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pembrolizumab 10 mg/kg</w:t>
            </w: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0E7E019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131034E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FCA787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66.7%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457BE19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8.3%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C8B3E6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4E573E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319CE64C" w14:textId="79EA2049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arthralgia (16.6%),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asthenia (16.6%),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rash (16.7%),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diarrhea (12.5%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 fatigue (12.5%) </w:t>
            </w:r>
          </w:p>
        </w:tc>
        <w:tc>
          <w:tcPr>
            <w:tcW w:w="5002" w:type="dxa"/>
            <w:shd w:val="clear" w:color="auto" w:fill="auto"/>
            <w:hideMark/>
          </w:tcPr>
          <w:p w14:paraId="6B3BC8F9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grade 3 bilirubin elevation (4.2%),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5 colitis/intestinal ischemia (4.2%)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F99F0B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colitis and intestinal ischemia (4.2%)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B48AD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Ott et al., 2017b</w:t>
            </w:r>
          </w:p>
        </w:tc>
      </w:tr>
      <w:tr w:rsidR="00932DCE" w14:paraId="14CAFD35" w14:textId="77777777" w:rsidTr="005D4F0B">
        <w:trPr>
          <w:trHeight w:val="28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6E333F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B0BC86" w14:textId="77777777" w:rsidR="00932DCE" w:rsidRDefault="00932DC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3D22D8" w14:textId="77777777" w:rsidR="00932DCE" w:rsidRDefault="00932DC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636E7AD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malignant pleural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mesothelioma 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06BFAD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983481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64.0%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C72BFA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20.0%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93037B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9D59E9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3331515C" w14:textId="25791C13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infusion-related reaction (4%),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hypothyroidism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rhabdomyolysis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erythema (4%),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erythema multiforme (4%),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iridocyclitis (4%),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5002" w:type="dxa"/>
            <w:shd w:val="clear" w:color="auto" w:fill="auto"/>
            <w:hideMark/>
          </w:tcPr>
          <w:p w14:paraId="060AF5BD" w14:textId="778B09E9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3 rhabdomyolysis (4%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3 erythema (4%),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3 iridocyclitis (4%)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D8219CA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245B3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Alley et al., 2017</w:t>
            </w:r>
          </w:p>
        </w:tc>
      </w:tr>
      <w:tr w:rsidR="00932DCE" w14:paraId="0A482A4C" w14:textId="77777777" w:rsidTr="005D4F0B">
        <w:trPr>
          <w:trHeight w:val="104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6099A5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F31C0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87A850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5A50E87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salivary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gland carcinoma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CF4050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8720D3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85.0%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7A73282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ED7C96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23.0%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755D2C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7.7%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2283E0C8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hypothyroidism (15%),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hepatitis (3.8%), 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interstitial lung disease (3.8%) </w:t>
            </w:r>
          </w:p>
        </w:tc>
        <w:tc>
          <w:tcPr>
            <w:tcW w:w="5002" w:type="dxa"/>
            <w:shd w:val="clear" w:color="auto" w:fill="auto"/>
            <w:hideMark/>
          </w:tcPr>
          <w:p w14:paraId="38530CE2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grade 3 hepatitis (3.8%), 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grade 5 interstitial lung disease (3.8%) 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52204BA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1C507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Cohen et al., 2018</w:t>
            </w:r>
          </w:p>
        </w:tc>
      </w:tr>
      <w:tr w:rsidR="00932DCE" w14:paraId="6FA301A9" w14:textId="77777777" w:rsidTr="005D4F0B">
        <w:trPr>
          <w:trHeight w:val="260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D8B4E26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441C58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A44591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0B1B6B6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carcinoid or pancreatic neuroendocrine (</w:t>
            </w: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14:paraId="35F50FC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carcinoid n=25,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n=16</w:t>
            </w:r>
          </w:p>
        </w:tc>
        <w:tc>
          <w:tcPr>
            <w:tcW w:w="1273" w:type="dxa"/>
            <w:shd w:val="clear" w:color="auto" w:fill="auto"/>
            <w:vAlign w:val="center"/>
            <w:hideMark/>
          </w:tcPr>
          <w:p w14:paraId="156B6E0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carcinoid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68%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68.8%</w:t>
            </w:r>
          </w:p>
        </w:tc>
        <w:tc>
          <w:tcPr>
            <w:tcW w:w="1844" w:type="dxa"/>
            <w:shd w:val="clear" w:color="auto" w:fill="auto"/>
            <w:vAlign w:val="center"/>
            <w:hideMark/>
          </w:tcPr>
          <w:p w14:paraId="556904D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carcinoid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32%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6.3%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8EBA77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carcinoid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36%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19%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3834CC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1F25470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carcinoid TRAE: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diarrhea (28%),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fatigue (24%),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hypothyroidism (16%),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(37.5%),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pruritus (18.8%),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hypothyroidism (12.5%),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rash (12.5%),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myalgia (12.5%)</w:t>
            </w:r>
          </w:p>
        </w:tc>
        <w:tc>
          <w:tcPr>
            <w:tcW w:w="5002" w:type="dxa"/>
            <w:shd w:val="clear" w:color="auto" w:fill="auto"/>
            <w:hideMark/>
          </w:tcPr>
          <w:p w14:paraId="7421F3F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carcinoid TRAEs: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diarrhea (12%),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AST increase (8%),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ALT increase (8%),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pNET</w:t>
            </w:r>
            <w:proofErr w:type="spellEnd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TRAEs: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fatigue (6.3%)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5991535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CF815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Mehnert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2020</w:t>
            </w:r>
          </w:p>
        </w:tc>
      </w:tr>
      <w:tr w:rsidR="00932DCE" w14:paraId="0A17DBDA" w14:textId="77777777" w:rsidTr="005D4F0B">
        <w:trPr>
          <w:trHeight w:val="234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B839CD0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323D178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27D6B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4365EAF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nasopharyngeal carcinoma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14:paraId="37F3417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273" w:type="dxa"/>
            <w:shd w:val="clear" w:color="auto" w:fill="auto"/>
            <w:vAlign w:val="center"/>
            <w:hideMark/>
          </w:tcPr>
          <w:p w14:paraId="0A23869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74.1%</w:t>
            </w:r>
          </w:p>
        </w:tc>
        <w:tc>
          <w:tcPr>
            <w:tcW w:w="1844" w:type="dxa"/>
            <w:shd w:val="clear" w:color="auto" w:fill="auto"/>
            <w:vAlign w:val="center"/>
            <w:hideMark/>
          </w:tcPr>
          <w:p w14:paraId="0FEF1B3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29.6%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62F39D9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37.0%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36F2765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0EB1B295" w14:textId="77777777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hepatitis</w:t>
            </w:r>
            <w:proofErr w:type="spellEnd"/>
            <w:proofErr w:type="gram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(14.8%),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hypothyroidism (7.4%),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(7.4%).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TRAEs: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rash (25.9%), pruritus(25.9%),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pain (22.2%), hypothyroidism (18.5%),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fatigue (18.5%), </w:t>
            </w:r>
          </w:p>
        </w:tc>
        <w:tc>
          <w:tcPr>
            <w:tcW w:w="5002" w:type="dxa"/>
            <w:shd w:val="clear" w:color="auto" w:fill="auto"/>
            <w:hideMark/>
          </w:tcPr>
          <w:p w14:paraId="18313CA2" w14:textId="77777777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hepatitis (7.4%), pneumonitis (7.4%), </w:t>
            </w:r>
          </w:p>
          <w:p w14:paraId="35306015" w14:textId="1BE2CB77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anemia (3.7%),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sepsis (3.7%), blood creatine</w:t>
            </w:r>
          </w:p>
          <w:p w14:paraId="49092949" w14:textId="7F81B2CD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phosphokinase level increased (3.7%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), </w:t>
            </w:r>
          </w:p>
          <w:p w14:paraId="521CB799" w14:textId="66A452CB" w:rsidR="00932DCE" w:rsidRDefault="00B872DF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proteinuria</w:t>
            </w:r>
            <w:r w:rsidR="005C5CE0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(3.7%)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2BC4EA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sepsis (3.7%)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2185D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Hsu et al., 2017</w:t>
            </w:r>
          </w:p>
        </w:tc>
      </w:tr>
      <w:tr w:rsidR="00932DCE" w14:paraId="64FF9027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059F8C3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A91E05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0F15CBD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067F9DF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recurrent carcinoma of the anal canal 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8DC0EB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5D2DFB6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64.0%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481214E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16.0%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78B8B92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NR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1A337A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4D9BB818" w14:textId="1E2F831A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diarrhea (16%), 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fatigue (16%), 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nausea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12%)</w:t>
            </w:r>
          </w:p>
        </w:tc>
        <w:tc>
          <w:tcPr>
            <w:tcW w:w="5002" w:type="dxa"/>
            <w:shd w:val="clear" w:color="auto" w:fill="auto"/>
            <w:hideMark/>
          </w:tcPr>
          <w:p w14:paraId="341AE2E0" w14:textId="77777777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colitis (4%),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diarrhea (4%),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general physical health deterioration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increased blood thyroid </w:t>
            </w:r>
          </w:p>
          <w:p w14:paraId="69F25F29" w14:textId="51292FC8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stimulating hormone (1%),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2399E0F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716A1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Ott et al., 2017c</w:t>
            </w:r>
          </w:p>
        </w:tc>
      </w:tr>
      <w:tr w:rsidR="00932DCE" w14:paraId="438ABB54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B4A10EB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377DEA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8A5EAB0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20292DF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cervical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6D62AC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41334B3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75.0%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7DA392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21.0%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9D0614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25.0%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A30597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vAlign w:val="bottom"/>
            <w:hideMark/>
          </w:tcPr>
          <w:p w14:paraId="7BE47241" w14:textId="77777777" w:rsidR="00932DCE" w:rsidRDefault="005C5CE0">
            <w:pP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IRAEs: 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rash (8.3%),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colitis (4.2%), 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Guillain-Barré syndrome (4.2%),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hyperthyroidism (4.2%),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hypothyroidism (4.2%)</w:t>
            </w:r>
          </w:p>
        </w:tc>
        <w:tc>
          <w:tcPr>
            <w:tcW w:w="5002" w:type="dxa"/>
            <w:shd w:val="clear" w:color="auto" w:fill="auto"/>
            <w:hideMark/>
          </w:tcPr>
          <w:p w14:paraId="060033E2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NR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0D319C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90B55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Jean-Sebastien et al., 2017;</w:t>
            </w:r>
          </w:p>
        </w:tc>
      </w:tr>
      <w:tr w:rsidR="00932DCE" w14:paraId="67148046" w14:textId="77777777" w:rsidTr="005D4F0B">
        <w:trPr>
          <w:trHeight w:val="104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C4159BC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21C616E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5D29487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7A98B12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colorectal carcinoma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4ED1AC5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137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5CCC764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35.0%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2AE1FC8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4.0%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AA26BA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40831D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vAlign w:val="bottom"/>
            <w:hideMark/>
          </w:tcPr>
          <w:p w14:paraId="496C0474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TRAEs: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fatigue (13%),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asthenia (9%),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stomatitis (9%)</w:t>
            </w:r>
          </w:p>
        </w:tc>
        <w:tc>
          <w:tcPr>
            <w:tcW w:w="5002" w:type="dxa"/>
            <w:shd w:val="clear" w:color="auto" w:fill="auto"/>
            <w:hideMark/>
          </w:tcPr>
          <w:p w14:paraId="4FF3B4B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increased blood bilirubin (4%)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36819B5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AF170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O'Neil et al., 2017</w:t>
            </w:r>
          </w:p>
        </w:tc>
      </w:tr>
      <w:tr w:rsidR="00932DCE" w14:paraId="24F2E90F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889F7DE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FF6AB7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51D717D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4597A02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advanced </w:t>
            </w:r>
            <w:proofErr w:type="gram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breast  cancer</w:t>
            </w:r>
            <w:proofErr w:type="gramEnd"/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4E7C68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2AB89C3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64.0%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74CA12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16.0%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1CFF69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20.0%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234D8E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4.0%</w:t>
            </w:r>
          </w:p>
        </w:tc>
        <w:tc>
          <w:tcPr>
            <w:tcW w:w="2977" w:type="dxa"/>
            <w:shd w:val="clear" w:color="auto" w:fill="auto"/>
            <w:hideMark/>
          </w:tcPr>
          <w:p w14:paraId="0070DC2D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grade 2 hypothyroidism (1%),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2 hyperthyroidism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2 infusion related reaction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1 pneumonitis (1%)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3 autoimmune hepatitis (1%)</w:t>
            </w:r>
          </w:p>
        </w:tc>
        <w:tc>
          <w:tcPr>
            <w:tcW w:w="5002" w:type="dxa"/>
            <w:shd w:val="clear" w:color="auto" w:fill="auto"/>
            <w:hideMark/>
          </w:tcPr>
          <w:p w14:paraId="04BB52D0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grade 3 autoimmune hepatitis (1%)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164AC5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343C1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Hope et al., 2018</w:t>
            </w:r>
          </w:p>
        </w:tc>
      </w:tr>
      <w:tr w:rsidR="00932DCE" w14:paraId="6A60F593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5E3AF58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ACA785B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47811C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2D4F428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endometrial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54B9291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5E691EB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54.2%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1CCD69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5.3%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A4FF1A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7F5AAD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06A80CE5" w14:textId="67B1D55C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TRAEs: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(20.8%),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pruritus (16.7%),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pyrexia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decreased appetite (12.5%)</w:t>
            </w:r>
          </w:p>
        </w:tc>
        <w:tc>
          <w:tcPr>
            <w:tcW w:w="5002" w:type="dxa"/>
            <w:shd w:val="clear" w:color="auto" w:fill="auto"/>
            <w:hideMark/>
          </w:tcPr>
          <w:p w14:paraId="3B82066B" w14:textId="77777777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one 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diarrhea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one chills and pyrexia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one anemia, hyperglycemia, </w:t>
            </w:r>
          </w:p>
          <w:p w14:paraId="78035A4C" w14:textId="067E6F5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and hyponatremia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one asthenia and back pain (1%)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3ABFCC9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0D898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Ott et al., 2017a</w:t>
            </w:r>
          </w:p>
        </w:tc>
      </w:tr>
      <w:tr w:rsidR="00932DCE" w14:paraId="122B66C4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4B9EED5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C0C2079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846732F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51BDB8E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papillary or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follicular thyroid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766A4B4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6D7D8A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82.0%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1A09A6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4.5%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950195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0E7FF3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3F3778BA" w14:textId="77777777" w:rsidR="00932DCE" w:rsidRP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</w:pPr>
            <w:proofErr w:type="spellStart"/>
            <w:proofErr w:type="gramStart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TRAEs</w:t>
            </w:r>
            <w:proofErr w:type="spellEnd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:</w:t>
            </w:r>
            <w:proofErr w:type="gram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diarrhea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(32%),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  <w:t>fatigue (18%),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pruritus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(14%),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  <w:t>rash (14%)</w:t>
            </w:r>
          </w:p>
        </w:tc>
        <w:tc>
          <w:tcPr>
            <w:tcW w:w="5002" w:type="dxa"/>
            <w:shd w:val="clear" w:color="auto" w:fill="auto"/>
            <w:hideMark/>
          </w:tcPr>
          <w:p w14:paraId="4E1F442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colitis (4.5%)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08631B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2DC6A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Mehnert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2019</w:t>
            </w:r>
          </w:p>
        </w:tc>
      </w:tr>
      <w:tr w:rsidR="00932DCE" w14:paraId="2D95C12C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121C1C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FCD2CC6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D3B702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0C4AB2A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prostate adenocarcinoma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8B3AD3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100A0CC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60.9%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C99CFD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13.0%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3C6595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B5F604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24FCC082" w14:textId="77777777" w:rsidR="00932DCE" w:rsidRP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</w:pPr>
            <w:proofErr w:type="spellStart"/>
            <w:proofErr w:type="gramStart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TRAEs</w:t>
            </w:r>
            <w:proofErr w:type="spellEnd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:</w:t>
            </w:r>
            <w:proofErr w:type="gram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nausea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(13%), 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hyperthyroidism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(8.7%),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  <w:t>fatigue (8.7%),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diarrhea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(8.7%),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pruritus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(8.7%)</w:t>
            </w:r>
          </w:p>
        </w:tc>
        <w:tc>
          <w:tcPr>
            <w:tcW w:w="5002" w:type="dxa"/>
            <w:shd w:val="clear" w:color="auto" w:fill="auto"/>
            <w:hideMark/>
          </w:tcPr>
          <w:p w14:paraId="0F7210B9" w14:textId="50ECABE8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asthenia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(4.3%),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increased lipase (4.3%),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peripheral neuropathy (4.3%)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5F8465A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AFA69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Hansen et al., 2018</w:t>
            </w:r>
          </w:p>
        </w:tc>
      </w:tr>
      <w:tr w:rsidR="00932DCE" w14:paraId="5C7753B4" w14:textId="77777777" w:rsidTr="005D4F0B">
        <w:trPr>
          <w:trHeight w:val="104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5208D2C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CD4C92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A365DF2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12BEF94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biliary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436D4BF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5309222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66.7%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206FBB3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16.7%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796EC5C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16.7%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9A78E5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8.3%</w:t>
            </w:r>
          </w:p>
        </w:tc>
        <w:tc>
          <w:tcPr>
            <w:tcW w:w="2977" w:type="dxa"/>
            <w:shd w:val="clear" w:color="auto" w:fill="auto"/>
            <w:hideMark/>
          </w:tcPr>
          <w:p w14:paraId="1C0B4D22" w14:textId="77777777" w:rsidR="00932DCE" w:rsidRDefault="005C5CE0">
            <w:pP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hypothyroidism (8.3%),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 (4.2%),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infusion reaction (4.2%)</w:t>
            </w:r>
          </w:p>
        </w:tc>
        <w:tc>
          <w:tcPr>
            <w:tcW w:w="5002" w:type="dxa"/>
            <w:shd w:val="clear" w:color="auto" w:fill="auto"/>
            <w:hideMark/>
          </w:tcPr>
          <w:p w14:paraId="789AE26C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 (4.2%),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colitis (4.2%)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8ED379A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7AFE3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Piha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-Paul et al.,2020</w:t>
            </w:r>
          </w:p>
        </w:tc>
      </w:tr>
      <w:tr w:rsidR="00932DCE" w14:paraId="218953C5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D3046B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5D698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KEYNOTE158 (NCT02628067)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A5D55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pembrolizumab 200mg</w:t>
            </w: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78F5D25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0992D70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150F55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60.0%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79E1392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05BC8D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33.0%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C33E6C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5.0%</w:t>
            </w:r>
          </w:p>
        </w:tc>
        <w:tc>
          <w:tcPr>
            <w:tcW w:w="2977" w:type="dxa"/>
            <w:shd w:val="clear" w:color="auto" w:fill="auto"/>
            <w:hideMark/>
          </w:tcPr>
          <w:p w14:paraId="1E29F70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hypothyroidism (12%),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hyperthyroidism (7%),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severe skin reactions (3%),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adrenal insufficiency (2%), nephritis (2%),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(2%), pancreatitis (2%)</w:t>
            </w:r>
          </w:p>
        </w:tc>
        <w:tc>
          <w:tcPr>
            <w:tcW w:w="5002" w:type="dxa"/>
            <w:shd w:val="clear" w:color="auto" w:fill="auto"/>
            <w:hideMark/>
          </w:tcPr>
          <w:p w14:paraId="4AF695FE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</w:t>
            </w:r>
            <w:r>
              <w:rPr>
                <w:rFonts w:ascii="DengXian" w:eastAsia="DengXian" w:hAnsi="DengXian" w:cs="Times New Roman" w:hint="eastAsia"/>
                <w:b/>
                <w:bCs/>
                <w:color w:val="000000"/>
                <w:sz w:val="20"/>
                <w:szCs w:val="20"/>
              </w:rPr>
              <w:t>：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reactions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adrenal insufficiency (1%),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pancreatitis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(1%), colitis (1%</w:t>
            </w:r>
            <w:r>
              <w:rPr>
                <w:rFonts w:ascii="DengXian" w:eastAsia="DengXian" w:hAnsi="DengXian" w:cs="Times New Roman" w:hint="eastAsia"/>
                <w:color w:val="000000"/>
                <w:sz w:val="20"/>
                <w:szCs w:val="20"/>
              </w:rPr>
              <w:t>）</w:t>
            </w:r>
          </w:p>
        </w:tc>
        <w:tc>
          <w:tcPr>
            <w:tcW w:w="3002" w:type="dxa"/>
            <w:shd w:val="clear" w:color="auto" w:fill="auto"/>
            <w:hideMark/>
          </w:tcPr>
          <w:p w14:paraId="70E511EE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pneumonitis (0.9%), 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encephalopathy (0.9%)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EDBD7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Chung et al., 2020</w:t>
            </w:r>
          </w:p>
        </w:tc>
      </w:tr>
      <w:tr w:rsidR="00932DCE" w14:paraId="2C0FC217" w14:textId="77777777" w:rsidTr="005D4F0B">
        <w:trPr>
          <w:trHeight w:val="208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C5F7D7E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65E04D7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FECA38B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744AD38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cervical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75A0C4B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98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33A6A96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65.3%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1BBE561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12.2%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FF9C9F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25.5%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CC5A3C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5.1%</w:t>
            </w:r>
          </w:p>
        </w:tc>
        <w:tc>
          <w:tcPr>
            <w:tcW w:w="2977" w:type="dxa"/>
            <w:shd w:val="clear" w:color="auto" w:fill="auto"/>
            <w:hideMark/>
          </w:tcPr>
          <w:p w14:paraId="2528F92A" w14:textId="082DC491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hypothyroidism (11.2%),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hyperthyroidism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9.2%),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infusion-related reaction (3.1%</w:t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colitis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reactions (2%)</w:t>
            </w:r>
          </w:p>
        </w:tc>
        <w:tc>
          <w:tcPr>
            <w:tcW w:w="5002" w:type="dxa"/>
            <w:shd w:val="clear" w:color="auto" w:fill="auto"/>
            <w:hideMark/>
          </w:tcPr>
          <w:p w14:paraId="2FEB7B01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reactions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adrenal insufficiency (1%)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7DA986C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1656E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Chung et al., 2019</w:t>
            </w:r>
          </w:p>
        </w:tc>
      </w:tr>
      <w:tr w:rsidR="00932DCE" w14:paraId="0BE5A777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395C9B7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6857C2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1FB8511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692CC3F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neuroendocrine tumors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75672FC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129FC21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75.7%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15E621E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20.6%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8AF9F8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22.4%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4885E4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8.4%</w:t>
            </w:r>
          </w:p>
        </w:tc>
        <w:tc>
          <w:tcPr>
            <w:tcW w:w="2977" w:type="dxa"/>
            <w:shd w:val="clear" w:color="auto" w:fill="auto"/>
            <w:hideMark/>
          </w:tcPr>
          <w:p w14:paraId="3E96A2C3" w14:textId="05887877" w:rsidR="00932DCE" w:rsidRDefault="005C5CE0">
            <w:pP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hypothyroidism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10.3 %),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hyperthyroidism (3.7%),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(2.8%),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(2.8%),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reactions (2.8%)</w:t>
            </w:r>
          </w:p>
        </w:tc>
        <w:tc>
          <w:tcPr>
            <w:tcW w:w="5002" w:type="dxa"/>
            <w:shd w:val="clear" w:color="auto" w:fill="auto"/>
            <w:hideMark/>
          </w:tcPr>
          <w:p w14:paraId="33EEF72B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(2.8%),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reactions (2.8%),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colitis (1.9%),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adrenal insufficiency (0.9%)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18D0EC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autoimmune hepatitis (0.9%)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7CC02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Strosberg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2020</w:t>
            </w:r>
          </w:p>
        </w:tc>
      </w:tr>
      <w:tr w:rsidR="00932DCE" w14:paraId="6ECEABF4" w14:textId="77777777" w:rsidTr="005D4F0B">
        <w:trPr>
          <w:trHeight w:val="208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4563249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9D3DAE1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F80EB10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1FC6B26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advanced biliary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4B81C3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461E9C2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54.8%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1F58826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13.5%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18F1F7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18.3%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AB678E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5.8%</w:t>
            </w:r>
          </w:p>
        </w:tc>
        <w:tc>
          <w:tcPr>
            <w:tcW w:w="2977" w:type="dxa"/>
            <w:shd w:val="clear" w:color="auto" w:fill="auto"/>
            <w:hideMark/>
          </w:tcPr>
          <w:p w14:paraId="15495F55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hypothyroidism (7.7%),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(5.8%),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 (2.9%),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(2.9%),</w:t>
            </w:r>
          </w:p>
        </w:tc>
        <w:tc>
          <w:tcPr>
            <w:tcW w:w="5002" w:type="dxa"/>
            <w:shd w:val="clear" w:color="auto" w:fill="auto"/>
            <w:hideMark/>
          </w:tcPr>
          <w:p w14:paraId="3ADB0DCE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severe skin reaction (1.9%),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colitis (1.0%),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(1.0%),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(1.0%),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myositis (1.0%),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type 1 diabetes mellitus (1.0%)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00AD6E15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renal failure (1.0%)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64D1B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Piha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-Paul et al.,2020</w:t>
            </w:r>
          </w:p>
        </w:tc>
      </w:tr>
      <w:tr w:rsidR="00932DCE" w14:paraId="5B780246" w14:textId="77777777" w:rsidTr="005D4F0B">
        <w:trPr>
          <w:trHeight w:val="78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A79DC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lastRenderedPageBreak/>
              <w:t>PD-L1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5B926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NCT01375842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0CA0C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atezolizumab 15 mg/kg or 1200 mg</w:t>
            </w: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7181F6F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1EB824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2F181A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65.0%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608F0A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17.6%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00483C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840CFC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796FAE4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(24%)</w:t>
            </w:r>
          </w:p>
        </w:tc>
        <w:tc>
          <w:tcPr>
            <w:tcW w:w="5002" w:type="dxa"/>
            <w:shd w:val="clear" w:color="auto" w:fill="auto"/>
            <w:hideMark/>
          </w:tcPr>
          <w:p w14:paraId="4C7DCF35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(5.9%),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hepatic failure (5.9%)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182F002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3E48B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Sequist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2016</w:t>
            </w:r>
          </w:p>
        </w:tc>
      </w:tr>
      <w:tr w:rsidR="00932DCE" w14:paraId="785B5F17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FC0BF3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1633EEB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771AECF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0F4C3B8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metastatic urothelial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7A956FD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51F00F8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67.0%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1907D1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9.0%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F1BCD6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8A3871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vAlign w:val="bottom"/>
            <w:hideMark/>
          </w:tcPr>
          <w:p w14:paraId="04816152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(18%),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asthenia (14%),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decreased appetite (13%),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pruritus (13%),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nausea (12%),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rash (8%)</w:t>
            </w:r>
          </w:p>
        </w:tc>
        <w:tc>
          <w:tcPr>
            <w:tcW w:w="5002" w:type="dxa"/>
            <w:shd w:val="clear" w:color="auto" w:fill="auto"/>
            <w:hideMark/>
          </w:tcPr>
          <w:p w14:paraId="6C025277" w14:textId="77777777" w:rsid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asthenia (2%),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 xml:space="preserve">aspartate aminotransferase level </w:t>
            </w:r>
          </w:p>
          <w:p w14:paraId="727F4337" w14:textId="063CF7FD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increased (2%)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74294EC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57EE3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Petrylak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2018</w:t>
            </w:r>
          </w:p>
        </w:tc>
      </w:tr>
      <w:tr w:rsidR="00932DCE" w14:paraId="58837357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45BF9C0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7893974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6DF6E7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63A5B4A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head and neck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670FBE4F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204C88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66.0%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C8D7EC4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13.0%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B4506F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229CD0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hideMark/>
          </w:tcPr>
          <w:p w14:paraId="48ABA3CB" w14:textId="77777777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TRAEs: 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fatigue (22%),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rash (16%),</w:t>
            </w:r>
          </w:p>
        </w:tc>
        <w:tc>
          <w:tcPr>
            <w:tcW w:w="5002" w:type="dxa"/>
            <w:shd w:val="clear" w:color="auto" w:fill="auto"/>
            <w:hideMark/>
          </w:tcPr>
          <w:p w14:paraId="7BB76E32" w14:textId="4FBA6A02" w:rsidR="00932DCE" w:rsidRP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</w:pPr>
            <w:proofErr w:type="spellStart"/>
            <w:proofErr w:type="gramStart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TRAEs</w:t>
            </w:r>
            <w:proofErr w:type="spellEnd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:</w:t>
            </w:r>
            <w:proofErr w:type="gram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tumor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</w:t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lysis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</w:t>
            </w:r>
            <w:r w:rsidR="00B872DF"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syndrome (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6%),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colitis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(3%),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hyponatremia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(3%),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pruritus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(3%),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cardiac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</w:t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tamponade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(3%)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70B70FF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FAB1C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D et al., 2018</w:t>
            </w:r>
          </w:p>
        </w:tc>
      </w:tr>
      <w:tr w:rsidR="00932DCE" w14:paraId="0D107509" w14:textId="77777777" w:rsidTr="005D4F0B">
        <w:trPr>
          <w:trHeight w:val="156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5ECAC18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392E63E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597A3F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357A844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metastatic renal cell carcinoma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3831D5E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AE7387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84.0%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436ED0C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D4C332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43.0%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3F52C58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4.2%</w:t>
            </w:r>
          </w:p>
        </w:tc>
        <w:tc>
          <w:tcPr>
            <w:tcW w:w="2977" w:type="dxa"/>
            <w:shd w:val="clear" w:color="auto" w:fill="auto"/>
            <w:hideMark/>
          </w:tcPr>
          <w:p w14:paraId="65713AB0" w14:textId="77777777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fatigue (41%),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cough (36%),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arthralgia (30%),</w:t>
            </w:r>
          </w:p>
        </w:tc>
        <w:tc>
          <w:tcPr>
            <w:tcW w:w="5002" w:type="dxa"/>
            <w:shd w:val="clear" w:color="auto" w:fill="auto"/>
            <w:hideMark/>
          </w:tcPr>
          <w:p w14:paraId="43E55FEF" w14:textId="77777777" w:rsidR="00932DCE" w:rsidRDefault="005C5CE0">
            <w:pPr>
              <w:spacing w:after="240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anemia (7%),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dyspnea (7%),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19E202D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453BB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Mcdermott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2016</w:t>
            </w:r>
          </w:p>
        </w:tc>
      </w:tr>
      <w:tr w:rsidR="00932DCE" w14:paraId="66F8A66D" w14:textId="77777777" w:rsidTr="005D4F0B">
        <w:trPr>
          <w:trHeight w:val="182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B668B6C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7FF8E12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1FA083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501A820B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metastatic triple-negative breast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3FBCC32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116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0DD558B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63.0%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4CB9CB1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11.0%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EB1CE7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64A3DD0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2977" w:type="dxa"/>
            <w:shd w:val="clear" w:color="auto" w:fill="auto"/>
            <w:vAlign w:val="bottom"/>
            <w:hideMark/>
          </w:tcPr>
          <w:p w14:paraId="79323032" w14:textId="77777777" w:rsidR="00932DCE" w:rsidRP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</w:pPr>
            <w:proofErr w:type="spellStart"/>
            <w:proofErr w:type="gramStart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TRAEs</w:t>
            </w:r>
            <w:proofErr w:type="spellEnd"/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fr-CH"/>
              </w:rPr>
              <w:t>:</w:t>
            </w:r>
            <w:proofErr w:type="gram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pyrexia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(16%), 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  <w:t>fatigue (13%),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nausea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(11%), 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diarrhea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(10%), 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asthenia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(10%), 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br/>
            </w:r>
            <w:proofErr w:type="spellStart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>pruritus</w:t>
            </w:r>
            <w:proofErr w:type="spellEnd"/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fr-CH"/>
              </w:rPr>
              <w:t xml:space="preserve"> (10%) </w:t>
            </w:r>
          </w:p>
        </w:tc>
        <w:tc>
          <w:tcPr>
            <w:tcW w:w="5002" w:type="dxa"/>
            <w:shd w:val="clear" w:color="auto" w:fill="auto"/>
            <w:hideMark/>
          </w:tcPr>
          <w:p w14:paraId="156FF3FD" w14:textId="39CCF4D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TRAEs: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</w:r>
            <w:r w:rsidR="00B872DF"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hyperglycemia (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0.8%),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(0.8%)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02EFF446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7AE03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Emens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et al., 2018</w:t>
            </w:r>
          </w:p>
        </w:tc>
      </w:tr>
      <w:tr w:rsidR="00932DCE" w14:paraId="6519A3B9" w14:textId="77777777" w:rsidTr="005D4F0B">
        <w:trPr>
          <w:trHeight w:val="104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158B85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966B0D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NCT03432598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957D6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tislelizumab 200 mg + etoposide-platinum</w:t>
            </w: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4BF8D4A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2402C44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1931188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100.0%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0B8613F6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76.5%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1B88AF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35.3%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FB76A2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2977" w:type="dxa"/>
            <w:shd w:val="clear" w:color="auto" w:fill="auto"/>
            <w:hideMark/>
          </w:tcPr>
          <w:p w14:paraId="0A709797" w14:textId="77777777" w:rsidR="00932DCE" w:rsidRPr="005D4F0B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nb-NO"/>
              </w:rPr>
            </w:pPr>
            <w:r w:rsidRPr="005D4F0B"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  <w:lang w:val="nb-NO"/>
              </w:rPr>
              <w:t>IRAEs: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nb-NO"/>
              </w:rPr>
              <w:br/>
              <w:t>thyroid disorders (29.4%),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nb-NO"/>
              </w:rPr>
              <w:br/>
              <w:t>pneumonitis (5.9%),</w:t>
            </w:r>
            <w:r w:rsidRPr="005D4F0B">
              <w:rPr>
                <w:rFonts w:ascii="Times New Roman" w:eastAsia="DengXian" w:hAnsi="Times New Roman" w:cs="Times New Roman"/>
                <w:color w:val="000000"/>
                <w:sz w:val="20"/>
                <w:szCs w:val="20"/>
                <w:lang w:val="nb-NO"/>
              </w:rPr>
              <w:br/>
              <w:t>type 1 diabetes mellitus (5.9%)</w:t>
            </w:r>
          </w:p>
        </w:tc>
        <w:tc>
          <w:tcPr>
            <w:tcW w:w="5002" w:type="dxa"/>
            <w:shd w:val="clear" w:color="auto" w:fill="auto"/>
            <w:noWrap/>
            <w:hideMark/>
          </w:tcPr>
          <w:p w14:paraId="1C743687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15C952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D22D1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Wang et al., 2020b</w:t>
            </w:r>
          </w:p>
        </w:tc>
      </w:tr>
      <w:tr w:rsidR="00932DCE" w14:paraId="2F070E45" w14:textId="77777777" w:rsidTr="005D4F0B">
        <w:trPr>
          <w:trHeight w:val="780"/>
          <w:jc w:val="center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3AAE985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ECD49B6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491C660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noWrap/>
            <w:vAlign w:val="center"/>
            <w:hideMark/>
          </w:tcPr>
          <w:p w14:paraId="7774231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nonsquamous</w:t>
            </w:r>
            <w:proofErr w:type="spellEnd"/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 non-small cell lung cancer</w:t>
            </w:r>
          </w:p>
        </w:tc>
        <w:tc>
          <w:tcPr>
            <w:tcW w:w="1407" w:type="dxa"/>
            <w:shd w:val="clear" w:color="auto" w:fill="auto"/>
            <w:noWrap/>
            <w:vAlign w:val="center"/>
            <w:hideMark/>
          </w:tcPr>
          <w:p w14:paraId="3D724D5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273" w:type="dxa"/>
            <w:shd w:val="clear" w:color="auto" w:fill="auto"/>
            <w:noWrap/>
            <w:vAlign w:val="center"/>
            <w:hideMark/>
          </w:tcPr>
          <w:p w14:paraId="650E00B5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100.0%</w:t>
            </w:r>
          </w:p>
        </w:tc>
        <w:tc>
          <w:tcPr>
            <w:tcW w:w="1844" w:type="dxa"/>
            <w:shd w:val="clear" w:color="auto" w:fill="auto"/>
            <w:noWrap/>
            <w:vAlign w:val="center"/>
            <w:hideMark/>
          </w:tcPr>
          <w:p w14:paraId="653E147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68.8%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9A4FF7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12.5%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9E93BF7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2977" w:type="dxa"/>
            <w:shd w:val="clear" w:color="auto" w:fill="auto"/>
            <w:hideMark/>
          </w:tcPr>
          <w:p w14:paraId="33AE545D" w14:textId="77777777" w:rsidR="00932DCE" w:rsidRDefault="005C5CE0">
            <w:pP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thyroid disorders (6.3%),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(6.3%)</w:t>
            </w:r>
          </w:p>
        </w:tc>
        <w:tc>
          <w:tcPr>
            <w:tcW w:w="5002" w:type="dxa"/>
            <w:shd w:val="clear" w:color="auto" w:fill="auto"/>
            <w:noWrap/>
            <w:hideMark/>
          </w:tcPr>
          <w:p w14:paraId="41E74143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FBF7A22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BD5F8A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Wang et al., 2020b</w:t>
            </w:r>
          </w:p>
        </w:tc>
      </w:tr>
      <w:tr w:rsidR="00932DCE" w14:paraId="5162CE0D" w14:textId="77777777" w:rsidTr="005D4F0B">
        <w:trPr>
          <w:trHeight w:val="1300"/>
          <w:jc w:val="center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BB3E70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573290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3BC364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2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C37738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squamous NSCLC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C17969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5B715C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100.0%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18A373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71.4%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43422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52.4%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4CAD2E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14.3%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59C723D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thyroid disorders (14%),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pneumonitis (9.5%),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(19%),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myositis (9.5%)</w:t>
            </w:r>
          </w:p>
        </w:tc>
        <w:tc>
          <w:tcPr>
            <w:tcW w:w="50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DD74E4D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sz w:val="20"/>
                <w:szCs w:val="20"/>
              </w:rPr>
              <w:t>IRAEs: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hepatitis (9.5%),</w:t>
            </w: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br/>
              <w:t>myositis (4.8%)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7E3A608" w14:textId="77777777" w:rsidR="00932DCE" w:rsidRDefault="005C5CE0">
            <w:pP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655461" w14:textId="77777777" w:rsidR="00932DCE" w:rsidRDefault="005C5CE0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  <w:t>Wang et al., 2020b</w:t>
            </w:r>
          </w:p>
        </w:tc>
      </w:tr>
      <w:tr w:rsidR="005D4F0B" w14:paraId="2015908E" w14:textId="77777777" w:rsidTr="005D4F0B">
        <w:trPr>
          <w:jc w:val="center"/>
        </w:trPr>
        <w:tc>
          <w:tcPr>
            <w:tcW w:w="1177" w:type="dxa"/>
            <w:shd w:val="clear" w:color="auto" w:fill="auto"/>
            <w:vAlign w:val="center"/>
            <w:hideMark/>
          </w:tcPr>
          <w:p w14:paraId="5687A722" w14:textId="77777777" w:rsidR="00932DCE" w:rsidRDefault="00932DCE">
            <w:pPr>
              <w:jc w:val="center"/>
              <w:rPr>
                <w:rFonts w:ascii="Times New Roman" w:eastAsia="DengXi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54" w:type="dxa"/>
            <w:shd w:val="clear" w:color="auto" w:fill="auto"/>
            <w:vAlign w:val="center"/>
            <w:hideMark/>
          </w:tcPr>
          <w:p w14:paraId="2D239819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21" w:type="dxa"/>
            <w:shd w:val="clear" w:color="auto" w:fill="auto"/>
            <w:vAlign w:val="center"/>
            <w:hideMark/>
          </w:tcPr>
          <w:p w14:paraId="498EBB44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2" w:type="dxa"/>
            <w:shd w:val="clear" w:color="auto" w:fill="auto"/>
            <w:vAlign w:val="center"/>
            <w:hideMark/>
          </w:tcPr>
          <w:p w14:paraId="03B304C9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14:paraId="05CB47C6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shd w:val="clear" w:color="auto" w:fill="auto"/>
            <w:vAlign w:val="center"/>
            <w:hideMark/>
          </w:tcPr>
          <w:p w14:paraId="628D259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4" w:type="dxa"/>
            <w:shd w:val="clear" w:color="auto" w:fill="auto"/>
            <w:vAlign w:val="center"/>
            <w:hideMark/>
          </w:tcPr>
          <w:p w14:paraId="5BE8B1BB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8F72788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CB442A8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A6DEDFC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2" w:type="dxa"/>
            <w:shd w:val="clear" w:color="auto" w:fill="auto"/>
            <w:vAlign w:val="center"/>
            <w:hideMark/>
          </w:tcPr>
          <w:p w14:paraId="664FDD46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2" w:type="dxa"/>
            <w:shd w:val="clear" w:color="auto" w:fill="auto"/>
            <w:vAlign w:val="center"/>
            <w:hideMark/>
          </w:tcPr>
          <w:p w14:paraId="20E8A2AB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8" w:type="dxa"/>
            <w:shd w:val="clear" w:color="auto" w:fill="auto"/>
            <w:vAlign w:val="center"/>
            <w:hideMark/>
          </w:tcPr>
          <w:p w14:paraId="17B5449A" w14:textId="77777777" w:rsidR="00932DCE" w:rsidRDefault="00932D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6574B6F" w14:textId="206E7193" w:rsidR="005C5CE0" w:rsidRPr="007560F1" w:rsidRDefault="00B872DF" w:rsidP="00B872DF">
      <w:pPr>
        <w:spacing w:after="215" w:line="259" w:lineRule="auto"/>
        <w:rPr>
          <w:rFonts w:ascii="Times New Roman" w:hAnsi="Times New Roman" w:cs="Times New Roman"/>
          <w:sz w:val="20"/>
          <w:szCs w:val="20"/>
        </w:rPr>
      </w:pPr>
      <w:r w:rsidRPr="007560F1">
        <w:rPr>
          <w:rFonts w:ascii="Times New Roman" w:hAnsi="Times New Roman" w:cs="Times New Roman"/>
          <w:sz w:val="20"/>
          <w:szCs w:val="20"/>
        </w:rPr>
        <w:t xml:space="preserve">Abbreviations: AST: </w:t>
      </w:r>
      <w:r w:rsidRPr="007560F1">
        <w:rPr>
          <w:rFonts w:ascii="Times New Roman" w:eastAsia="Microsoft YaHei" w:hAnsi="Times New Roman" w:cs="Times New Roman"/>
          <w:color w:val="333333"/>
          <w:sz w:val="20"/>
          <w:szCs w:val="20"/>
          <w:shd w:val="clear" w:color="auto" w:fill="FFFFFF"/>
        </w:rPr>
        <w:t xml:space="preserve">aspartate aminotransferase; </w:t>
      </w:r>
      <w:r w:rsidRPr="007560F1">
        <w:rPr>
          <w:rFonts w:ascii="Times New Roman" w:hAnsi="Times New Roman" w:cs="Times New Roman"/>
          <w:sz w:val="20"/>
          <w:szCs w:val="20"/>
        </w:rPr>
        <w:t>ALT:</w:t>
      </w:r>
      <w:r w:rsidRPr="007560F1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alanine transaminase; </w:t>
      </w:r>
      <w:r w:rsidRPr="007560F1">
        <w:rPr>
          <w:rFonts w:ascii="Times New Roman" w:hAnsi="Times New Roman" w:cs="Times New Roman"/>
          <w:sz w:val="20"/>
          <w:szCs w:val="20"/>
        </w:rPr>
        <w:t>NA: not available</w:t>
      </w:r>
    </w:p>
    <w:p w14:paraId="7ACC5327" w14:textId="77777777" w:rsidR="005D2B91" w:rsidRPr="005D2B91" w:rsidRDefault="005D2B91" w:rsidP="005D2B91">
      <w:pPr>
        <w:pStyle w:val="EndNoteBibliography"/>
        <w:rPr>
          <w:b/>
          <w:bCs/>
        </w:rPr>
      </w:pPr>
      <w:r w:rsidRPr="005D2B91">
        <w:rPr>
          <w:b/>
          <w:bCs/>
        </w:rPr>
        <w:t xml:space="preserve">REFERENCES </w:t>
      </w:r>
    </w:p>
    <w:p w14:paraId="673A8CF1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0" w:name="_Hlk55140282"/>
      <w:r w:rsidRPr="005D2B91">
        <w:rPr>
          <w:rFonts w:ascii="Times New Roman" w:hAnsi="Times New Roman" w:cs="Times New Roman"/>
          <w:szCs w:val="20"/>
        </w:rPr>
        <w:t>Alley, E.W., Lopez, J., Santoro, A., Morosky, A., Saraf, S., Piperdi, B., and Brummelen, E.V. (2017). Clinical safety and activity of pembrolizumab in patients with malignant pleural mesothelioma (KEYNOTE-028): preliminary results from a non-randomised, open-label, phase 1b trial. The Lancet Oncology.</w:t>
      </w:r>
    </w:p>
    <w:bookmarkEnd w:id="0"/>
    <w:p w14:paraId="4C3DEA3E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Chung, H., Piha-Paul, S., Lopez-Martin, J., Schellens, J., Kao, S., Miller, W., Delord, J., Gao, B., Planchard, D., Gottfried, M.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(2020). Pembrolizumab After Two or More Lines of Previous Therapy in Patients With Recurrent or Metastatic SCLC: Results From the KEYNOTE-028 and KEYNOTE-158 Studies. Journal of thoracic oncology : official publication of the International Association for the Study of Lung Cancer</w:t>
      </w:r>
      <w:r w:rsidRPr="005D2B91">
        <w:rPr>
          <w:rFonts w:ascii="Times New Roman" w:hAnsi="Times New Roman" w:cs="Times New Roman"/>
          <w:i/>
          <w:szCs w:val="20"/>
        </w:rPr>
        <w:t xml:space="preserve"> 15</w:t>
      </w:r>
      <w:r w:rsidRPr="005D2B91">
        <w:rPr>
          <w:rFonts w:ascii="Times New Roman" w:hAnsi="Times New Roman" w:cs="Times New Roman"/>
          <w:szCs w:val="20"/>
        </w:rPr>
        <w:t>, 618-627.</w:t>
      </w:r>
    </w:p>
    <w:p w14:paraId="7E502D8D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Chung, H.C., Ros, W., Delord, J.P., Perets, R., Italiano, A., Shapira-Frommer, R., Manzuk, L., Piha-Paul, S.A., Xu, L., and Zeigenfuss, S. (2019). Efficacy and Safety of Pembrolizumab in Previously Treated Advanced Cervical Cancer: Results From the Phase II KEYNOTE-158 Study. Journal of Clinical Oncology.</w:t>
      </w:r>
    </w:p>
    <w:p w14:paraId="64F0830A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1" w:name="_Hlk55140302"/>
      <w:r w:rsidRPr="005D2B91">
        <w:rPr>
          <w:rFonts w:ascii="Times New Roman" w:hAnsi="Times New Roman" w:cs="Times New Roman"/>
          <w:szCs w:val="20"/>
        </w:rPr>
        <w:t>Cohen, R.B., Delord, J.P., Doi, T., Piha-Paul, S.A., Liu, S.V., Gilbert, J., Algazi, A.P., Damian, S., Hong, R.L., and Le Tourneau, C. (2018). Pembrolizumab for the Treatment of Advanced Salivary Gland Carcinoma: Findings of the Phase 1b KEYNOTE-028 Study. American journal of clinical oncology, 1.</w:t>
      </w:r>
    </w:p>
    <w:bookmarkEnd w:id="1"/>
    <w:p w14:paraId="79E00A8B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D, A., Colevas, Bahleda, Braiteh, Balmanoukian, Brana, G, N., Chau, Sarkar, and Molinero (2018). Safety and Clinical Activity of Atezolizumab in Head and Neck Cancer: Results From a Phase I Trial. Annals of oncology : official journal of the European Society for Medical Oncology.</w:t>
      </w:r>
    </w:p>
    <w:p w14:paraId="230176A0" w14:textId="77777777" w:rsidR="005D2B91" w:rsidRPr="005D2B91" w:rsidRDefault="005D2B91" w:rsidP="005D2B91">
      <w:pPr>
        <w:widowControl w:val="0"/>
        <w:jc w:val="both"/>
        <w:rPr>
          <w:rFonts w:ascii="Times New Roman" w:eastAsia="DengXian" w:hAnsi="Times New Roman" w:cs="Times New Roman"/>
          <w:noProof/>
          <w:kern w:val="2"/>
          <w:sz w:val="20"/>
          <w:szCs w:val="20"/>
        </w:rPr>
      </w:pPr>
      <w:r w:rsidRPr="005D2B91">
        <w:rPr>
          <w:rFonts w:ascii="Times New Roman" w:hAnsi="Times New Roman" w:cs="Times New Roman"/>
          <w:noProof/>
          <w:sz w:val="20"/>
          <w:szCs w:val="20"/>
        </w:rPr>
        <w:t>Emens, L.A., Cruz, C., Eder, J.P., Braiteh, F., and Schmid, P. (2018). Long-term Clinical Outcomes and Biomarker Analyses of Atezolizumab Therapy for Patients With Metastatic Triple-Negative Breast Cancer: A P</w:t>
      </w: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>hase 1 Study. JAMA oncology 5.</w:t>
      </w:r>
    </w:p>
    <w:p w14:paraId="0A30A2FB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Hansen, A.R., Massard, C., Ott, P.A., Haas, N.B., Lopez, J.S., Ejadi, S., Wallmark, J.M., Keam, B., J-P, D., and Aggarwal, R. (2018). Pembrolizumab for advanced prostate adenocarcinoma: findings of the KEYNOTE-028 study. Annals of Oncology</w:t>
      </w:r>
      <w:r w:rsidRPr="005D2B91">
        <w:rPr>
          <w:rFonts w:ascii="Times New Roman" w:hAnsi="Times New Roman" w:cs="Times New Roman"/>
          <w:i/>
          <w:szCs w:val="20"/>
        </w:rPr>
        <w:t xml:space="preserve"> 29</w:t>
      </w:r>
      <w:r w:rsidRPr="005D2B91">
        <w:rPr>
          <w:rFonts w:ascii="Times New Roman" w:hAnsi="Times New Roman" w:cs="Times New Roman"/>
          <w:szCs w:val="20"/>
        </w:rPr>
        <w:t>, 1807-1813.</w:t>
      </w:r>
    </w:p>
    <w:p w14:paraId="06E93C45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Hope, Rugo, Jean-Pierre, Delord, Seock-Ah, Im, Patrick, and Ott (2018). Safety and Antitumor Activity of Pembrolizumab in Patients with Estrogen Receptor?Positive/Human Epidermal Growth Factor Receptor 2?Negative Advanced Breast Cancer. Clinical Cancer Research An Official Journal of the American Association for Cancer Research.</w:t>
      </w:r>
    </w:p>
    <w:p w14:paraId="3CB9E8AD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2" w:name="_Hlk55140363"/>
      <w:r w:rsidRPr="005D2B91">
        <w:rPr>
          <w:rFonts w:ascii="Times New Roman" w:hAnsi="Times New Roman" w:cs="Times New Roman"/>
          <w:szCs w:val="20"/>
        </w:rPr>
        <w:t>Hsu, C., Lee, S.H., Ejadi, S., Even, C., Cohen, R.B., Le Tourneau, C., Mehnert, J.M., Algazi, A., Van Brummelen, E.M.J., and Saraf, S. (2017). Safety and Antitumor Activity of Pembrolizumab in Patients With Programmed Death-Ligand 1–Positive Nasopharyngeal Carcinoma: Results of the KEYNOTE-028 Study. Journal of Clinical Oncology</w:t>
      </w:r>
      <w:r w:rsidRPr="005D2B91">
        <w:rPr>
          <w:rFonts w:ascii="Times New Roman" w:hAnsi="Times New Roman" w:cs="Times New Roman"/>
          <w:i/>
          <w:szCs w:val="20"/>
        </w:rPr>
        <w:t xml:space="preserve"> 35</w:t>
      </w:r>
      <w:r w:rsidRPr="005D2B91">
        <w:rPr>
          <w:rFonts w:ascii="Times New Roman" w:hAnsi="Times New Roman" w:cs="Times New Roman"/>
          <w:szCs w:val="20"/>
        </w:rPr>
        <w:t xml:space="preserve">, </w:t>
      </w:r>
      <w:r w:rsidRPr="005D2B91">
        <w:rPr>
          <w:rFonts w:ascii="Times New Roman" w:hAnsi="Times New Roman" w:cs="Times New Roman"/>
          <w:szCs w:val="20"/>
        </w:rPr>
        <w:lastRenderedPageBreak/>
        <w:t>4050-4056.</w:t>
      </w:r>
    </w:p>
    <w:p w14:paraId="432004DF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3" w:name="_Hlk55140230"/>
      <w:bookmarkEnd w:id="2"/>
      <w:r w:rsidRPr="005D2B91">
        <w:rPr>
          <w:rFonts w:ascii="Times New Roman" w:hAnsi="Times New Roman" w:cs="Times New Roman"/>
          <w:szCs w:val="20"/>
        </w:rPr>
        <w:t>Janjigian, Y., Bendell, J., Calvo, E., Kim, J., Ascierto, P., Sharma, P., Ott, P., Peltola, K., Jaeger, D., Evans, J.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(2018). CheckMate-032 Study: Efficacy and Safety of Nivolumab and Nivolumab Plus Ipilimumab in Patients With Metastatic Esophagogastric Cancer. Journal of clinical oncology : official journal of the American Society of Clinical Oncology</w:t>
      </w:r>
      <w:r w:rsidRPr="005D2B91">
        <w:rPr>
          <w:rFonts w:ascii="Times New Roman" w:hAnsi="Times New Roman" w:cs="Times New Roman"/>
          <w:i/>
          <w:szCs w:val="20"/>
        </w:rPr>
        <w:t xml:space="preserve"> 36</w:t>
      </w:r>
      <w:r w:rsidRPr="005D2B91">
        <w:rPr>
          <w:rFonts w:ascii="Times New Roman" w:hAnsi="Times New Roman" w:cs="Times New Roman"/>
          <w:szCs w:val="20"/>
        </w:rPr>
        <w:t>, 2836-2844.</w:t>
      </w:r>
    </w:p>
    <w:p w14:paraId="3E67B88D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4" w:name="_Hlk55140431"/>
      <w:bookmarkEnd w:id="3"/>
      <w:r w:rsidRPr="005D4F0B">
        <w:rPr>
          <w:rFonts w:ascii="Times New Roman" w:hAnsi="Times New Roman" w:cs="Times New Roman"/>
          <w:szCs w:val="20"/>
          <w:lang w:val="fr-CH"/>
        </w:rPr>
        <w:t xml:space="preserve">Jean-Sebastien, Frenel, Christophe, Le, Tourneau, Bert, O’Neil, Patrick, A., and Ott (2017). </w:t>
      </w:r>
      <w:r w:rsidRPr="005D2B91">
        <w:rPr>
          <w:rFonts w:ascii="Times New Roman" w:hAnsi="Times New Roman" w:cs="Times New Roman"/>
          <w:szCs w:val="20"/>
        </w:rPr>
        <w:t>Safety and Efficacy of Pembrolizumab in Advanced, Programmed Death Ligand 1–Positive Cervical Cancer: Results From the Phase Ib KEYNOTE-028 Trial. Journal of Clinical Oncology.</w:t>
      </w:r>
    </w:p>
    <w:bookmarkEnd w:id="4"/>
    <w:p w14:paraId="2C1FD563" w14:textId="77777777" w:rsidR="005D2B91" w:rsidRPr="005D2B91" w:rsidRDefault="005D2B91" w:rsidP="005D2B91">
      <w:pPr>
        <w:widowControl w:val="0"/>
        <w:jc w:val="both"/>
        <w:rPr>
          <w:rFonts w:ascii="Times New Roman" w:eastAsia="DengXian" w:hAnsi="Times New Roman" w:cs="Times New Roman"/>
          <w:noProof/>
          <w:kern w:val="2"/>
          <w:sz w:val="20"/>
          <w:szCs w:val="20"/>
        </w:rPr>
      </w:pP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>Mcdermott, D.F., Sosman, J.A., Sznol, M., Massard, C., Gordon, M.S., Hamid, O., Powderly, J.D., Infante, J.R., Fassò, M., and Wang, Y.V. (2016). Atezolizumab, an Anti–Programmed Death-Ligand 1 Antibody, in Metastatic Renal Cell Carcinoma: Long-Term Safety, Clinical Activity, and Immune Correlates From a Phase Ia Study. Journal of Clinical Oncology.</w:t>
      </w:r>
    </w:p>
    <w:p w14:paraId="5C49FA79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5" w:name="_Hlk55140341"/>
      <w:r w:rsidRPr="005D2B91">
        <w:rPr>
          <w:rFonts w:ascii="Times New Roman" w:hAnsi="Times New Roman" w:cs="Times New Roman"/>
          <w:szCs w:val="20"/>
        </w:rPr>
        <w:t>Mehnert, J., Bergsland, E., O'Neil, B., Santoro, A., Schellens, J., Cohen, R., Doi, T., Ott, P., Pishvaian, M., Puzanov, I.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(2020). Pembrolizumab for the treatment of programmed death-ligand 1-positive advanced carcinoid or pancreatic neuroendocrine tumors: Results from the KEYNOTE-028 study. Cancer</w:t>
      </w:r>
      <w:r w:rsidRPr="005D2B91">
        <w:rPr>
          <w:rFonts w:ascii="Times New Roman" w:hAnsi="Times New Roman" w:cs="Times New Roman"/>
          <w:i/>
          <w:szCs w:val="20"/>
        </w:rPr>
        <w:t xml:space="preserve"> 126</w:t>
      </w:r>
      <w:r w:rsidRPr="005D2B91">
        <w:rPr>
          <w:rFonts w:ascii="Times New Roman" w:hAnsi="Times New Roman" w:cs="Times New Roman"/>
          <w:szCs w:val="20"/>
        </w:rPr>
        <w:t>, 3021-3030.</w:t>
      </w:r>
    </w:p>
    <w:bookmarkEnd w:id="5"/>
    <w:p w14:paraId="1D1AE70D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Mehnert, J.M., Varga, A., Brose, M.S., Aggarwal, R.R., Lin, C.C., Prawira, A., De Braud, F., Tamura, K., Doi, T., and Piha-Paul, S.A. (2019). Safety and antitumor activity of the anti–PD-1 antibody pembrolizumab in patients with advanced, PD-L1–positive papillary or follicular thyroid cancer. BMC Cancer</w:t>
      </w:r>
      <w:r w:rsidRPr="005D2B91">
        <w:rPr>
          <w:rFonts w:ascii="Times New Roman" w:hAnsi="Times New Roman" w:cs="Times New Roman"/>
          <w:i/>
          <w:szCs w:val="20"/>
        </w:rPr>
        <w:t xml:space="preserve"> 19</w:t>
      </w:r>
      <w:r w:rsidRPr="005D2B91">
        <w:rPr>
          <w:rFonts w:ascii="Times New Roman" w:hAnsi="Times New Roman" w:cs="Times New Roman"/>
          <w:szCs w:val="20"/>
        </w:rPr>
        <w:t>.</w:t>
      </w:r>
    </w:p>
    <w:p w14:paraId="2C1E9133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O'Neil, B.H., Wallmark, J.M., Lorente, D., Elez, E., and Han, S.W. (2017). Safety and antitumor activity of the anti–PD-1 antibody pembrolizumab in patients with advanced colorectal carcinoma. PloS one</w:t>
      </w:r>
      <w:r w:rsidRPr="005D2B91">
        <w:rPr>
          <w:rFonts w:ascii="Times New Roman" w:hAnsi="Times New Roman" w:cs="Times New Roman"/>
          <w:i/>
          <w:szCs w:val="20"/>
        </w:rPr>
        <w:t xml:space="preserve"> 12</w:t>
      </w:r>
      <w:r w:rsidRPr="005D2B91">
        <w:rPr>
          <w:rFonts w:ascii="Times New Roman" w:hAnsi="Times New Roman" w:cs="Times New Roman"/>
          <w:szCs w:val="20"/>
        </w:rPr>
        <w:t>, e0189848.</w:t>
      </w:r>
    </w:p>
    <w:p w14:paraId="2BB52333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Ott, P., Bang, Y., Berton-Rigaud, D., Elez, E., Pishvaian, M., Rugo, H., Puzanov, I., Mehnert, J., Aung, K., Lopez, J.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(2017a). Safety and Antitumor Activity of Pembrolizumab in Advanced Programmed Death Ligand 1-Positive Endometrial Cancer: Results From the KEYNOTE-028 Study. Journal of clinical oncology : official journal of the American Society of Clinical Oncology</w:t>
      </w:r>
      <w:r w:rsidRPr="005D2B91">
        <w:rPr>
          <w:rFonts w:ascii="Times New Roman" w:hAnsi="Times New Roman" w:cs="Times New Roman"/>
          <w:i/>
          <w:szCs w:val="20"/>
        </w:rPr>
        <w:t xml:space="preserve"> 35</w:t>
      </w:r>
      <w:r w:rsidRPr="005D2B91">
        <w:rPr>
          <w:rFonts w:ascii="Times New Roman" w:hAnsi="Times New Roman" w:cs="Times New Roman"/>
          <w:szCs w:val="20"/>
        </w:rPr>
        <w:t>, 2535-2541.</w:t>
      </w:r>
    </w:p>
    <w:p w14:paraId="5F1434EA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6" w:name="_Hlk55140255"/>
      <w:r w:rsidRPr="005D2B91">
        <w:rPr>
          <w:rFonts w:ascii="Times New Roman" w:hAnsi="Times New Roman" w:cs="Times New Roman"/>
          <w:szCs w:val="20"/>
        </w:rPr>
        <w:t>Ott, P.A., Elez, E., Hiret, S., Kim, D.W., Morosky, A., Saraf, S., Piperdi, B., and Mehnert, J.M. (2017b). Pembrolizumab in Patients With Extensive-Stage Small-Cell Lung Cancer: Results From the Phase Ib KEYNOTE-028 Study. Journal of Clinical Oncology Official Journal of the American Society of Clinical Oncology</w:t>
      </w:r>
      <w:r w:rsidRPr="005D2B91">
        <w:rPr>
          <w:rFonts w:ascii="Times New Roman" w:hAnsi="Times New Roman" w:cs="Times New Roman"/>
          <w:i/>
          <w:szCs w:val="20"/>
        </w:rPr>
        <w:t xml:space="preserve"> 35</w:t>
      </w:r>
      <w:r w:rsidRPr="005D2B91">
        <w:rPr>
          <w:rFonts w:ascii="Times New Roman" w:hAnsi="Times New Roman" w:cs="Times New Roman"/>
          <w:szCs w:val="20"/>
        </w:rPr>
        <w:t>, JCO2017725069.</w:t>
      </w:r>
    </w:p>
    <w:p w14:paraId="253EE999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7" w:name="_Hlk55140393"/>
      <w:bookmarkEnd w:id="6"/>
      <w:r w:rsidRPr="005D2B91">
        <w:rPr>
          <w:rFonts w:ascii="Times New Roman" w:hAnsi="Times New Roman" w:cs="Times New Roman"/>
          <w:szCs w:val="20"/>
        </w:rPr>
        <w:t>Ott, P.A., Piha-Paul, S.A., Munster, P., Pishvaian, M.J., Van Brummelen, E.M.J., Cohen, R.B., Gomez-Roca, C., Ejadi, S., Stein, M., and Chan, E. (2017c). Safety and antitumor activity of the anti-PD-1 antibody pembrolizumab in patients with recurrent carcinoma of the anal canal. Annals of Oncology</w:t>
      </w:r>
      <w:r w:rsidRPr="005D2B91">
        <w:rPr>
          <w:rFonts w:ascii="Times New Roman" w:hAnsi="Times New Roman" w:cs="Times New Roman"/>
          <w:i/>
          <w:szCs w:val="20"/>
        </w:rPr>
        <w:t xml:space="preserve"> 28</w:t>
      </w:r>
      <w:r w:rsidRPr="005D2B91">
        <w:rPr>
          <w:rFonts w:ascii="Times New Roman" w:hAnsi="Times New Roman" w:cs="Times New Roman"/>
          <w:szCs w:val="20"/>
        </w:rPr>
        <w:t>, 1036-1041.</w:t>
      </w:r>
    </w:p>
    <w:bookmarkEnd w:id="7"/>
    <w:p w14:paraId="79945E55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r w:rsidRPr="005D2B91">
        <w:rPr>
          <w:rFonts w:ascii="Times New Roman" w:hAnsi="Times New Roman" w:cs="Times New Roman"/>
          <w:szCs w:val="20"/>
        </w:rPr>
        <w:t>Piha-Paul, S., Oh, D., Ueno, M., Malka, D., Chung, H., Nagrial, A., Kelley, R., Ros, W., Italiano, A., Nakagawa, K.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(2020). Efficacy and safety of pembrolizumab for the treatment of advanced biliary cancer: Results from the KEYNOTE-158 and KEYNOTE-028 studies. International journal of cancer</w:t>
      </w:r>
      <w:r w:rsidRPr="005D2B91">
        <w:rPr>
          <w:rFonts w:ascii="Times New Roman" w:hAnsi="Times New Roman" w:cs="Times New Roman"/>
          <w:i/>
          <w:szCs w:val="20"/>
        </w:rPr>
        <w:t xml:space="preserve"> 147</w:t>
      </w:r>
      <w:r w:rsidRPr="005D2B91">
        <w:rPr>
          <w:rFonts w:ascii="Times New Roman" w:hAnsi="Times New Roman" w:cs="Times New Roman"/>
          <w:szCs w:val="20"/>
        </w:rPr>
        <w:t>, 2190-2198.</w:t>
      </w:r>
    </w:p>
    <w:p w14:paraId="4BF3D538" w14:textId="77777777" w:rsidR="005D2B91" w:rsidRPr="005D2B91" w:rsidRDefault="005D2B91" w:rsidP="005D2B91">
      <w:pPr>
        <w:widowControl w:val="0"/>
        <w:jc w:val="both"/>
        <w:rPr>
          <w:rFonts w:ascii="Times New Roman" w:eastAsia="DengXian" w:hAnsi="Times New Roman" w:cs="Times New Roman"/>
          <w:noProof/>
          <w:kern w:val="2"/>
          <w:sz w:val="20"/>
          <w:szCs w:val="20"/>
        </w:rPr>
      </w:pP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>Piha-Paul, S., Oh, D., Ueno, M., Malka, D., Chung, H., Nagrial, A., Kelley, R., Ros, W., Italiano, A., Nakagawa, K., et al. (2020). Efficacy and safety of pembrolizumab for the treatment of advanced biliary cancer: Results from the KEYNOTE-158 and KEYNOTE-028 studies. International journal of cancer 147, 2190-2198.</w:t>
      </w:r>
    </w:p>
    <w:p w14:paraId="6447A660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8" w:name="_Hlk55140019"/>
      <w:r w:rsidRPr="005D2B91">
        <w:rPr>
          <w:rFonts w:ascii="Times New Roman" w:hAnsi="Times New Roman" w:cs="Times New Roman"/>
          <w:szCs w:val="20"/>
        </w:rPr>
        <w:t>Ready, N., Farago, A., de Braud, F., Atmaca, A., Hellmann, M., Schneider, J., Spigel, D., Moreno, V., Chau, I., Hann, C.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(2019). Third-Line Nivolumab Monotherapy in Recurrent SCLC: CheckMate 032. Journal of thoracic oncology : official publication of the International Association for the Study of Lung Cancer</w:t>
      </w:r>
      <w:r w:rsidRPr="005D2B91">
        <w:rPr>
          <w:rFonts w:ascii="Times New Roman" w:hAnsi="Times New Roman" w:cs="Times New Roman"/>
          <w:i/>
          <w:szCs w:val="20"/>
        </w:rPr>
        <w:t xml:space="preserve"> 14</w:t>
      </w:r>
      <w:r w:rsidRPr="005D2B91">
        <w:rPr>
          <w:rFonts w:ascii="Times New Roman" w:hAnsi="Times New Roman" w:cs="Times New Roman"/>
          <w:szCs w:val="20"/>
        </w:rPr>
        <w:t>, 237-244.</w:t>
      </w:r>
    </w:p>
    <w:bookmarkEnd w:id="8"/>
    <w:p w14:paraId="2BC69355" w14:textId="77777777" w:rsidR="005D2B91" w:rsidRPr="005D2B91" w:rsidRDefault="005D2B91" w:rsidP="005D2B91">
      <w:pPr>
        <w:widowControl w:val="0"/>
        <w:jc w:val="both"/>
        <w:rPr>
          <w:rFonts w:ascii="Times New Roman" w:eastAsia="DengXian" w:hAnsi="Times New Roman" w:cs="Times New Roman"/>
          <w:noProof/>
          <w:kern w:val="2"/>
          <w:sz w:val="20"/>
          <w:szCs w:val="20"/>
        </w:rPr>
      </w:pP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>Sequist, L.V., Chiang, A., Gilbert, J., Gordon, M., and Gettinger, S. (2016). Clinical activity, safety and predictive biomarkers results from a phase Ia atezolizumab (atezo) trial in extensive-stage small cell lung cancer (ES-SCLC). Annals of Oncology 27.</w:t>
      </w:r>
    </w:p>
    <w:p w14:paraId="7C0EF147" w14:textId="77777777" w:rsidR="005D2B91" w:rsidRPr="005D2B91" w:rsidRDefault="005D2B91" w:rsidP="005D2B91">
      <w:pPr>
        <w:pStyle w:val="EndNoteBibliography"/>
        <w:rPr>
          <w:rFonts w:ascii="Times New Roman" w:hAnsi="Times New Roman" w:cs="Times New Roman"/>
          <w:szCs w:val="20"/>
        </w:rPr>
      </w:pPr>
      <w:bookmarkStart w:id="9" w:name="_Hlk55140201"/>
      <w:r w:rsidRPr="005D2B91">
        <w:rPr>
          <w:rFonts w:ascii="Times New Roman" w:hAnsi="Times New Roman" w:cs="Times New Roman"/>
          <w:szCs w:val="20"/>
        </w:rPr>
        <w:t>Sharma, P., Siefker-Radtke, A., de Braud, F., Basso, U., Calvo, E., Bono, P., Morse, M., Ascierto, P., Lopez-Martin, J., Brossart, P.</w:t>
      </w:r>
      <w:r w:rsidRPr="005D2B91">
        <w:rPr>
          <w:rFonts w:ascii="Times New Roman" w:hAnsi="Times New Roman" w:cs="Times New Roman"/>
          <w:i/>
          <w:szCs w:val="20"/>
        </w:rPr>
        <w:t>, et al.</w:t>
      </w:r>
      <w:r w:rsidRPr="005D2B91">
        <w:rPr>
          <w:rFonts w:ascii="Times New Roman" w:hAnsi="Times New Roman" w:cs="Times New Roman"/>
          <w:szCs w:val="20"/>
        </w:rPr>
        <w:t xml:space="preserve"> (2019). Nivolumab Alone and With Ipilimumab in Previously Treated Metastatic Urothelial Carcinoma: CheckMate 032 Nivolumab 1 mg/kg Plus Ipilimumab 3 mg/kg Expansion Cohort Results. Journal of clinical oncology : official journal of the American Society of Clinical Oncology</w:t>
      </w:r>
      <w:r w:rsidRPr="005D2B91">
        <w:rPr>
          <w:rFonts w:ascii="Times New Roman" w:hAnsi="Times New Roman" w:cs="Times New Roman"/>
          <w:i/>
          <w:szCs w:val="20"/>
        </w:rPr>
        <w:t xml:space="preserve"> 37</w:t>
      </w:r>
      <w:r w:rsidRPr="005D2B91">
        <w:rPr>
          <w:rFonts w:ascii="Times New Roman" w:hAnsi="Times New Roman" w:cs="Times New Roman"/>
          <w:szCs w:val="20"/>
        </w:rPr>
        <w:t>, 1608-1616.</w:t>
      </w:r>
    </w:p>
    <w:bookmarkEnd w:id="9"/>
    <w:p w14:paraId="644B22FB" w14:textId="77777777" w:rsidR="005D2B91" w:rsidRPr="005D4F0B" w:rsidRDefault="005D2B91" w:rsidP="005D2B91">
      <w:pPr>
        <w:pStyle w:val="EndNoteBibliography"/>
        <w:rPr>
          <w:rFonts w:ascii="Times New Roman" w:hAnsi="Times New Roman" w:cs="Times New Roman"/>
          <w:szCs w:val="20"/>
          <w:lang w:val="fr-CH"/>
        </w:rPr>
      </w:pPr>
      <w:r w:rsidRPr="005D2B91">
        <w:rPr>
          <w:rFonts w:ascii="Times New Roman" w:hAnsi="Times New Roman" w:cs="Times New Roman"/>
          <w:szCs w:val="20"/>
        </w:rPr>
        <w:t xml:space="preserve">Strosberg, J.R., Mizuno, N., Doi, T., Grande, E., and Hadoux, J. (2020). Efficacy and Safety of Pembrolizumab in Previously Treated Advanced Neuroendocrine Tumors: Results From the Phase 2 KEYNOTE-158 Study. </w:t>
      </w:r>
      <w:r w:rsidRPr="005D4F0B">
        <w:rPr>
          <w:rFonts w:ascii="Times New Roman" w:hAnsi="Times New Roman" w:cs="Times New Roman"/>
          <w:szCs w:val="20"/>
          <w:lang w:val="fr-CH"/>
        </w:rPr>
        <w:t>Clinical Cancer Research, clincanres.3014.2019.</w:t>
      </w:r>
    </w:p>
    <w:p w14:paraId="3189F07E" w14:textId="77777777" w:rsidR="005D2B91" w:rsidRPr="005D2B91" w:rsidRDefault="005D2B91" w:rsidP="005D2B91">
      <w:pPr>
        <w:widowControl w:val="0"/>
        <w:jc w:val="both"/>
        <w:rPr>
          <w:rFonts w:ascii="Times New Roman" w:eastAsia="DengXian" w:hAnsi="Times New Roman" w:cs="Times New Roman"/>
          <w:noProof/>
          <w:kern w:val="2"/>
          <w:sz w:val="20"/>
          <w:szCs w:val="20"/>
        </w:rPr>
      </w:pPr>
      <w:r w:rsidRPr="005D4F0B">
        <w:rPr>
          <w:rFonts w:ascii="Times New Roman" w:eastAsia="DengXian" w:hAnsi="Times New Roman" w:cs="Times New Roman"/>
          <w:noProof/>
          <w:kern w:val="2"/>
          <w:sz w:val="20"/>
          <w:szCs w:val="20"/>
          <w:lang w:val="fr-CH"/>
        </w:rPr>
        <w:t>Wang, Z., Zhao, J., Ma, Z., Cui, J., Shu, Y., Liu, Z., Cheng, Y., Leaw, S., Wu, Y., Ma, Y.</w:t>
      </w:r>
      <w:r w:rsidRPr="005D4F0B">
        <w:rPr>
          <w:rFonts w:ascii="Times New Roman" w:eastAsia="DengXian" w:hAnsi="Times New Roman" w:cs="Times New Roman"/>
          <w:i/>
          <w:noProof/>
          <w:kern w:val="2"/>
          <w:sz w:val="20"/>
          <w:szCs w:val="20"/>
          <w:lang w:val="fr-CH"/>
        </w:rPr>
        <w:t>, et al.</w:t>
      </w:r>
      <w:r w:rsidRPr="005D4F0B">
        <w:rPr>
          <w:rFonts w:ascii="Times New Roman" w:eastAsia="DengXian" w:hAnsi="Times New Roman" w:cs="Times New Roman"/>
          <w:noProof/>
          <w:kern w:val="2"/>
          <w:sz w:val="20"/>
          <w:szCs w:val="20"/>
          <w:lang w:val="fr-CH"/>
        </w:rPr>
        <w:t xml:space="preserve"> </w:t>
      </w: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 xml:space="preserve">(2020b). A Phase 2 Study of Tislelizumab in Combination With Platinum-Based </w:t>
      </w: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lastRenderedPageBreak/>
        <w:t>Chemotherapy as First-line Treatment for Advanced Lung Cancer in Chinese Patients. Lung cancer (Amsterdam, Netherlands)</w:t>
      </w:r>
      <w:r w:rsidRPr="005D2B91">
        <w:rPr>
          <w:rFonts w:ascii="Times New Roman" w:eastAsia="DengXian" w:hAnsi="Times New Roman" w:cs="Times New Roman"/>
          <w:i/>
          <w:noProof/>
          <w:kern w:val="2"/>
          <w:sz w:val="20"/>
          <w:szCs w:val="20"/>
        </w:rPr>
        <w:t xml:space="preserve"> 147</w:t>
      </w:r>
      <w:r w:rsidRPr="005D2B91">
        <w:rPr>
          <w:rFonts w:ascii="Times New Roman" w:eastAsia="DengXian" w:hAnsi="Times New Roman" w:cs="Times New Roman"/>
          <w:noProof/>
          <w:kern w:val="2"/>
          <w:sz w:val="20"/>
          <w:szCs w:val="20"/>
        </w:rPr>
        <w:t>, 259-268.</w:t>
      </w:r>
    </w:p>
    <w:sectPr w:rsidR="005D2B91" w:rsidRPr="005D2B91" w:rsidSect="005D4F0B">
      <w:pgSz w:w="16838" w:h="11906" w:orient="landscape"/>
      <w:pgMar w:top="1800" w:right="1440" w:bottom="1800" w:left="1440" w:header="851" w:footer="992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19DEA5" w14:textId="77777777" w:rsidR="00777A85" w:rsidRDefault="00777A85" w:rsidP="00B872DF">
      <w:r>
        <w:separator/>
      </w:r>
    </w:p>
  </w:endnote>
  <w:endnote w:type="continuationSeparator" w:id="0">
    <w:p w14:paraId="1E7A2621" w14:textId="77777777" w:rsidR="00777A85" w:rsidRDefault="00777A85" w:rsidP="00B87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77E096" w14:textId="77777777" w:rsidR="00777A85" w:rsidRDefault="00777A85" w:rsidP="00B872DF">
      <w:r>
        <w:separator/>
      </w:r>
    </w:p>
  </w:footnote>
  <w:footnote w:type="continuationSeparator" w:id="0">
    <w:p w14:paraId="19C42225" w14:textId="77777777" w:rsidR="00777A85" w:rsidRDefault="00777A85" w:rsidP="00B872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2DF"/>
    <w:rsid w:val="00564444"/>
    <w:rsid w:val="005C5CE0"/>
    <w:rsid w:val="005D2B91"/>
    <w:rsid w:val="005D4F0B"/>
    <w:rsid w:val="006F366C"/>
    <w:rsid w:val="007560F1"/>
    <w:rsid w:val="00777A85"/>
    <w:rsid w:val="00932DCE"/>
    <w:rsid w:val="00B8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25497FBA"/>
  <w15:chartTrackingRefBased/>
  <w15:docId w15:val="{79BE693C-BFDA-47F2-A4D1-30086C20D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imSun" w:eastAsia="SimSun" w:hAnsi="SimSun" w:cs="SimSu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font518229">
    <w:name w:val="font518229"/>
    <w:basedOn w:val="Normal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font618229">
    <w:name w:val="font618229"/>
    <w:basedOn w:val="Normal"/>
    <w:pPr>
      <w:spacing w:before="100" w:beforeAutospacing="1" w:after="100" w:afterAutospacing="1"/>
    </w:pPr>
    <w:rPr>
      <w:rFonts w:ascii="DengXian" w:eastAsia="DengXian" w:hAnsi="DengXian"/>
      <w:sz w:val="18"/>
      <w:szCs w:val="18"/>
    </w:rPr>
  </w:style>
  <w:style w:type="paragraph" w:customStyle="1" w:styleId="font718229">
    <w:name w:val="font718229"/>
    <w:basedOn w:val="Normal"/>
    <w:pPr>
      <w:spacing w:before="100" w:beforeAutospacing="1" w:after="100" w:afterAutospacing="1"/>
    </w:pPr>
    <w:rPr>
      <w:rFonts w:ascii="DengXian" w:eastAsia="DengXian" w:hAnsi="DengXian"/>
      <w:color w:val="000000"/>
      <w:sz w:val="20"/>
      <w:szCs w:val="20"/>
    </w:rPr>
  </w:style>
  <w:style w:type="paragraph" w:customStyle="1" w:styleId="font818229">
    <w:name w:val="font818229"/>
    <w:basedOn w:val="Normal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font918229">
    <w:name w:val="font918229"/>
    <w:basedOn w:val="Normal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font1018229">
    <w:name w:val="font1018229"/>
    <w:basedOn w:val="Normal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font1118229">
    <w:name w:val="font1118229"/>
    <w:basedOn w:val="Normal"/>
    <w:pPr>
      <w:spacing w:before="100" w:beforeAutospacing="1" w:after="100" w:afterAutospacing="1"/>
    </w:pPr>
    <w:rPr>
      <w:rFonts w:ascii="DengXian" w:eastAsia="DengXian" w:hAnsi="DengXian"/>
      <w:b/>
      <w:bCs/>
      <w:color w:val="000000"/>
      <w:sz w:val="20"/>
      <w:szCs w:val="20"/>
    </w:rPr>
  </w:style>
  <w:style w:type="paragraph" w:customStyle="1" w:styleId="xl1518229">
    <w:name w:val="xl1518229"/>
    <w:basedOn w:val="Normal"/>
    <w:pPr>
      <w:spacing w:before="100" w:beforeAutospacing="1" w:after="100" w:afterAutospacing="1"/>
      <w:textAlignment w:val="center"/>
    </w:pPr>
    <w:rPr>
      <w:rFonts w:ascii="DengXian" w:eastAsia="DengXian" w:hAnsi="DengXian"/>
      <w:color w:val="000000"/>
      <w:sz w:val="22"/>
      <w:szCs w:val="22"/>
    </w:rPr>
  </w:style>
  <w:style w:type="paragraph" w:customStyle="1" w:styleId="xl6318229">
    <w:name w:val="xl6318229"/>
    <w:basedOn w:val="Normal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6418229">
    <w:name w:val="xl6418229"/>
    <w:basedOn w:val="Normal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6518229">
    <w:name w:val="xl6518229"/>
    <w:basedOn w:val="Normal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6618229">
    <w:name w:val="xl6618229"/>
    <w:basedOn w:val="Normal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6718229">
    <w:name w:val="xl6718229"/>
    <w:basedOn w:val="Normal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6818229">
    <w:name w:val="xl6818229"/>
    <w:basedOn w:val="Normal"/>
    <w:pPr>
      <w:spacing w:before="100" w:beforeAutospacing="1" w:after="100" w:afterAutospacing="1"/>
      <w:textAlignment w:val="bottom"/>
    </w:pPr>
    <w:rPr>
      <w:rFonts w:ascii="DengXian" w:eastAsia="DengXian" w:hAnsi="DengXian"/>
      <w:color w:val="000000"/>
      <w:sz w:val="22"/>
      <w:szCs w:val="22"/>
    </w:rPr>
  </w:style>
  <w:style w:type="paragraph" w:customStyle="1" w:styleId="xl6918229">
    <w:name w:val="xl69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018229">
    <w:name w:val="xl70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118229">
    <w:name w:val="xl71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218229">
    <w:name w:val="xl72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318229">
    <w:name w:val="xl7318229"/>
    <w:basedOn w:val="Normal"/>
    <w:pPr>
      <w:spacing w:before="100" w:beforeAutospacing="1" w:after="100" w:afterAutospacing="1"/>
      <w:jc w:val="center"/>
      <w:textAlignment w:val="center"/>
    </w:pPr>
    <w:rPr>
      <w:rFonts w:ascii="DengXian" w:eastAsia="DengXian" w:hAnsi="DengXian"/>
      <w:color w:val="000000"/>
      <w:sz w:val="22"/>
      <w:szCs w:val="22"/>
    </w:rPr>
  </w:style>
  <w:style w:type="paragraph" w:customStyle="1" w:styleId="xl7418229">
    <w:name w:val="xl7418229"/>
    <w:basedOn w:val="Normal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518229">
    <w:name w:val="xl75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618229">
    <w:name w:val="xl76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718229">
    <w:name w:val="xl77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818229">
    <w:name w:val="xl78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7918229">
    <w:name w:val="xl79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018229">
    <w:name w:val="xl8018229"/>
    <w:basedOn w:val="Normal"/>
    <w:pPr>
      <w:spacing w:before="100" w:beforeAutospacing="1" w:after="100" w:afterAutospacing="1"/>
      <w:textAlignment w:val="bottom"/>
    </w:pPr>
    <w:rPr>
      <w:rFonts w:ascii="DengXian" w:eastAsia="DengXian" w:hAnsi="DengXian"/>
      <w:color w:val="000000"/>
      <w:sz w:val="20"/>
      <w:szCs w:val="20"/>
    </w:rPr>
  </w:style>
  <w:style w:type="paragraph" w:customStyle="1" w:styleId="xl8118229">
    <w:name w:val="xl8118229"/>
    <w:basedOn w:val="Normal"/>
    <w:pPr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218229">
    <w:name w:val="xl82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318229">
    <w:name w:val="xl8318229"/>
    <w:basedOn w:val="Normal"/>
    <w:pPr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418229">
    <w:name w:val="xl8418229"/>
    <w:basedOn w:val="Normal"/>
    <w:pPr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518229">
    <w:name w:val="xl85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618229">
    <w:name w:val="xl8618229"/>
    <w:basedOn w:val="Normal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xl8718229">
    <w:name w:val="xl8718229"/>
    <w:basedOn w:val="Normal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8818229">
    <w:name w:val="xl8818229"/>
    <w:basedOn w:val="Normal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xl8918229">
    <w:name w:val="xl8918229"/>
    <w:basedOn w:val="Normal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018229">
    <w:name w:val="xl9018229"/>
    <w:basedOn w:val="Normal"/>
    <w:pPr>
      <w:pBdr>
        <w:bottom w:val="single" w:sz="4" w:space="0" w:color="auto"/>
      </w:pBd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118229">
    <w:name w:val="xl9118229"/>
    <w:basedOn w:val="Normal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218229">
    <w:name w:val="xl9218229"/>
    <w:basedOn w:val="Normal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318229">
    <w:name w:val="xl9318229"/>
    <w:basedOn w:val="Normal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418229">
    <w:name w:val="xl9418229"/>
    <w:basedOn w:val="Normal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xl9518229">
    <w:name w:val="xl9518229"/>
    <w:basedOn w:val="Normal"/>
    <w:pPr>
      <w:spacing w:before="100" w:beforeAutospacing="1" w:after="100" w:afterAutospacing="1"/>
      <w:jc w:val="center"/>
      <w:textAlignment w:val="bottom"/>
    </w:pPr>
    <w:rPr>
      <w:rFonts w:ascii="DengXian" w:eastAsia="DengXian" w:hAnsi="DengXian"/>
      <w:color w:val="000000"/>
      <w:sz w:val="22"/>
      <w:szCs w:val="22"/>
    </w:rPr>
  </w:style>
  <w:style w:type="paragraph" w:customStyle="1" w:styleId="xl9618229">
    <w:name w:val="xl9618229"/>
    <w:basedOn w:val="Normal"/>
    <w:pPr>
      <w:spacing w:before="100" w:beforeAutospacing="1" w:after="100" w:afterAutospacing="1"/>
      <w:jc w:val="center"/>
      <w:textAlignment w:val="bottom"/>
    </w:pPr>
    <w:rPr>
      <w:rFonts w:ascii="DengXian" w:eastAsia="DengXian" w:hAnsi="DengXian"/>
      <w:color w:val="000000"/>
      <w:sz w:val="22"/>
      <w:szCs w:val="22"/>
    </w:rPr>
  </w:style>
  <w:style w:type="paragraph" w:customStyle="1" w:styleId="xl9718229">
    <w:name w:val="xl9718229"/>
    <w:basedOn w:val="Normal"/>
    <w:pPr>
      <w:spacing w:before="100" w:beforeAutospacing="1" w:after="100" w:afterAutospacing="1"/>
      <w:textAlignment w:val="bottom"/>
    </w:pPr>
    <w:rPr>
      <w:rFonts w:ascii="DengXian" w:eastAsia="DengXian" w:hAnsi="DengXian"/>
      <w:color w:val="000000"/>
      <w:sz w:val="22"/>
      <w:szCs w:val="22"/>
    </w:rPr>
  </w:style>
  <w:style w:type="paragraph" w:customStyle="1" w:styleId="xl9818229">
    <w:name w:val="xl9818229"/>
    <w:basedOn w:val="Normal"/>
    <w:pPr>
      <w:spacing w:before="100" w:beforeAutospacing="1" w:after="100" w:afterAutospacing="1"/>
      <w:textAlignment w:val="bottom"/>
    </w:pPr>
    <w:rPr>
      <w:rFonts w:ascii="DengXian" w:eastAsia="DengXian" w:hAnsi="DengXian"/>
      <w:color w:val="000000"/>
      <w:sz w:val="22"/>
      <w:szCs w:val="22"/>
    </w:rPr>
  </w:style>
  <w:style w:type="paragraph" w:customStyle="1" w:styleId="xl9918229">
    <w:name w:val="xl9918229"/>
    <w:basedOn w:val="Normal"/>
    <w:pPr>
      <w:spacing w:before="100" w:beforeAutospacing="1" w:after="100" w:afterAutospacing="1"/>
      <w:textAlignment w:val="top"/>
    </w:pPr>
    <w:rPr>
      <w:rFonts w:ascii="DengXian" w:eastAsia="DengXian" w:hAnsi="DengXian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B872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B872DF"/>
    <w:rPr>
      <w:rFonts w:ascii="SimSun" w:eastAsia="SimSun" w:hAnsi="SimSun" w:cs="SimSun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872D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B872DF"/>
    <w:rPr>
      <w:rFonts w:ascii="SimSun" w:eastAsia="SimSun" w:hAnsi="SimSun" w:cs="SimSun"/>
      <w:sz w:val="18"/>
      <w:szCs w:val="18"/>
    </w:rPr>
  </w:style>
  <w:style w:type="paragraph" w:customStyle="1" w:styleId="EndNoteBibliography">
    <w:name w:val="EndNote Bibliography"/>
    <w:basedOn w:val="Normal"/>
    <w:link w:val="EndNoteBibliography0"/>
    <w:rsid w:val="005D2B91"/>
    <w:pPr>
      <w:widowControl w:val="0"/>
      <w:jc w:val="both"/>
    </w:pPr>
    <w:rPr>
      <w:rFonts w:ascii="DengXian" w:eastAsia="DengXian" w:hAnsi="DengXian" w:cstheme="minorBidi"/>
      <w:noProof/>
      <w:kern w:val="2"/>
      <w:sz w:val="20"/>
      <w:szCs w:val="22"/>
    </w:rPr>
  </w:style>
  <w:style w:type="character" w:customStyle="1" w:styleId="EndNoteBibliography0">
    <w:name w:val="EndNote Bibliography 字符"/>
    <w:basedOn w:val="DefaultParagraphFont"/>
    <w:link w:val="EndNoteBibliography"/>
    <w:rsid w:val="005D2B91"/>
    <w:rPr>
      <w:rFonts w:ascii="DengXian" w:eastAsia="DengXian" w:hAnsi="DengXian" w:cstheme="minorBidi"/>
      <w:noProof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2385</Words>
  <Characters>13595</Characters>
  <Application>Microsoft Office Word</Application>
  <DocSecurity>0</DocSecurity>
  <Lines>113</Lines>
  <Paragraphs>31</Paragraphs>
  <ScaleCrop>false</ScaleCrop>
  <Company/>
  <LinksUpToDate>false</LinksUpToDate>
  <CharactersWithSpaces>15949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wanting hou</dc:creator>
  <cp:keywords/>
  <dc:description/>
  <cp:lastModifiedBy>Sean Thompson</cp:lastModifiedBy>
  <cp:revision>2</cp:revision>
  <dcterms:created xsi:type="dcterms:W3CDTF">2021-03-17T08:18:00Z</dcterms:created>
  <dcterms:modified xsi:type="dcterms:W3CDTF">2021-03-17T08:18:00Z</dcterms:modified>
</cp:coreProperties>
</file>