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1609" w14:textId="403D634A" w:rsidR="00FA7FB9" w:rsidRPr="00FA7FB9" w:rsidRDefault="00FA7FB9" w:rsidP="00FA7FB9">
      <w:pPr>
        <w:rPr>
          <w:rFonts w:eastAsiaTheme="minorEastAsia"/>
          <w:sz w:val="32"/>
          <w:szCs w:val="32"/>
          <w:lang w:val="en-GB" w:eastAsia="zh-CN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en-GB" w:eastAsia="zh-CN"/>
        </w:rPr>
        <w:t>Supplementary Information</w:t>
      </w:r>
      <w:r w:rsidRPr="00FA7FB9">
        <w:rPr>
          <w:rFonts w:ascii="Times New Roman" w:eastAsiaTheme="minorEastAsia" w:hAnsi="Times New Roman" w:cs="Times New Roman"/>
          <w:b/>
          <w:sz w:val="32"/>
          <w:szCs w:val="32"/>
          <w:lang w:val="en-GB" w:eastAsia="zh-CN"/>
        </w:rPr>
        <w:t>:</w:t>
      </w:r>
    </w:p>
    <w:p w14:paraId="5F513CCC" w14:textId="77777777" w:rsidR="00FA7FB9" w:rsidRPr="00FA7FB9" w:rsidRDefault="00FA7FB9" w:rsidP="00FA7F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CN"/>
        </w:rPr>
      </w:pPr>
      <w:r w:rsidRPr="00FA7FB9">
        <w:rPr>
          <w:rFonts w:ascii="Times New Roman" w:eastAsiaTheme="minorEastAsia" w:hAnsi="Times New Roman" w:cs="Times New Roman"/>
          <w:b/>
          <w:sz w:val="32"/>
          <w:szCs w:val="32"/>
          <w:lang w:val="en-GB" w:eastAsia="zh-CN"/>
        </w:rPr>
        <w:t xml:space="preserve">Robust </w:t>
      </w:r>
      <w:r w:rsidRPr="00FA7FB9"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CN"/>
        </w:rPr>
        <w:t>performance of potentially functional SNPs in machine learning models for the prediction of atorvastatin-induced myalgia</w:t>
      </w:r>
    </w:p>
    <w:p w14:paraId="1F8538BA" w14:textId="77777777" w:rsidR="00FA7FB9" w:rsidRDefault="00FA7FB9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629465C0" w14:textId="77777777" w:rsidR="00FA7FB9" w:rsidRDefault="00FA7FB9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7AB09754" w14:textId="38C28574" w:rsidR="00FA7FB9" w:rsidRDefault="00FA7FB9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010ECE4F" w14:textId="77777777" w:rsidR="00B62DBC" w:rsidRDefault="00B62DBC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2BF5CBBA" w14:textId="7E5DEEA8" w:rsidR="00B62DBC" w:rsidRDefault="00B62DBC" w:rsidP="00B62DBC">
      <w:pPr>
        <w:pStyle w:val="Paragraph"/>
        <w:ind w:firstLine="0"/>
      </w:pPr>
      <w:r w:rsidRPr="00767835">
        <w:t>This file includes:</w:t>
      </w:r>
    </w:p>
    <w:p w14:paraId="7499AC26" w14:textId="77777777" w:rsidR="00E13F7E" w:rsidRPr="00767835" w:rsidRDefault="00E13F7E" w:rsidP="00B62DBC">
      <w:pPr>
        <w:pStyle w:val="Paragraph"/>
        <w:ind w:firstLine="0"/>
      </w:pPr>
    </w:p>
    <w:p w14:paraId="0F955D10" w14:textId="4A6531C9" w:rsidR="00B62DBC" w:rsidRPr="00767835" w:rsidRDefault="00B62DBC" w:rsidP="00B62DBC">
      <w:pPr>
        <w:pStyle w:val="Paragraph"/>
        <w:ind w:firstLine="0"/>
      </w:pPr>
      <w:r>
        <w:rPr>
          <w:b/>
        </w:rPr>
        <w:t>Supplementary Figure 1</w:t>
      </w:r>
      <w:r w:rsidRPr="00767835">
        <w:rPr>
          <w:b/>
        </w:rPr>
        <w:t>.</w:t>
      </w:r>
      <w:r w:rsidRPr="00767835">
        <w:t xml:space="preserve"> </w:t>
      </w:r>
      <w:r>
        <w:t>Principal components analysis</w:t>
      </w:r>
      <w:r w:rsidRPr="00767835">
        <w:t xml:space="preserve">. </w:t>
      </w:r>
    </w:p>
    <w:p w14:paraId="087DFBCB" w14:textId="77777777" w:rsidR="00E13F7E" w:rsidRDefault="00E13F7E" w:rsidP="00B62DBC">
      <w:pPr>
        <w:pStyle w:val="Paragraph"/>
        <w:ind w:firstLine="0"/>
        <w:rPr>
          <w:b/>
        </w:rPr>
      </w:pPr>
    </w:p>
    <w:p w14:paraId="701FF505" w14:textId="4DD838C1" w:rsidR="00B62DBC" w:rsidRPr="00767835" w:rsidRDefault="00B62DBC" w:rsidP="00B62DBC">
      <w:pPr>
        <w:pStyle w:val="Paragraph"/>
        <w:ind w:firstLine="0"/>
      </w:pPr>
      <w:r>
        <w:rPr>
          <w:b/>
        </w:rPr>
        <w:t>Supplementary Figure 2</w:t>
      </w:r>
      <w:r w:rsidRPr="00767835">
        <w:rPr>
          <w:b/>
        </w:rPr>
        <w:t>.</w:t>
      </w:r>
      <w:r w:rsidRPr="00767835">
        <w:t xml:space="preserve"> </w:t>
      </w:r>
      <w:r w:rsidR="00127F3F" w:rsidRPr="00127F3F">
        <w:rPr>
          <w:lang w:val="en-SG"/>
        </w:rPr>
        <w:t>Distribution of SNPs that passed quality control from whole genome sequencing</w:t>
      </w:r>
      <w:r w:rsidR="00F14E52">
        <w:rPr>
          <w:lang w:val="en-SG"/>
        </w:rPr>
        <w:t>.</w:t>
      </w:r>
    </w:p>
    <w:p w14:paraId="4FB368AB" w14:textId="77777777" w:rsidR="00E13F7E" w:rsidRDefault="00E13F7E" w:rsidP="00B62DBC">
      <w:pPr>
        <w:pStyle w:val="Paragraph"/>
        <w:ind w:firstLine="0"/>
        <w:rPr>
          <w:b/>
        </w:rPr>
      </w:pPr>
    </w:p>
    <w:p w14:paraId="3A352B1C" w14:textId="77777777" w:rsidR="00FA7FB9" w:rsidRDefault="00B62DBC" w:rsidP="00F14E52">
      <w:pPr>
        <w:pStyle w:val="Paragraph"/>
        <w:ind w:firstLine="0"/>
      </w:pPr>
      <w:r>
        <w:rPr>
          <w:b/>
        </w:rPr>
        <w:t xml:space="preserve">Supplementary Table </w:t>
      </w:r>
      <w:r w:rsidRPr="00767835">
        <w:rPr>
          <w:b/>
        </w:rPr>
        <w:t>1.</w:t>
      </w:r>
      <w:r w:rsidRPr="00767835">
        <w:t xml:space="preserve"> </w:t>
      </w:r>
      <w:r w:rsidR="004A5DD6" w:rsidRPr="004A5DD6">
        <w:t xml:space="preserve">List of genes from the drug databases </w:t>
      </w:r>
      <w:proofErr w:type="spellStart"/>
      <w:r w:rsidR="004A5DD6" w:rsidRPr="004A5DD6">
        <w:t>Drugbank</w:t>
      </w:r>
      <w:proofErr w:type="spellEnd"/>
      <w:r w:rsidR="004A5DD6" w:rsidRPr="004A5DD6">
        <w:t xml:space="preserve">, CHEMBL, CTD and </w:t>
      </w:r>
      <w:proofErr w:type="spellStart"/>
      <w:r w:rsidR="004A5DD6" w:rsidRPr="004A5DD6">
        <w:t>PharmGKB</w:t>
      </w:r>
      <w:proofErr w:type="spellEnd"/>
      <w:r w:rsidR="004A5DD6">
        <w:t>.</w:t>
      </w:r>
    </w:p>
    <w:p w14:paraId="45D49F49" w14:textId="77777777" w:rsidR="004A5DD6" w:rsidRDefault="004A5DD6" w:rsidP="00F14E52">
      <w:pPr>
        <w:pStyle w:val="Paragraph"/>
        <w:ind w:firstLine="0"/>
      </w:pPr>
    </w:p>
    <w:p w14:paraId="76A95C90" w14:textId="77777777" w:rsidR="00440300" w:rsidRDefault="004A5DD6" w:rsidP="004A5DD6">
      <w:pPr>
        <w:pStyle w:val="Paragraph"/>
        <w:ind w:firstLine="0"/>
      </w:pPr>
      <w:r>
        <w:rPr>
          <w:b/>
        </w:rPr>
        <w:t>Supplementary Table 2</w:t>
      </w:r>
      <w:r w:rsidRPr="00767835">
        <w:rPr>
          <w:b/>
        </w:rPr>
        <w:t>.</w:t>
      </w:r>
      <w:r w:rsidRPr="00767835">
        <w:t xml:space="preserve"> </w:t>
      </w:r>
      <w:r w:rsidRPr="004A5DD6">
        <w:t>List of genes reported to be associated with atorvastatin-induced myalgia from previous studies in the literature</w:t>
      </w:r>
    </w:p>
    <w:p w14:paraId="6D93DC0B" w14:textId="77777777" w:rsidR="00440300" w:rsidRDefault="00440300" w:rsidP="004A5DD6">
      <w:pPr>
        <w:pStyle w:val="Paragraph"/>
        <w:ind w:firstLine="0"/>
      </w:pPr>
    </w:p>
    <w:p w14:paraId="32AA1728" w14:textId="2F20ADED" w:rsidR="00440300" w:rsidRDefault="00440300" w:rsidP="00440300">
      <w:pPr>
        <w:pStyle w:val="Paragraph"/>
        <w:ind w:firstLine="0"/>
      </w:pPr>
      <w:r>
        <w:rPr>
          <w:b/>
        </w:rPr>
        <w:t>Supplementary Table 3</w:t>
      </w:r>
      <w:r w:rsidRPr="00767835">
        <w:rPr>
          <w:b/>
        </w:rPr>
        <w:t>.</w:t>
      </w:r>
      <w:r w:rsidRPr="00767835">
        <w:t xml:space="preserve"> </w:t>
      </w:r>
      <w:r>
        <w:t xml:space="preserve">Predictive performance of baseline </w:t>
      </w:r>
      <w:r w:rsidRPr="00440300">
        <w:t xml:space="preserve">machine learning models using </w:t>
      </w:r>
      <w:r>
        <w:t xml:space="preserve">either </w:t>
      </w:r>
      <w:r w:rsidRPr="00440300">
        <w:t>all clinical</w:t>
      </w:r>
      <w:r w:rsidR="00AB46B6">
        <w:t xml:space="preserve">/demographic </w:t>
      </w:r>
      <w:r w:rsidRPr="00440300">
        <w:t xml:space="preserve">characteristics </w:t>
      </w:r>
      <w:r>
        <w:t xml:space="preserve">or </w:t>
      </w:r>
      <w:r w:rsidRPr="00440300">
        <w:t>gender</w:t>
      </w:r>
    </w:p>
    <w:p w14:paraId="424725A9" w14:textId="7E638981" w:rsidR="00440300" w:rsidRDefault="00440300" w:rsidP="00440300">
      <w:pPr>
        <w:pStyle w:val="Paragraph"/>
        <w:ind w:firstLine="0"/>
      </w:pPr>
    </w:p>
    <w:p w14:paraId="6946D48F" w14:textId="4EDA16EA" w:rsidR="00440300" w:rsidRPr="00F14E52" w:rsidRDefault="00110784" w:rsidP="004A5DD6">
      <w:pPr>
        <w:pStyle w:val="Paragraph"/>
        <w:ind w:firstLine="0"/>
        <w:sectPr w:rsidR="00440300" w:rsidRPr="00F14E5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E3685">
        <w:rPr>
          <w:b/>
          <w:bCs/>
        </w:rPr>
        <w:t>Supplementary Table 4.</w:t>
      </w:r>
      <w:r>
        <w:t xml:space="preserve"> Minor allele frequencies of the SLCO1B1 variant rs4149056 in Singaporean Chinese, Malay and Indian compared to European ethnicities</w:t>
      </w:r>
    </w:p>
    <w:p w14:paraId="57BC77B7" w14:textId="74A179B4" w:rsidR="00FA7FB9" w:rsidRDefault="00FA7FB9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539BF435" w14:textId="77777777" w:rsidR="00FA7FB9" w:rsidRDefault="00FA7FB9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b/>
          <w:bCs/>
          <w:noProof/>
          <w:color w:val="000000" w:themeColor="text1"/>
          <w:kern w:val="24"/>
          <w:lang w:eastAsia="zh-CN"/>
        </w:rPr>
        <w:drawing>
          <wp:inline distT="0" distB="0" distL="0" distR="0" wp14:anchorId="0057BE8A" wp14:editId="57BD96DC">
            <wp:extent cx="8863330" cy="4578985"/>
            <wp:effectExtent l="0" t="0" r="0" b="0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 1.t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/>
                    <a:stretch/>
                  </pic:blipFill>
                  <pic:spPr bwMode="auto">
                    <a:xfrm>
                      <a:off x="0" y="0"/>
                      <a:ext cx="8863330" cy="457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48568" w14:textId="77777777" w:rsidR="00FA7FB9" w:rsidRDefault="00FA7FB9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6DCFD12B" w14:textId="2137594C" w:rsidR="00FA7FB9" w:rsidRPr="00484D58" w:rsidRDefault="00FA7FB9" w:rsidP="00E3057E">
      <w:pPr>
        <w:pStyle w:val="NormalWeb"/>
        <w:spacing w:before="0" w:beforeAutospacing="0" w:after="0" w:afterAutospacing="0"/>
        <w:sectPr w:rsidR="00FA7FB9" w:rsidRPr="00484D58" w:rsidSect="00FA7FB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484D58">
        <w:rPr>
          <w:rFonts w:eastAsia="+mn-ea"/>
          <w:b/>
          <w:bCs/>
          <w:color w:val="000000"/>
          <w:kern w:val="24"/>
        </w:rPr>
        <w:t>Supplementary Figure 1</w:t>
      </w:r>
      <w:r w:rsidRPr="00484D58">
        <w:rPr>
          <w:rFonts w:eastAsia="+mn-ea"/>
          <w:color w:val="000000"/>
          <w:kern w:val="24"/>
        </w:rPr>
        <w:t xml:space="preserve">. </w:t>
      </w:r>
      <w:r w:rsidR="00B62DBC" w:rsidRPr="00484D58">
        <w:rPr>
          <w:rFonts w:eastAsia="+mn-ea"/>
          <w:b/>
          <w:bCs/>
          <w:color w:val="000000"/>
          <w:kern w:val="24"/>
        </w:rPr>
        <w:t>Principal components analysis</w:t>
      </w:r>
      <w:r w:rsidR="00B62DBC" w:rsidRPr="00484D58">
        <w:rPr>
          <w:rFonts w:eastAsia="+mn-ea"/>
          <w:color w:val="000000"/>
          <w:kern w:val="24"/>
        </w:rPr>
        <w:t xml:space="preserve">. </w:t>
      </w:r>
      <w:r w:rsidRPr="00484D58">
        <w:rPr>
          <w:rFonts w:eastAsia="+mn-ea"/>
          <w:color w:val="000000"/>
          <w:kern w:val="24"/>
        </w:rPr>
        <w:t xml:space="preserve">(A) </w:t>
      </w:r>
      <w:r w:rsidRPr="00484D58">
        <w:rPr>
          <w:rFonts w:eastAsia="+mn-ea"/>
          <w:color w:val="000000"/>
          <w:kern w:val="24"/>
          <w:lang w:val="en-US"/>
        </w:rPr>
        <w:t>Plot of the first two principal components of variation based on combined 1000 Genomes and atorvastatin dataset (B) Plot of the first two principal components of variation based on</w:t>
      </w:r>
      <w:r w:rsidR="00B62DBC" w:rsidRPr="00484D58">
        <w:rPr>
          <w:rFonts w:eastAsia="+mn-ea"/>
          <w:color w:val="000000"/>
          <w:kern w:val="24"/>
          <w:lang w:val="en-US"/>
        </w:rPr>
        <w:t>ly on</w:t>
      </w:r>
      <w:r w:rsidRPr="00484D58">
        <w:rPr>
          <w:rFonts w:eastAsia="+mn-ea"/>
          <w:color w:val="000000"/>
          <w:kern w:val="24"/>
          <w:lang w:val="en-US"/>
        </w:rPr>
        <w:t xml:space="preserve"> the atorvastatin datase</w:t>
      </w:r>
      <w:r w:rsidR="00E13F7E" w:rsidRPr="00484D58">
        <w:rPr>
          <w:rFonts w:eastAsia="+mn-ea"/>
          <w:color w:val="000000"/>
          <w:kern w:val="24"/>
          <w:lang w:val="en-US"/>
        </w:rPr>
        <w:t>t</w:t>
      </w:r>
    </w:p>
    <w:p w14:paraId="1338FC59" w14:textId="207B7123" w:rsidR="00BD3D8F" w:rsidRDefault="00BD3D8F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3AB00017" w14:textId="4B95551F" w:rsidR="00BD3D8F" w:rsidRDefault="004D5260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b/>
          <w:bCs/>
          <w:noProof/>
          <w:color w:val="000000" w:themeColor="text1"/>
          <w:kern w:val="24"/>
          <w:lang w:eastAsia="zh-CN"/>
        </w:rPr>
        <w:drawing>
          <wp:inline distT="0" distB="0" distL="0" distR="0" wp14:anchorId="3AEF6CD7" wp14:editId="747B3EA7">
            <wp:extent cx="4572000" cy="4572000"/>
            <wp:effectExtent l="0" t="0" r="0" b="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ation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7521" w14:textId="3ACC543F" w:rsidR="00BD3D8F" w:rsidRDefault="00BD3D8F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1B17161F" w14:textId="77777777" w:rsidR="00E13F7E" w:rsidRPr="00E13F7E" w:rsidRDefault="00E13F7E" w:rsidP="00E13F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SG"/>
        </w:rPr>
      </w:pPr>
      <w:r w:rsidRPr="00E13F7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en-SG"/>
        </w:rPr>
        <w:t xml:space="preserve">Supplementary Figure 2: </w:t>
      </w:r>
      <w:r w:rsidRPr="00E13F7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en-US" w:eastAsia="en-SG"/>
        </w:rPr>
        <w:t xml:space="preserve">Distribution of SNPs that passed quality control from whole genome sequencing </w:t>
      </w:r>
    </w:p>
    <w:p w14:paraId="4BC8C5E2" w14:textId="705C5680" w:rsidR="00BD3D8F" w:rsidRPr="00127F3F" w:rsidRDefault="00BD3D8F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216F5FD1" w14:textId="61EEB9CF" w:rsidR="00BD3D8F" w:rsidRDefault="00BD3D8F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1E5B29FF" w14:textId="2A66CF6A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452FDCB1" w14:textId="58323B34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1A162FFB" w14:textId="603B6DD9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62F20A7A" w14:textId="7A88D2B1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6E07D17A" w14:textId="3CFC14DB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2DB8DFD0" w14:textId="286F08A1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46AAC8B4" w14:textId="20E26E6B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29B2CE39" w14:textId="4B9E21E5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0C872915" w14:textId="383FCAC5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0252ADA1" w14:textId="38DBA699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5D92FC65" w14:textId="6AE9A41A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20496B7D" w14:textId="3BAD5F92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0538309F" w14:textId="57ADE94D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45DC08E3" w14:textId="254DC51B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338F7214" w14:textId="211837DE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392407E1" w14:textId="364F2079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149DA4B7" w14:textId="7EC4C363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5D88B508" w14:textId="6095EEB6" w:rsidR="00484D58" w:rsidRDefault="00484D58" w:rsidP="00E3057E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4AF0B564" w14:textId="60F43242" w:rsidR="00E3057E" w:rsidRPr="00CA0755" w:rsidRDefault="00E3057E" w:rsidP="00E3057E">
      <w:pPr>
        <w:pStyle w:val="NormalWeb"/>
        <w:spacing w:before="0" w:beforeAutospacing="0" w:after="0" w:afterAutospacing="0"/>
      </w:pPr>
      <w:r w:rsidRPr="00CA0755">
        <w:rPr>
          <w:rFonts w:eastAsiaTheme="minorEastAsia"/>
          <w:b/>
          <w:bCs/>
          <w:color w:val="000000" w:themeColor="text1"/>
          <w:kern w:val="24"/>
        </w:rPr>
        <w:lastRenderedPageBreak/>
        <w:t>Supplementary Table 1</w:t>
      </w:r>
      <w:r w:rsidRPr="00CA0755">
        <w:rPr>
          <w:rFonts w:eastAsiaTheme="minorEastAsia"/>
          <w:color w:val="000000" w:themeColor="text1"/>
          <w:kern w:val="24"/>
        </w:rPr>
        <w:t xml:space="preserve">: List of genes from the drug databases </w:t>
      </w:r>
      <w:proofErr w:type="spellStart"/>
      <w:r w:rsidRPr="00CA0755">
        <w:rPr>
          <w:rFonts w:eastAsiaTheme="minorEastAsia"/>
          <w:color w:val="000000" w:themeColor="text1"/>
          <w:kern w:val="24"/>
        </w:rPr>
        <w:t>Drugbank</w:t>
      </w:r>
      <w:proofErr w:type="spellEnd"/>
      <w:r w:rsidRPr="00CA0755">
        <w:rPr>
          <w:rFonts w:eastAsiaTheme="minorEastAsia"/>
          <w:color w:val="000000" w:themeColor="text1"/>
          <w:kern w:val="24"/>
        </w:rPr>
        <w:t xml:space="preserve">, CHEMBL, CTD and </w:t>
      </w:r>
      <w:proofErr w:type="spellStart"/>
      <w:r w:rsidRPr="00CA0755">
        <w:rPr>
          <w:rFonts w:eastAsiaTheme="minorEastAsia"/>
          <w:color w:val="000000" w:themeColor="text1"/>
          <w:kern w:val="24"/>
        </w:rPr>
        <w:t>PharmGKB</w:t>
      </w:r>
      <w:proofErr w:type="spellEnd"/>
      <w:r w:rsidRPr="00CA0755">
        <w:rPr>
          <w:rFonts w:eastAsiaTheme="minorEastAsia"/>
          <w:color w:val="000000" w:themeColor="text1"/>
          <w:kern w:val="24"/>
        </w:rPr>
        <w:t xml:space="preserve"> </w:t>
      </w:r>
    </w:p>
    <w:p w14:paraId="0F6BA375" w14:textId="77777777" w:rsidR="00E3057E" w:rsidRDefault="00E3057E" w:rsidP="00E305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4804"/>
      </w:tblGrid>
      <w:tr w:rsidR="00E3057E" w:rsidRPr="00497DBA" w14:paraId="6AB528B1" w14:textId="77777777" w:rsidTr="00BD3D8F">
        <w:trPr>
          <w:trHeight w:val="30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6A8916" w14:textId="77777777" w:rsidR="00E3057E" w:rsidRPr="00497DBA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19D2B5" w14:textId="77777777" w:rsidR="00E3057E" w:rsidRPr="00497DBA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Database</w:t>
            </w:r>
          </w:p>
        </w:tc>
      </w:tr>
      <w:tr w:rsidR="00E3057E" w:rsidRPr="00497DBA" w14:paraId="3EC9D4C7" w14:textId="77777777" w:rsidTr="00BD3D8F">
        <w:trPr>
          <w:trHeight w:val="300"/>
        </w:trPr>
        <w:tc>
          <w:tcPr>
            <w:tcW w:w="1150" w:type="dxa"/>
            <w:tcBorders>
              <w:top w:val="single" w:sz="4" w:space="0" w:color="auto"/>
            </w:tcBorders>
            <w:noWrap/>
            <w:hideMark/>
          </w:tcPr>
          <w:p w14:paraId="42E6FE5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ABCA1</w:t>
            </w:r>
          </w:p>
        </w:tc>
        <w:tc>
          <w:tcPr>
            <w:tcW w:w="4804" w:type="dxa"/>
            <w:tcBorders>
              <w:top w:val="single" w:sz="4" w:space="0" w:color="auto"/>
            </w:tcBorders>
            <w:noWrap/>
            <w:hideMark/>
          </w:tcPr>
          <w:p w14:paraId="32B75878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497DBA" w14:paraId="0250AAA5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5FF4A05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ABCB1</w:t>
            </w:r>
          </w:p>
        </w:tc>
        <w:tc>
          <w:tcPr>
            <w:tcW w:w="4804" w:type="dxa"/>
            <w:noWrap/>
            <w:hideMark/>
          </w:tcPr>
          <w:p w14:paraId="46B75550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497DBA" w14:paraId="110EEE4E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6BAF217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ABCB11</w:t>
            </w:r>
          </w:p>
        </w:tc>
        <w:tc>
          <w:tcPr>
            <w:tcW w:w="4804" w:type="dxa"/>
            <w:noWrap/>
            <w:hideMark/>
          </w:tcPr>
          <w:p w14:paraId="38A4459A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497DBA" w14:paraId="789B50EA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04D8D326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ABCC2</w:t>
            </w:r>
          </w:p>
        </w:tc>
        <w:tc>
          <w:tcPr>
            <w:tcW w:w="4804" w:type="dxa"/>
            <w:noWrap/>
            <w:hideMark/>
          </w:tcPr>
          <w:p w14:paraId="0D28FDBF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497DBA" w14:paraId="49E7F7D7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797C1A9D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ABCG2</w:t>
            </w:r>
          </w:p>
        </w:tc>
        <w:tc>
          <w:tcPr>
            <w:tcW w:w="4804" w:type="dxa"/>
            <w:noWrap/>
            <w:hideMark/>
          </w:tcPr>
          <w:p w14:paraId="2915F1BF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6D2483CD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631BC99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ABCG5</w:t>
            </w:r>
          </w:p>
        </w:tc>
        <w:tc>
          <w:tcPr>
            <w:tcW w:w="4804" w:type="dxa"/>
            <w:noWrap/>
            <w:hideMark/>
          </w:tcPr>
          <w:p w14:paraId="3C10D768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0D1F8621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2CE13334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ABCG8</w:t>
            </w:r>
          </w:p>
        </w:tc>
        <w:tc>
          <w:tcPr>
            <w:tcW w:w="4804" w:type="dxa"/>
            <w:noWrap/>
            <w:hideMark/>
          </w:tcPr>
          <w:p w14:paraId="567622BD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03E14B17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0D694ED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ADIPOQ</w:t>
            </w:r>
          </w:p>
        </w:tc>
        <w:tc>
          <w:tcPr>
            <w:tcW w:w="4804" w:type="dxa"/>
            <w:noWrap/>
            <w:hideMark/>
          </w:tcPr>
          <w:p w14:paraId="1C0195EC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0A476A0D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750A685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AHR</w:t>
            </w:r>
          </w:p>
        </w:tc>
        <w:tc>
          <w:tcPr>
            <w:tcW w:w="4804" w:type="dxa"/>
            <w:noWrap/>
            <w:hideMark/>
          </w:tcPr>
          <w:p w14:paraId="2B522AF9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DRUGBANK</w:t>
            </w:r>
          </w:p>
        </w:tc>
      </w:tr>
      <w:tr w:rsidR="00E3057E" w:rsidRPr="00497DBA" w14:paraId="45E05314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70BC3529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AKT1</w:t>
            </w:r>
          </w:p>
        </w:tc>
        <w:tc>
          <w:tcPr>
            <w:tcW w:w="4804" w:type="dxa"/>
            <w:noWrap/>
            <w:hideMark/>
          </w:tcPr>
          <w:p w14:paraId="7F5047D3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0D6A9121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49DFEF9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ANGPT2</w:t>
            </w:r>
          </w:p>
        </w:tc>
        <w:tc>
          <w:tcPr>
            <w:tcW w:w="4804" w:type="dxa"/>
            <w:noWrap/>
            <w:hideMark/>
          </w:tcPr>
          <w:p w14:paraId="2EF879EF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77486295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4C4E678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APOA1</w:t>
            </w:r>
          </w:p>
        </w:tc>
        <w:tc>
          <w:tcPr>
            <w:tcW w:w="4804" w:type="dxa"/>
            <w:noWrap/>
            <w:hideMark/>
          </w:tcPr>
          <w:p w14:paraId="76E62C8F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1F1ED589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2EFAD90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APOA4</w:t>
            </w:r>
          </w:p>
        </w:tc>
        <w:tc>
          <w:tcPr>
            <w:tcW w:w="4804" w:type="dxa"/>
            <w:noWrap/>
            <w:hideMark/>
          </w:tcPr>
          <w:p w14:paraId="6865A95A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6AA5A3A2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7CF2BB9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APOA5</w:t>
            </w:r>
          </w:p>
        </w:tc>
        <w:tc>
          <w:tcPr>
            <w:tcW w:w="4804" w:type="dxa"/>
            <w:noWrap/>
            <w:hideMark/>
          </w:tcPr>
          <w:p w14:paraId="07127881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1D801E4C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6F837596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APOB</w:t>
            </w:r>
          </w:p>
        </w:tc>
        <w:tc>
          <w:tcPr>
            <w:tcW w:w="4804" w:type="dxa"/>
            <w:noWrap/>
            <w:hideMark/>
          </w:tcPr>
          <w:p w14:paraId="2142DF60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497DBA" w14:paraId="7456B7BD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57171AD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APOC1</w:t>
            </w:r>
          </w:p>
        </w:tc>
        <w:tc>
          <w:tcPr>
            <w:tcW w:w="4804" w:type="dxa"/>
            <w:noWrap/>
            <w:hideMark/>
          </w:tcPr>
          <w:p w14:paraId="2C6D3353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410D0C1A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3DD3BD8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APOC2</w:t>
            </w:r>
          </w:p>
        </w:tc>
        <w:tc>
          <w:tcPr>
            <w:tcW w:w="4804" w:type="dxa"/>
            <w:noWrap/>
            <w:hideMark/>
          </w:tcPr>
          <w:p w14:paraId="7F1AC539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0E61B45F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2C96069B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APOC3</w:t>
            </w:r>
          </w:p>
        </w:tc>
        <w:tc>
          <w:tcPr>
            <w:tcW w:w="4804" w:type="dxa"/>
            <w:noWrap/>
            <w:hideMark/>
          </w:tcPr>
          <w:p w14:paraId="128834E3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66BAB168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5551541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APOE</w:t>
            </w:r>
          </w:p>
        </w:tc>
        <w:tc>
          <w:tcPr>
            <w:tcW w:w="4804" w:type="dxa"/>
            <w:noWrap/>
            <w:hideMark/>
          </w:tcPr>
          <w:p w14:paraId="2C12C274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497DBA" w14:paraId="2EB0C523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2334D7B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BAK1</w:t>
            </w:r>
          </w:p>
        </w:tc>
        <w:tc>
          <w:tcPr>
            <w:tcW w:w="4804" w:type="dxa"/>
            <w:noWrap/>
            <w:hideMark/>
          </w:tcPr>
          <w:p w14:paraId="3D45829E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235FF456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4E878C1B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BAX</w:t>
            </w:r>
          </w:p>
        </w:tc>
        <w:tc>
          <w:tcPr>
            <w:tcW w:w="4804" w:type="dxa"/>
            <w:noWrap/>
            <w:hideMark/>
          </w:tcPr>
          <w:p w14:paraId="4116D115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58FF7F3C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332D5BB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BCL2</w:t>
            </w:r>
          </w:p>
        </w:tc>
        <w:tc>
          <w:tcPr>
            <w:tcW w:w="4804" w:type="dxa"/>
            <w:noWrap/>
            <w:hideMark/>
          </w:tcPr>
          <w:p w14:paraId="6E233D9C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7473DA12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5CC0FA7C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BGLAP</w:t>
            </w:r>
          </w:p>
        </w:tc>
        <w:tc>
          <w:tcPr>
            <w:tcW w:w="4804" w:type="dxa"/>
            <w:noWrap/>
            <w:hideMark/>
          </w:tcPr>
          <w:p w14:paraId="72565125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0F5A75DC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1B81D87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BMP2</w:t>
            </w:r>
          </w:p>
        </w:tc>
        <w:tc>
          <w:tcPr>
            <w:tcW w:w="4804" w:type="dxa"/>
            <w:noWrap/>
            <w:hideMark/>
          </w:tcPr>
          <w:p w14:paraId="5F59B3FA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14DA3B9E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1C682BF3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CASP3</w:t>
            </w:r>
          </w:p>
        </w:tc>
        <w:tc>
          <w:tcPr>
            <w:tcW w:w="4804" w:type="dxa"/>
            <w:noWrap/>
            <w:hideMark/>
          </w:tcPr>
          <w:p w14:paraId="636AD780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0B566600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132DE861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CASP8</w:t>
            </w:r>
          </w:p>
        </w:tc>
        <w:tc>
          <w:tcPr>
            <w:tcW w:w="4804" w:type="dxa"/>
            <w:noWrap/>
            <w:hideMark/>
          </w:tcPr>
          <w:p w14:paraId="63388BC1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684D5DC9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0C93BD49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CASP9</w:t>
            </w:r>
          </w:p>
        </w:tc>
        <w:tc>
          <w:tcPr>
            <w:tcW w:w="4804" w:type="dxa"/>
            <w:noWrap/>
            <w:hideMark/>
          </w:tcPr>
          <w:p w14:paraId="1AD13E3D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28C90844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7B13C7A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</w:t>
            </w:r>
          </w:p>
        </w:tc>
        <w:tc>
          <w:tcPr>
            <w:tcW w:w="4804" w:type="dxa"/>
            <w:noWrap/>
            <w:hideMark/>
          </w:tcPr>
          <w:p w14:paraId="40DE3CA3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3A9A6DAD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434EE461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CCL2</w:t>
            </w:r>
          </w:p>
        </w:tc>
        <w:tc>
          <w:tcPr>
            <w:tcW w:w="4804" w:type="dxa"/>
            <w:noWrap/>
            <w:hideMark/>
          </w:tcPr>
          <w:p w14:paraId="449C489C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598B2E5F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516E59F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CD14</w:t>
            </w:r>
          </w:p>
        </w:tc>
        <w:tc>
          <w:tcPr>
            <w:tcW w:w="4804" w:type="dxa"/>
            <w:noWrap/>
            <w:hideMark/>
          </w:tcPr>
          <w:p w14:paraId="117F3E71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0A13EE0E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4B7ECAA1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CD36</w:t>
            </w:r>
          </w:p>
        </w:tc>
        <w:tc>
          <w:tcPr>
            <w:tcW w:w="4804" w:type="dxa"/>
            <w:noWrap/>
            <w:hideMark/>
          </w:tcPr>
          <w:p w14:paraId="5A304D57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1DCD397B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39A054B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CD40</w:t>
            </w:r>
          </w:p>
        </w:tc>
        <w:tc>
          <w:tcPr>
            <w:tcW w:w="4804" w:type="dxa"/>
            <w:noWrap/>
            <w:hideMark/>
          </w:tcPr>
          <w:p w14:paraId="56DE00B0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262693AD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6522D97B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CD40LG</w:t>
            </w:r>
          </w:p>
        </w:tc>
        <w:tc>
          <w:tcPr>
            <w:tcW w:w="4804" w:type="dxa"/>
            <w:noWrap/>
            <w:hideMark/>
          </w:tcPr>
          <w:p w14:paraId="04FE2D90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7FDF5C0F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30FC2DB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CD83</w:t>
            </w:r>
          </w:p>
        </w:tc>
        <w:tc>
          <w:tcPr>
            <w:tcW w:w="4804" w:type="dxa"/>
            <w:noWrap/>
            <w:hideMark/>
          </w:tcPr>
          <w:p w14:paraId="55718A9C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25FF80F2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36DBA00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CD86</w:t>
            </w:r>
          </w:p>
        </w:tc>
        <w:tc>
          <w:tcPr>
            <w:tcW w:w="4804" w:type="dxa"/>
            <w:noWrap/>
            <w:hideMark/>
          </w:tcPr>
          <w:p w14:paraId="22976B63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3560001D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56027E6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CDKN1A</w:t>
            </w:r>
          </w:p>
        </w:tc>
        <w:tc>
          <w:tcPr>
            <w:tcW w:w="4804" w:type="dxa"/>
            <w:noWrap/>
            <w:hideMark/>
          </w:tcPr>
          <w:p w14:paraId="38B93CD8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6CD67DC9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3EF1239D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CDKN1B</w:t>
            </w:r>
          </w:p>
        </w:tc>
        <w:tc>
          <w:tcPr>
            <w:tcW w:w="4804" w:type="dxa"/>
            <w:noWrap/>
            <w:hideMark/>
          </w:tcPr>
          <w:p w14:paraId="43F01806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2A377B42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7BA47F8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CETP</w:t>
            </w:r>
          </w:p>
        </w:tc>
        <w:tc>
          <w:tcPr>
            <w:tcW w:w="4804" w:type="dxa"/>
            <w:noWrap/>
            <w:hideMark/>
          </w:tcPr>
          <w:p w14:paraId="70BD5374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497DBA" w14:paraId="62532E16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2D805F08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COL1A1</w:t>
            </w:r>
          </w:p>
        </w:tc>
        <w:tc>
          <w:tcPr>
            <w:tcW w:w="4804" w:type="dxa"/>
            <w:noWrap/>
            <w:hideMark/>
          </w:tcPr>
          <w:p w14:paraId="30CA7765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4AB817B5" w14:textId="77777777" w:rsidTr="00BD3D8F">
        <w:trPr>
          <w:trHeight w:val="300"/>
        </w:trPr>
        <w:tc>
          <w:tcPr>
            <w:tcW w:w="1150" w:type="dxa"/>
            <w:noWrap/>
            <w:hideMark/>
          </w:tcPr>
          <w:p w14:paraId="2C1BFE6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CRP</w:t>
            </w:r>
          </w:p>
        </w:tc>
        <w:tc>
          <w:tcPr>
            <w:tcW w:w="4804" w:type="dxa"/>
            <w:noWrap/>
            <w:hideMark/>
          </w:tcPr>
          <w:p w14:paraId="48FA706E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497DBA" w14:paraId="08836112" w14:textId="77777777" w:rsidTr="00BD3D8F">
        <w:trPr>
          <w:trHeight w:val="300"/>
        </w:trPr>
        <w:tc>
          <w:tcPr>
            <w:tcW w:w="1150" w:type="dxa"/>
            <w:tcBorders>
              <w:bottom w:val="single" w:sz="4" w:space="0" w:color="auto"/>
            </w:tcBorders>
            <w:noWrap/>
            <w:hideMark/>
          </w:tcPr>
          <w:p w14:paraId="13725C3D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CYP27A1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noWrap/>
            <w:hideMark/>
          </w:tcPr>
          <w:p w14:paraId="25494FB4" w14:textId="77777777" w:rsidR="00E3057E" w:rsidRPr="00497DBA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DBA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</w:tbl>
    <w:p w14:paraId="332F9741" w14:textId="77777777" w:rsidR="00E3057E" w:rsidRDefault="00E3057E" w:rsidP="00E305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156"/>
        <w:gridCol w:w="4759"/>
      </w:tblGrid>
      <w:tr w:rsidR="00E3057E" w:rsidRPr="009B4D77" w14:paraId="13F55AD9" w14:textId="77777777" w:rsidTr="00BD3D8F">
        <w:trPr>
          <w:trHeight w:val="300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CA566E" w14:textId="77777777" w:rsidR="00E3057E" w:rsidRPr="009B4D77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Gene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628E2E" w14:textId="77777777" w:rsidR="00E3057E" w:rsidRPr="009B4D77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Database</w:t>
            </w:r>
          </w:p>
        </w:tc>
      </w:tr>
      <w:tr w:rsidR="00E3057E" w:rsidRPr="009B4D77" w14:paraId="45475B63" w14:textId="77777777" w:rsidTr="00BD3D8F">
        <w:trPr>
          <w:trHeight w:val="300"/>
        </w:trPr>
        <w:tc>
          <w:tcPr>
            <w:tcW w:w="1039" w:type="dxa"/>
            <w:tcBorders>
              <w:top w:val="single" w:sz="4" w:space="0" w:color="auto"/>
            </w:tcBorders>
            <w:noWrap/>
            <w:hideMark/>
          </w:tcPr>
          <w:p w14:paraId="46AAEC08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CYP2B6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</w:tcBorders>
            <w:noWrap/>
            <w:hideMark/>
          </w:tcPr>
          <w:p w14:paraId="262DC766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1F8AE6F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D89BBC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CYP2C19</w:t>
            </w:r>
          </w:p>
        </w:tc>
        <w:tc>
          <w:tcPr>
            <w:tcW w:w="4915" w:type="dxa"/>
            <w:gridSpan w:val="2"/>
            <w:noWrap/>
            <w:hideMark/>
          </w:tcPr>
          <w:p w14:paraId="07F6BBAF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4C0A6D75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2ECC5D84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CYP2C8</w:t>
            </w:r>
          </w:p>
        </w:tc>
        <w:tc>
          <w:tcPr>
            <w:tcW w:w="4915" w:type="dxa"/>
            <w:gridSpan w:val="2"/>
            <w:noWrap/>
            <w:hideMark/>
          </w:tcPr>
          <w:p w14:paraId="712C501D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50507FD9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47160456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CYP2C9</w:t>
            </w:r>
          </w:p>
        </w:tc>
        <w:tc>
          <w:tcPr>
            <w:tcW w:w="4915" w:type="dxa"/>
            <w:gridSpan w:val="2"/>
            <w:noWrap/>
            <w:hideMark/>
          </w:tcPr>
          <w:p w14:paraId="32B1211F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6F09A23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3B457CA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CYP2D6</w:t>
            </w:r>
          </w:p>
        </w:tc>
        <w:tc>
          <w:tcPr>
            <w:tcW w:w="4915" w:type="dxa"/>
            <w:gridSpan w:val="2"/>
            <w:noWrap/>
            <w:hideMark/>
          </w:tcPr>
          <w:p w14:paraId="73CBDDD1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00A3822A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FA22686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CYP3A4</w:t>
            </w:r>
          </w:p>
        </w:tc>
        <w:tc>
          <w:tcPr>
            <w:tcW w:w="4915" w:type="dxa"/>
            <w:gridSpan w:val="2"/>
            <w:noWrap/>
            <w:hideMark/>
          </w:tcPr>
          <w:p w14:paraId="6AACC236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9B4D77" w14:paraId="7A13B5D2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BC531F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CYP3A5</w:t>
            </w:r>
          </w:p>
        </w:tc>
        <w:tc>
          <w:tcPr>
            <w:tcW w:w="4915" w:type="dxa"/>
            <w:gridSpan w:val="2"/>
            <w:noWrap/>
            <w:hideMark/>
          </w:tcPr>
          <w:p w14:paraId="771BA19B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201E9B4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61334148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CYP7A1</w:t>
            </w:r>
          </w:p>
        </w:tc>
        <w:tc>
          <w:tcPr>
            <w:tcW w:w="4915" w:type="dxa"/>
            <w:gridSpan w:val="2"/>
            <w:noWrap/>
            <w:hideMark/>
          </w:tcPr>
          <w:p w14:paraId="065C5B13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79D0BC4A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138CA0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DGAT1</w:t>
            </w:r>
          </w:p>
        </w:tc>
        <w:tc>
          <w:tcPr>
            <w:tcW w:w="4915" w:type="dxa"/>
            <w:gridSpan w:val="2"/>
            <w:noWrap/>
            <w:hideMark/>
          </w:tcPr>
          <w:p w14:paraId="0AABBF26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3765044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7D4588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DPP4</w:t>
            </w:r>
          </w:p>
        </w:tc>
        <w:tc>
          <w:tcPr>
            <w:tcW w:w="4915" w:type="dxa"/>
            <w:gridSpan w:val="2"/>
            <w:noWrap/>
            <w:hideMark/>
          </w:tcPr>
          <w:p w14:paraId="0854C70D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DRUGBANK</w:t>
            </w:r>
          </w:p>
        </w:tc>
      </w:tr>
      <w:tr w:rsidR="00E3057E" w:rsidRPr="009B4D77" w14:paraId="41A2AD4D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39630239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EDN1</w:t>
            </w:r>
          </w:p>
        </w:tc>
        <w:tc>
          <w:tcPr>
            <w:tcW w:w="4915" w:type="dxa"/>
            <w:gridSpan w:val="2"/>
            <w:noWrap/>
            <w:hideMark/>
          </w:tcPr>
          <w:p w14:paraId="26590F0A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25D26D9D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8DF456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EIF2AK3</w:t>
            </w:r>
          </w:p>
        </w:tc>
        <w:tc>
          <w:tcPr>
            <w:tcW w:w="4915" w:type="dxa"/>
            <w:gridSpan w:val="2"/>
            <w:noWrap/>
            <w:hideMark/>
          </w:tcPr>
          <w:p w14:paraId="48775A5D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00000FD0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4C3F2FC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EIF2S1</w:t>
            </w:r>
          </w:p>
        </w:tc>
        <w:tc>
          <w:tcPr>
            <w:tcW w:w="4915" w:type="dxa"/>
            <w:gridSpan w:val="2"/>
            <w:noWrap/>
            <w:hideMark/>
          </w:tcPr>
          <w:p w14:paraId="3C4D63F2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33CACBC6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D6B4A53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F2</w:t>
            </w:r>
          </w:p>
        </w:tc>
        <w:tc>
          <w:tcPr>
            <w:tcW w:w="4915" w:type="dxa"/>
            <w:gridSpan w:val="2"/>
            <w:noWrap/>
            <w:hideMark/>
          </w:tcPr>
          <w:p w14:paraId="380F08A1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7476FA35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05F8491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F5</w:t>
            </w:r>
          </w:p>
        </w:tc>
        <w:tc>
          <w:tcPr>
            <w:tcW w:w="4915" w:type="dxa"/>
            <w:gridSpan w:val="2"/>
            <w:noWrap/>
            <w:hideMark/>
          </w:tcPr>
          <w:p w14:paraId="2119C3BD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60CB33B2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369A736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FASLG</w:t>
            </w:r>
          </w:p>
        </w:tc>
        <w:tc>
          <w:tcPr>
            <w:tcW w:w="4915" w:type="dxa"/>
            <w:gridSpan w:val="2"/>
            <w:noWrap/>
            <w:hideMark/>
          </w:tcPr>
          <w:p w14:paraId="57408215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7EFEFB54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6E8B2C39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FASN</w:t>
            </w:r>
          </w:p>
        </w:tc>
        <w:tc>
          <w:tcPr>
            <w:tcW w:w="4915" w:type="dxa"/>
            <w:gridSpan w:val="2"/>
            <w:noWrap/>
            <w:hideMark/>
          </w:tcPr>
          <w:p w14:paraId="6C2C6A82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22C0A2D6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6FCBA5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FDFT1</w:t>
            </w:r>
          </w:p>
        </w:tc>
        <w:tc>
          <w:tcPr>
            <w:tcW w:w="4915" w:type="dxa"/>
            <w:gridSpan w:val="2"/>
            <w:noWrap/>
            <w:hideMark/>
          </w:tcPr>
          <w:p w14:paraId="7885093F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481811B8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333A36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FIGF</w:t>
            </w:r>
          </w:p>
        </w:tc>
        <w:tc>
          <w:tcPr>
            <w:tcW w:w="4915" w:type="dxa"/>
            <w:gridSpan w:val="2"/>
            <w:noWrap/>
            <w:hideMark/>
          </w:tcPr>
          <w:p w14:paraId="7F10F1C5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01C88881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E6CA31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HMGCR</w:t>
            </w:r>
          </w:p>
        </w:tc>
        <w:tc>
          <w:tcPr>
            <w:tcW w:w="4915" w:type="dxa"/>
            <w:gridSpan w:val="2"/>
            <w:noWrap/>
            <w:hideMark/>
          </w:tcPr>
          <w:p w14:paraId="08BACFF4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PHARMGKB, CTD, DRUGBANK, CHEMBL_13</w:t>
            </w:r>
          </w:p>
        </w:tc>
      </w:tr>
      <w:tr w:rsidR="00E3057E" w:rsidRPr="009B4D77" w14:paraId="0F09C53A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05296D9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HMOX1</w:t>
            </w:r>
          </w:p>
        </w:tc>
        <w:tc>
          <w:tcPr>
            <w:tcW w:w="4915" w:type="dxa"/>
            <w:gridSpan w:val="2"/>
            <w:noWrap/>
            <w:hideMark/>
          </w:tcPr>
          <w:p w14:paraId="215D3011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40769F78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04DFEA2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ICAM1</w:t>
            </w:r>
          </w:p>
        </w:tc>
        <w:tc>
          <w:tcPr>
            <w:tcW w:w="4915" w:type="dxa"/>
            <w:gridSpan w:val="2"/>
            <w:noWrap/>
            <w:hideMark/>
          </w:tcPr>
          <w:p w14:paraId="1D257142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2940CC73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21D0A06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IL12A</w:t>
            </w:r>
          </w:p>
        </w:tc>
        <w:tc>
          <w:tcPr>
            <w:tcW w:w="4915" w:type="dxa"/>
            <w:gridSpan w:val="2"/>
            <w:noWrap/>
            <w:hideMark/>
          </w:tcPr>
          <w:p w14:paraId="5BA6CE2F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4117019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35F0166B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IL2RA</w:t>
            </w:r>
          </w:p>
        </w:tc>
        <w:tc>
          <w:tcPr>
            <w:tcW w:w="4915" w:type="dxa"/>
            <w:gridSpan w:val="2"/>
            <w:noWrap/>
            <w:hideMark/>
          </w:tcPr>
          <w:p w14:paraId="5698DB04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5F8D0D3D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2AA5EA1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IL6</w:t>
            </w:r>
          </w:p>
        </w:tc>
        <w:tc>
          <w:tcPr>
            <w:tcW w:w="4915" w:type="dxa"/>
            <w:gridSpan w:val="2"/>
            <w:noWrap/>
            <w:hideMark/>
          </w:tcPr>
          <w:p w14:paraId="3A11FFBF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5A2B702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4141C89C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IL8</w:t>
            </w:r>
          </w:p>
        </w:tc>
        <w:tc>
          <w:tcPr>
            <w:tcW w:w="4915" w:type="dxa"/>
            <w:gridSpan w:val="2"/>
            <w:noWrap/>
            <w:hideMark/>
          </w:tcPr>
          <w:p w14:paraId="13B9CE49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6175CB04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4F7B6E4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</w:t>
            </w:r>
          </w:p>
        </w:tc>
        <w:tc>
          <w:tcPr>
            <w:tcW w:w="4915" w:type="dxa"/>
            <w:gridSpan w:val="2"/>
            <w:noWrap/>
            <w:hideMark/>
          </w:tcPr>
          <w:p w14:paraId="4D416969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670DCDFD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7EFA4B8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IRAK1</w:t>
            </w:r>
          </w:p>
        </w:tc>
        <w:tc>
          <w:tcPr>
            <w:tcW w:w="4915" w:type="dxa"/>
            <w:gridSpan w:val="2"/>
            <w:noWrap/>
            <w:hideMark/>
          </w:tcPr>
          <w:p w14:paraId="6330ED55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33CFFC1D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7A4434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ITGAL</w:t>
            </w:r>
          </w:p>
        </w:tc>
        <w:tc>
          <w:tcPr>
            <w:tcW w:w="4915" w:type="dxa"/>
            <w:gridSpan w:val="2"/>
            <w:noWrap/>
            <w:hideMark/>
          </w:tcPr>
          <w:p w14:paraId="13B5782C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0245EF9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4D07ACF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ITGAM</w:t>
            </w:r>
          </w:p>
        </w:tc>
        <w:tc>
          <w:tcPr>
            <w:tcW w:w="4915" w:type="dxa"/>
            <w:gridSpan w:val="2"/>
            <w:noWrap/>
            <w:hideMark/>
          </w:tcPr>
          <w:p w14:paraId="3A84588D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05E92898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006446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ITGAX</w:t>
            </w:r>
          </w:p>
        </w:tc>
        <w:tc>
          <w:tcPr>
            <w:tcW w:w="4915" w:type="dxa"/>
            <w:gridSpan w:val="2"/>
            <w:noWrap/>
            <w:hideMark/>
          </w:tcPr>
          <w:p w14:paraId="1B7C2D79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183E6BF5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CC6F41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ITGB2</w:t>
            </w:r>
          </w:p>
        </w:tc>
        <w:tc>
          <w:tcPr>
            <w:tcW w:w="4915" w:type="dxa"/>
            <w:gridSpan w:val="2"/>
            <w:noWrap/>
            <w:hideMark/>
          </w:tcPr>
          <w:p w14:paraId="578EB18E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48AB350A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2DC0418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</w:t>
            </w:r>
          </w:p>
        </w:tc>
        <w:tc>
          <w:tcPr>
            <w:tcW w:w="4915" w:type="dxa"/>
            <w:gridSpan w:val="2"/>
            <w:noWrap/>
            <w:hideMark/>
          </w:tcPr>
          <w:p w14:paraId="439F1310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20989BDF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6B1E8D8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KIF6</w:t>
            </w:r>
          </w:p>
        </w:tc>
        <w:tc>
          <w:tcPr>
            <w:tcW w:w="4915" w:type="dxa"/>
            <w:gridSpan w:val="2"/>
            <w:noWrap/>
            <w:hideMark/>
          </w:tcPr>
          <w:p w14:paraId="0E279C01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4F90EC69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9A074C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LCAT</w:t>
            </w:r>
          </w:p>
        </w:tc>
        <w:tc>
          <w:tcPr>
            <w:tcW w:w="4915" w:type="dxa"/>
            <w:gridSpan w:val="2"/>
            <w:noWrap/>
            <w:hideMark/>
          </w:tcPr>
          <w:p w14:paraId="3BABF98A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7DFE77A6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05CA6AB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LDLR</w:t>
            </w:r>
          </w:p>
        </w:tc>
        <w:tc>
          <w:tcPr>
            <w:tcW w:w="4915" w:type="dxa"/>
            <w:gridSpan w:val="2"/>
            <w:noWrap/>
            <w:hideMark/>
          </w:tcPr>
          <w:p w14:paraId="416C978B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9B4D77" w14:paraId="56FEEA2B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2641187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LIPC</w:t>
            </w:r>
          </w:p>
        </w:tc>
        <w:tc>
          <w:tcPr>
            <w:tcW w:w="4915" w:type="dxa"/>
            <w:gridSpan w:val="2"/>
            <w:noWrap/>
            <w:hideMark/>
          </w:tcPr>
          <w:p w14:paraId="2A53415A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4112DBEE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0C6A509C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LPL</w:t>
            </w:r>
          </w:p>
        </w:tc>
        <w:tc>
          <w:tcPr>
            <w:tcW w:w="4915" w:type="dxa"/>
            <w:gridSpan w:val="2"/>
            <w:noWrap/>
            <w:hideMark/>
          </w:tcPr>
          <w:p w14:paraId="65A3341B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69A34D51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0B8C176D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LRP1</w:t>
            </w:r>
          </w:p>
        </w:tc>
        <w:tc>
          <w:tcPr>
            <w:tcW w:w="4915" w:type="dxa"/>
            <w:gridSpan w:val="2"/>
            <w:noWrap/>
            <w:hideMark/>
          </w:tcPr>
          <w:p w14:paraId="186B5B89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9B4D77" w14:paraId="2584BF25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38D9FF4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MAPK1</w:t>
            </w:r>
          </w:p>
        </w:tc>
        <w:tc>
          <w:tcPr>
            <w:tcW w:w="4915" w:type="dxa"/>
            <w:gridSpan w:val="2"/>
            <w:noWrap/>
            <w:hideMark/>
          </w:tcPr>
          <w:p w14:paraId="1E2250DC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26263ECF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70A5C34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MAPK14</w:t>
            </w:r>
          </w:p>
        </w:tc>
        <w:tc>
          <w:tcPr>
            <w:tcW w:w="4915" w:type="dxa"/>
            <w:gridSpan w:val="2"/>
            <w:noWrap/>
            <w:hideMark/>
          </w:tcPr>
          <w:p w14:paraId="2240AC7F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5F640D21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2444474B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MAPK3</w:t>
            </w:r>
          </w:p>
        </w:tc>
        <w:tc>
          <w:tcPr>
            <w:tcW w:w="4915" w:type="dxa"/>
            <w:gridSpan w:val="2"/>
            <w:noWrap/>
            <w:hideMark/>
          </w:tcPr>
          <w:p w14:paraId="6A6FD5A5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1B171568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1C58A44D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MCL1</w:t>
            </w:r>
          </w:p>
        </w:tc>
        <w:tc>
          <w:tcPr>
            <w:tcW w:w="4915" w:type="dxa"/>
            <w:gridSpan w:val="2"/>
            <w:noWrap/>
            <w:hideMark/>
          </w:tcPr>
          <w:p w14:paraId="0FA3D460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00B861FB" w14:textId="77777777" w:rsidTr="00BD3D8F">
        <w:trPr>
          <w:trHeight w:val="300"/>
        </w:trPr>
        <w:tc>
          <w:tcPr>
            <w:tcW w:w="1039" w:type="dxa"/>
            <w:noWrap/>
            <w:hideMark/>
          </w:tcPr>
          <w:p w14:paraId="5F9D08E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MMP9</w:t>
            </w:r>
          </w:p>
        </w:tc>
        <w:tc>
          <w:tcPr>
            <w:tcW w:w="4915" w:type="dxa"/>
            <w:gridSpan w:val="2"/>
            <w:noWrap/>
            <w:hideMark/>
          </w:tcPr>
          <w:p w14:paraId="266B62C2" w14:textId="77777777" w:rsidR="00E3057E" w:rsidRPr="009B4D77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77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9B4D77" w14:paraId="43E63C4E" w14:textId="77777777" w:rsidTr="00BD3D8F">
        <w:trPr>
          <w:trHeight w:val="300"/>
        </w:trPr>
        <w:tc>
          <w:tcPr>
            <w:tcW w:w="1039" w:type="dxa"/>
            <w:tcBorders>
              <w:bottom w:val="single" w:sz="4" w:space="0" w:color="auto"/>
            </w:tcBorders>
            <w:noWrap/>
          </w:tcPr>
          <w:p w14:paraId="3C9381D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MSR1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noWrap/>
          </w:tcPr>
          <w:p w14:paraId="01E83281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4CCD52A4" w14:textId="77777777" w:rsidTr="00BD3D8F">
        <w:trPr>
          <w:trHeight w:val="300"/>
        </w:trPr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A45414" w14:textId="77777777" w:rsidR="00E3057E" w:rsidRPr="001A3ED1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Gene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3A68A5" w14:textId="77777777" w:rsidR="00E3057E" w:rsidRPr="001A3ED1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Database</w:t>
            </w:r>
          </w:p>
        </w:tc>
      </w:tr>
      <w:tr w:rsidR="00E3057E" w:rsidRPr="001A3ED1" w14:paraId="395E0DD8" w14:textId="77777777" w:rsidTr="00BD3D8F">
        <w:trPr>
          <w:trHeight w:val="300"/>
        </w:trPr>
        <w:tc>
          <w:tcPr>
            <w:tcW w:w="1195" w:type="dxa"/>
            <w:gridSpan w:val="2"/>
            <w:noWrap/>
          </w:tcPr>
          <w:p w14:paraId="7BE8291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MTTP</w:t>
            </w:r>
          </w:p>
        </w:tc>
        <w:tc>
          <w:tcPr>
            <w:tcW w:w="4759" w:type="dxa"/>
            <w:noWrap/>
          </w:tcPr>
          <w:p w14:paraId="147DCE3F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70C43C22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6845F1D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NOS3</w:t>
            </w:r>
          </w:p>
        </w:tc>
        <w:tc>
          <w:tcPr>
            <w:tcW w:w="4759" w:type="dxa"/>
            <w:noWrap/>
            <w:hideMark/>
          </w:tcPr>
          <w:p w14:paraId="5E5B5477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0D3135B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343DB9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NOX4</w:t>
            </w:r>
          </w:p>
        </w:tc>
        <w:tc>
          <w:tcPr>
            <w:tcW w:w="4759" w:type="dxa"/>
            <w:noWrap/>
            <w:hideMark/>
          </w:tcPr>
          <w:p w14:paraId="4D4AFCDA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2C444F10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C9A73E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NR1I3</w:t>
            </w:r>
          </w:p>
        </w:tc>
        <w:tc>
          <w:tcPr>
            <w:tcW w:w="4759" w:type="dxa"/>
            <w:noWrap/>
            <w:hideMark/>
          </w:tcPr>
          <w:p w14:paraId="5C5E648D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7B7746E9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5399EA7C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PARP1</w:t>
            </w:r>
          </w:p>
        </w:tc>
        <w:tc>
          <w:tcPr>
            <w:tcW w:w="4759" w:type="dxa"/>
            <w:noWrap/>
            <w:hideMark/>
          </w:tcPr>
          <w:p w14:paraId="52C5706F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20EA0AE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29E84AC3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PDPK1</w:t>
            </w:r>
          </w:p>
        </w:tc>
        <w:tc>
          <w:tcPr>
            <w:tcW w:w="4759" w:type="dxa"/>
            <w:noWrap/>
            <w:hideMark/>
          </w:tcPr>
          <w:p w14:paraId="4F88E6E4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22BB46DC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1637039D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PLAU</w:t>
            </w:r>
          </w:p>
        </w:tc>
        <w:tc>
          <w:tcPr>
            <w:tcW w:w="4759" w:type="dxa"/>
            <w:noWrap/>
            <w:hideMark/>
          </w:tcPr>
          <w:p w14:paraId="57924DB0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6569A7D4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059A2B4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PLTP</w:t>
            </w:r>
          </w:p>
        </w:tc>
        <w:tc>
          <w:tcPr>
            <w:tcW w:w="4759" w:type="dxa"/>
            <w:noWrap/>
            <w:hideMark/>
          </w:tcPr>
          <w:p w14:paraId="067C30D2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7878D712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21584B0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PON1</w:t>
            </w:r>
          </w:p>
        </w:tc>
        <w:tc>
          <w:tcPr>
            <w:tcW w:w="4759" w:type="dxa"/>
            <w:noWrap/>
            <w:hideMark/>
          </w:tcPr>
          <w:p w14:paraId="53442629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66935740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EDFC81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PON2</w:t>
            </w:r>
          </w:p>
        </w:tc>
        <w:tc>
          <w:tcPr>
            <w:tcW w:w="4759" w:type="dxa"/>
            <w:noWrap/>
            <w:hideMark/>
          </w:tcPr>
          <w:p w14:paraId="7A0D2D64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79602FB3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D873141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PPARA</w:t>
            </w:r>
          </w:p>
        </w:tc>
        <w:tc>
          <w:tcPr>
            <w:tcW w:w="4759" w:type="dxa"/>
            <w:noWrap/>
            <w:hideMark/>
          </w:tcPr>
          <w:p w14:paraId="06795FE3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506ABF7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7A12D49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RAC1</w:t>
            </w:r>
          </w:p>
        </w:tc>
        <w:tc>
          <w:tcPr>
            <w:tcW w:w="4759" w:type="dxa"/>
            <w:noWrap/>
            <w:hideMark/>
          </w:tcPr>
          <w:p w14:paraId="3F73B57F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467552E4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7C0012F8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RB1</w:t>
            </w:r>
          </w:p>
        </w:tc>
        <w:tc>
          <w:tcPr>
            <w:tcW w:w="4759" w:type="dxa"/>
            <w:noWrap/>
            <w:hideMark/>
          </w:tcPr>
          <w:p w14:paraId="29E4B80B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76CC7565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1DF9C6F4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RHOA</w:t>
            </w:r>
          </w:p>
        </w:tc>
        <w:tc>
          <w:tcPr>
            <w:tcW w:w="4759" w:type="dxa"/>
            <w:noWrap/>
            <w:hideMark/>
          </w:tcPr>
          <w:p w14:paraId="1252351E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37DD1D2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1CC0980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RHOB</w:t>
            </w:r>
          </w:p>
        </w:tc>
        <w:tc>
          <w:tcPr>
            <w:tcW w:w="4759" w:type="dxa"/>
            <w:noWrap/>
            <w:hideMark/>
          </w:tcPr>
          <w:p w14:paraId="23962E60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6396829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1CE740E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RHOC</w:t>
            </w:r>
          </w:p>
        </w:tc>
        <w:tc>
          <w:tcPr>
            <w:tcW w:w="4759" w:type="dxa"/>
            <w:noWrap/>
            <w:hideMark/>
          </w:tcPr>
          <w:p w14:paraId="6EB2A38E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73185233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735DC42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SCARB1</w:t>
            </w:r>
          </w:p>
        </w:tc>
        <w:tc>
          <w:tcPr>
            <w:tcW w:w="4759" w:type="dxa"/>
            <w:noWrap/>
            <w:hideMark/>
          </w:tcPr>
          <w:p w14:paraId="6F3C305D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1A3ED1" w14:paraId="299B67FF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0716567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SELE</w:t>
            </w:r>
          </w:p>
        </w:tc>
        <w:tc>
          <w:tcPr>
            <w:tcW w:w="4759" w:type="dxa"/>
            <w:noWrap/>
            <w:hideMark/>
          </w:tcPr>
          <w:p w14:paraId="7EFF7794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664CC996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9F16599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SLC15A1</w:t>
            </w:r>
          </w:p>
        </w:tc>
        <w:tc>
          <w:tcPr>
            <w:tcW w:w="4759" w:type="dxa"/>
            <w:noWrap/>
            <w:hideMark/>
          </w:tcPr>
          <w:p w14:paraId="4CD36EC1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7AE08C44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2ADE79C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SLC22A1</w:t>
            </w:r>
          </w:p>
        </w:tc>
        <w:tc>
          <w:tcPr>
            <w:tcW w:w="4759" w:type="dxa"/>
            <w:noWrap/>
            <w:hideMark/>
          </w:tcPr>
          <w:p w14:paraId="33F28B8E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188F1F0F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13720A1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SLC22A3</w:t>
            </w:r>
          </w:p>
        </w:tc>
        <w:tc>
          <w:tcPr>
            <w:tcW w:w="4759" w:type="dxa"/>
            <w:noWrap/>
            <w:hideMark/>
          </w:tcPr>
          <w:p w14:paraId="18F8B6F2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148F30B7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5A73E51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SLC22A5</w:t>
            </w:r>
          </w:p>
        </w:tc>
        <w:tc>
          <w:tcPr>
            <w:tcW w:w="4759" w:type="dxa"/>
            <w:noWrap/>
            <w:hideMark/>
          </w:tcPr>
          <w:p w14:paraId="3C0E8849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259632F0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544C87F0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SLC22A6</w:t>
            </w:r>
          </w:p>
        </w:tc>
        <w:tc>
          <w:tcPr>
            <w:tcW w:w="4759" w:type="dxa"/>
            <w:noWrap/>
            <w:hideMark/>
          </w:tcPr>
          <w:p w14:paraId="1707E984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6CBD2FD4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0E2CEDB1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SLC22A8</w:t>
            </w:r>
          </w:p>
        </w:tc>
        <w:tc>
          <w:tcPr>
            <w:tcW w:w="4759" w:type="dxa"/>
            <w:noWrap/>
            <w:hideMark/>
          </w:tcPr>
          <w:p w14:paraId="6CA7643B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024A42E7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0E0D6B8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SLCO1B1</w:t>
            </w:r>
          </w:p>
        </w:tc>
        <w:tc>
          <w:tcPr>
            <w:tcW w:w="4759" w:type="dxa"/>
            <w:noWrap/>
            <w:hideMark/>
          </w:tcPr>
          <w:p w14:paraId="3C9A30AD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PHARMGKB, CTD</w:t>
            </w:r>
          </w:p>
        </w:tc>
      </w:tr>
      <w:tr w:rsidR="00E3057E" w:rsidRPr="001A3ED1" w14:paraId="4900F52B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75F55A8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SLCO1B3</w:t>
            </w:r>
          </w:p>
        </w:tc>
        <w:tc>
          <w:tcPr>
            <w:tcW w:w="4759" w:type="dxa"/>
            <w:noWrap/>
            <w:hideMark/>
          </w:tcPr>
          <w:p w14:paraId="609ED93D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30F83710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4CA3DB3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SLCO2B1</w:t>
            </w:r>
          </w:p>
        </w:tc>
        <w:tc>
          <w:tcPr>
            <w:tcW w:w="4759" w:type="dxa"/>
            <w:noWrap/>
            <w:hideMark/>
          </w:tcPr>
          <w:p w14:paraId="1DADD605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544DE9AD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D6531F6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SOAT1</w:t>
            </w:r>
          </w:p>
        </w:tc>
        <w:tc>
          <w:tcPr>
            <w:tcW w:w="4759" w:type="dxa"/>
            <w:noWrap/>
            <w:hideMark/>
          </w:tcPr>
          <w:p w14:paraId="6E3A7957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6F97FE5A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C0A816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SQLE</w:t>
            </w:r>
          </w:p>
        </w:tc>
        <w:tc>
          <w:tcPr>
            <w:tcW w:w="4759" w:type="dxa"/>
            <w:noWrap/>
            <w:hideMark/>
          </w:tcPr>
          <w:p w14:paraId="4A13AB1B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4F94718D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505B0D7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SREBF2</w:t>
            </w:r>
          </w:p>
        </w:tc>
        <w:tc>
          <w:tcPr>
            <w:tcW w:w="4759" w:type="dxa"/>
            <w:noWrap/>
            <w:hideMark/>
          </w:tcPr>
          <w:p w14:paraId="365E028B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7222FE38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0CD50D03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TFRC</w:t>
            </w:r>
          </w:p>
        </w:tc>
        <w:tc>
          <w:tcPr>
            <w:tcW w:w="4759" w:type="dxa"/>
            <w:noWrap/>
            <w:hideMark/>
          </w:tcPr>
          <w:p w14:paraId="6460D6F2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65C32B62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37F914C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THBS1</w:t>
            </w:r>
          </w:p>
        </w:tc>
        <w:tc>
          <w:tcPr>
            <w:tcW w:w="4759" w:type="dxa"/>
            <w:noWrap/>
            <w:hideMark/>
          </w:tcPr>
          <w:p w14:paraId="0FF5DA44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19743E1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0B642FC9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TLR2</w:t>
            </w:r>
          </w:p>
        </w:tc>
        <w:tc>
          <w:tcPr>
            <w:tcW w:w="4759" w:type="dxa"/>
            <w:noWrap/>
            <w:hideMark/>
          </w:tcPr>
          <w:p w14:paraId="1D89FC0D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BBBFE73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31401A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TLR4</w:t>
            </w:r>
          </w:p>
        </w:tc>
        <w:tc>
          <w:tcPr>
            <w:tcW w:w="4759" w:type="dxa"/>
            <w:noWrap/>
            <w:hideMark/>
          </w:tcPr>
          <w:p w14:paraId="21913C1E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2C0083AE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561D5A6B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TNF</w:t>
            </w:r>
          </w:p>
        </w:tc>
        <w:tc>
          <w:tcPr>
            <w:tcW w:w="4759" w:type="dxa"/>
            <w:noWrap/>
            <w:hideMark/>
          </w:tcPr>
          <w:p w14:paraId="3F229024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02D19FC7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2AC8727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TNFRSF1A</w:t>
            </w:r>
          </w:p>
        </w:tc>
        <w:tc>
          <w:tcPr>
            <w:tcW w:w="4759" w:type="dxa"/>
            <w:noWrap/>
            <w:hideMark/>
          </w:tcPr>
          <w:p w14:paraId="66DB36C9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1EE6D07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EEB5834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TRAF6</w:t>
            </w:r>
          </w:p>
        </w:tc>
        <w:tc>
          <w:tcPr>
            <w:tcW w:w="4759" w:type="dxa"/>
            <w:noWrap/>
            <w:hideMark/>
          </w:tcPr>
          <w:p w14:paraId="65A3A499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1853045D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2D99184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UGT1A1</w:t>
            </w:r>
          </w:p>
        </w:tc>
        <w:tc>
          <w:tcPr>
            <w:tcW w:w="4759" w:type="dxa"/>
            <w:noWrap/>
            <w:hideMark/>
          </w:tcPr>
          <w:p w14:paraId="2FB044FA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618A1A17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43DB1995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UGT1A3</w:t>
            </w:r>
          </w:p>
        </w:tc>
        <w:tc>
          <w:tcPr>
            <w:tcW w:w="4759" w:type="dxa"/>
            <w:noWrap/>
            <w:hideMark/>
          </w:tcPr>
          <w:p w14:paraId="47715301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2B31CC22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0A17BE33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UGT2B7</w:t>
            </w:r>
          </w:p>
        </w:tc>
        <w:tc>
          <w:tcPr>
            <w:tcW w:w="4759" w:type="dxa"/>
            <w:noWrap/>
            <w:hideMark/>
          </w:tcPr>
          <w:p w14:paraId="4BE855D6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PHARMGKB</w:t>
            </w:r>
          </w:p>
        </w:tc>
      </w:tr>
      <w:tr w:rsidR="00E3057E" w:rsidRPr="001A3ED1" w14:paraId="1CFFC14C" w14:textId="77777777" w:rsidTr="00BD3D8F">
        <w:trPr>
          <w:trHeight w:val="300"/>
        </w:trPr>
        <w:tc>
          <w:tcPr>
            <w:tcW w:w="1195" w:type="dxa"/>
            <w:gridSpan w:val="2"/>
            <w:noWrap/>
            <w:hideMark/>
          </w:tcPr>
          <w:p w14:paraId="30710294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VCAM1</w:t>
            </w:r>
          </w:p>
        </w:tc>
        <w:tc>
          <w:tcPr>
            <w:tcW w:w="4759" w:type="dxa"/>
            <w:noWrap/>
            <w:hideMark/>
          </w:tcPr>
          <w:p w14:paraId="7A7CB384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  <w:tr w:rsidR="00E3057E" w:rsidRPr="001A3ED1" w14:paraId="596265A6" w14:textId="77777777" w:rsidTr="00BD3D8F">
        <w:trPr>
          <w:trHeight w:val="300"/>
        </w:trPr>
        <w:tc>
          <w:tcPr>
            <w:tcW w:w="119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AA73B48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VWF</w:t>
            </w:r>
          </w:p>
        </w:tc>
        <w:tc>
          <w:tcPr>
            <w:tcW w:w="4759" w:type="dxa"/>
            <w:tcBorders>
              <w:bottom w:val="single" w:sz="4" w:space="0" w:color="auto"/>
            </w:tcBorders>
            <w:noWrap/>
            <w:hideMark/>
          </w:tcPr>
          <w:p w14:paraId="1C99F540" w14:textId="77777777" w:rsidR="00E3057E" w:rsidRPr="001A3ED1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D1">
              <w:rPr>
                <w:rFonts w:ascii="Times New Roman" w:hAnsi="Times New Roman" w:cs="Times New Roman"/>
                <w:sz w:val="20"/>
                <w:szCs w:val="20"/>
              </w:rPr>
              <w:t>CTD</w:t>
            </w:r>
          </w:p>
        </w:tc>
      </w:tr>
    </w:tbl>
    <w:p w14:paraId="2EE2837F" w14:textId="77777777" w:rsidR="00E3057E" w:rsidRDefault="00E3057E" w:rsidP="00E30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DB7215" w14:textId="77777777" w:rsidR="00E3057E" w:rsidRDefault="00E3057E" w:rsidP="00E30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B46C63" w14:textId="77777777" w:rsidR="00E3057E" w:rsidRPr="00A704A8" w:rsidRDefault="00E3057E" w:rsidP="00E3057E">
      <w:pPr>
        <w:rPr>
          <w:rFonts w:ascii="Times New Roman" w:hAnsi="Times New Roman" w:cs="Times New Roman"/>
          <w:sz w:val="24"/>
          <w:szCs w:val="24"/>
        </w:rPr>
      </w:pPr>
      <w:r w:rsidRPr="00A704A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</w:t>
      </w:r>
      <w:r w:rsidRPr="00CA075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704A8">
        <w:rPr>
          <w:rFonts w:ascii="Times New Roman" w:hAnsi="Times New Roman" w:cs="Times New Roman"/>
          <w:b/>
          <w:bCs/>
          <w:sz w:val="24"/>
          <w:szCs w:val="24"/>
        </w:rPr>
        <w:t>tary Table 2</w:t>
      </w:r>
      <w:r w:rsidRPr="00A704A8">
        <w:rPr>
          <w:rFonts w:ascii="Times New Roman" w:hAnsi="Times New Roman" w:cs="Times New Roman"/>
          <w:sz w:val="24"/>
          <w:szCs w:val="24"/>
        </w:rPr>
        <w:t xml:space="preserve">: List of </w:t>
      </w:r>
      <w:r w:rsidRPr="00A704A8">
        <w:rPr>
          <w:rFonts w:ascii="Times New Roman" w:hAnsi="Times New Roman" w:cs="Times New Roman"/>
          <w:sz w:val="24"/>
          <w:szCs w:val="24"/>
          <w:lang w:val="en-US"/>
        </w:rPr>
        <w:t>genes reported to be associated with atorvastatin-induced myalgia from previous studies in the literature</w:t>
      </w:r>
    </w:p>
    <w:p w14:paraId="5FAF0D38" w14:textId="77777777" w:rsidR="00E3057E" w:rsidRDefault="00E3057E" w:rsidP="00E305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545"/>
        <w:gridCol w:w="1161"/>
        <w:gridCol w:w="1273"/>
        <w:gridCol w:w="946"/>
      </w:tblGrid>
      <w:tr w:rsidR="00E3057E" w:rsidRPr="006F63C8" w14:paraId="04127729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9B15E7" w14:textId="77777777" w:rsidR="00E3057E" w:rsidRPr="006F63C8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symbol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A422B9" w14:textId="77777777" w:rsidR="00E3057E" w:rsidRPr="006F63C8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D4EAF4" w14:textId="77777777" w:rsidR="00E3057E" w:rsidRPr="006F63C8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rsid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463AA7" w14:textId="077D27AB" w:rsidR="00E3057E" w:rsidRPr="006F63C8" w:rsidRDefault="00E3057E" w:rsidP="00BD3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Reported </w:t>
            </w:r>
            <w:r w:rsidR="005670EC" w:rsidRPr="005670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44F25C" w14:textId="5D518F83" w:rsidR="00E3057E" w:rsidRPr="005670EC" w:rsidRDefault="00E3057E" w:rsidP="00BD3D8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670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E3057E" w:rsidRPr="006F63C8" w14:paraId="174ED63A" w14:textId="77777777" w:rsidTr="00BD3D8F">
        <w:trPr>
          <w:trHeight w:val="6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721B29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ABCG2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88E7B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Mirosevic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ABCG2 gene polymorphisms as risk factors for atorvastatin adverse reactions: a case-control study. Pharmacogenomics 2015;16:803–815.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2EEA18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rs2231142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D7698B" w14:textId="741EAB43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F8D6A1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</w:tr>
      <w:tr w:rsidR="00E3057E" w:rsidRPr="006F63C8" w14:paraId="7142C613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7D2C96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ATP2B1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245534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Ruano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Mechanisms of statin-induced myalgia assessed by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physiogenomic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associations. Atherosclerosis 2011;218, 451-456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E57625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rs17381194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F24381" w14:textId="3F6FD7F0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&lt; 0.00079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149271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E3057E" w:rsidRPr="006F63C8" w14:paraId="16EB5D79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29B5BC9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COQ2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11BAA9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Ruano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Mechanisms of statin-induced myalgia assessed by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physiogenomic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associations. Atherosclerosis 2011;218, 451-456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32C741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rs4693570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12C4A2" w14:textId="00F96125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&lt; 0.000041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0E4149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E3057E" w:rsidRPr="006F63C8" w14:paraId="38E6ABB7" w14:textId="77777777" w:rsidTr="00BD3D8F">
        <w:trPr>
          <w:trHeight w:val="300"/>
        </w:trPr>
        <w:tc>
          <w:tcPr>
            <w:tcW w:w="1102" w:type="dxa"/>
            <w:tcBorders>
              <w:bottom w:val="single" w:sz="4" w:space="0" w:color="auto"/>
            </w:tcBorders>
            <w:noWrap/>
            <w:hideMark/>
          </w:tcPr>
          <w:p w14:paraId="5E6D972A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4D068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Oh et al. Genetic determinants of statin intolerance. Lipids Health Dis 2007; 6:7.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00C5A1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AAA819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FFB59A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57E" w:rsidRPr="006F63C8" w14:paraId="5ABE0D95" w14:textId="77777777" w:rsidTr="00BD3D8F">
        <w:trPr>
          <w:trHeight w:val="6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564BF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CYP2D6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AE382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Frudakis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CYP2D6*4 polymorphism is associated with statin-induced muscle effects.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Pharmacogenet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Genomics 2007;17:695–707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ADD537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rs3892097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D961BD" w14:textId="0776F08F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8789C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E3057E" w:rsidRPr="006F63C8" w14:paraId="3427F713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1BE8FE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CYP3A4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C62645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Becker et al. Influence of genetic variation in CYP3A4 and ABCB1 on dose decrease or switching during simvastatin and atorvastatin therapy.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Pharmacoepidemiol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Drug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Saf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2010;19:75–81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B728A4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rs2740574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9EF3EB" w14:textId="4312933C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005E22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</w:tr>
      <w:tr w:rsidR="00E3057E" w:rsidRPr="006F63C8" w14:paraId="64992ADA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3E5AA2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DMPK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27E4A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Ruano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Mechanisms of statin-induced myalgia assessed by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physiogenomic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associations. </w:t>
            </w:r>
            <w:r w:rsidRPr="006F63C8">
              <w:rPr>
                <w:rFonts w:ascii="Times New Roman" w:hAnsi="Times New Roman" w:cs="Times New Roman"/>
                <w:sz w:val="20"/>
                <w:szCs w:val="20"/>
              </w:rPr>
              <w:br/>
              <w:t>Atherosclerosis 2011;218:451-456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7C8303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rs672348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BACC8E" w14:textId="3DDE3C18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&lt; 0.0016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461B7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</w:tr>
      <w:tr w:rsidR="00E3057E" w:rsidRPr="006F63C8" w14:paraId="6D6ADC2E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0DDFFC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HTR3B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56AAE1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Ruano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Physiogenomic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Association of Statin-related Myalgia to Serotonin Receptors. </w:t>
            </w:r>
            <w:r w:rsidRPr="006F63C8">
              <w:rPr>
                <w:rFonts w:ascii="Times New Roman" w:hAnsi="Times New Roman" w:cs="Times New Roman"/>
                <w:sz w:val="20"/>
                <w:szCs w:val="20"/>
              </w:rPr>
              <w:br/>
              <w:t>Muscle Nerve 2007;36:329-335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E63587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rs2276307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A07A4C" w14:textId="48FF1A92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8091E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0.0023</w:t>
            </w:r>
          </w:p>
        </w:tc>
      </w:tr>
      <w:tr w:rsidR="00E3057E" w:rsidRPr="006F63C8" w14:paraId="4D87680A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8DBB8F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HTR7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6137B0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Ruano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Physiogenomic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Association of Statin-related Myalgia to Serotonin Receptors. Muscle Nerve 2007:36, 329-335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A23380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rs1935349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9EAA2B" w14:textId="2234A300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F2DFF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E3057E" w:rsidRPr="006F63C8" w14:paraId="1C9A39B8" w14:textId="77777777" w:rsidTr="00BD3D8F">
        <w:trPr>
          <w:trHeight w:val="600"/>
        </w:trPr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5EAF28E3" w14:textId="77777777" w:rsidR="00E3057E" w:rsidRPr="00B10A1C" w:rsidRDefault="00E3057E" w:rsidP="00BD3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SLCO1B1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C083D4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Voora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et al. The SLCO1B1*5 genetic variant is associated with statin-induced side effects. J Am Coll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Cardiol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2009;54:1609–1616.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8E1D0D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rs4149056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FD6F0B" w14:textId="2A5FE94C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≤ 0.03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99A6A1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E3057E" w:rsidRPr="006F63C8" w14:paraId="5B2198C4" w14:textId="77777777" w:rsidTr="00BD3D8F">
        <w:trPr>
          <w:trHeight w:val="900"/>
        </w:trPr>
        <w:tc>
          <w:tcPr>
            <w:tcW w:w="1102" w:type="dxa"/>
            <w:noWrap/>
            <w:hideMark/>
          </w:tcPr>
          <w:p w14:paraId="63A50967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66B226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Donnelly et al. Common nonsynonymous substitutions in SLCO1B1 predispose to statin intolerance in routinely treated individuals with type 2 diabetes: a go-DARTS study. Clin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Pharmacol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Ther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2011;89:210–216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CD2DB3" w14:textId="77777777" w:rsidR="00E3057E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rs4149056</w:t>
            </w:r>
          </w:p>
          <w:p w14:paraId="155F1A53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rs2306283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81A403" w14:textId="769AEF77" w:rsidR="00E3057E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  <w:p w14:paraId="147DFA55" w14:textId="5A021359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F95071" w14:textId="77777777" w:rsidR="00E3057E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5A8FD66A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E3057E" w:rsidRPr="006F63C8" w14:paraId="74A609A5" w14:textId="77777777" w:rsidTr="00BD3D8F">
        <w:trPr>
          <w:trHeight w:val="300"/>
        </w:trPr>
        <w:tc>
          <w:tcPr>
            <w:tcW w:w="1102" w:type="dxa"/>
            <w:tcBorders>
              <w:bottom w:val="single" w:sz="4" w:space="0" w:color="auto"/>
            </w:tcBorders>
            <w:noWrap/>
            <w:hideMark/>
          </w:tcPr>
          <w:p w14:paraId="32EE8580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84415E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Bakar et al. Genetic and clinical factors are associated with statin-related myotoxicity of moderate severity: a case control study. Clin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Pharmacol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Ther</w:t>
            </w:r>
            <w:proofErr w:type="spellEnd"/>
            <w:r w:rsidRPr="006F63C8">
              <w:rPr>
                <w:rFonts w:ascii="Times New Roman" w:hAnsi="Times New Roman" w:cs="Times New Roman"/>
                <w:sz w:val="20"/>
                <w:szCs w:val="20"/>
              </w:rPr>
              <w:t xml:space="preserve"> 2018;104:178-187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CC59AA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rs4149056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98902B" w14:textId="3A474329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DFB16A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3C8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E3057E" w:rsidRPr="006F63C8" w14:paraId="1500C514" w14:textId="77777777" w:rsidTr="00BD3D8F">
        <w:trPr>
          <w:trHeight w:val="300"/>
        </w:trPr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20CCEC7D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70994076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noWrap/>
          </w:tcPr>
          <w:p w14:paraId="424AF2E4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noWrap/>
          </w:tcPr>
          <w:p w14:paraId="5054F0C4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noWrap/>
          </w:tcPr>
          <w:p w14:paraId="65A5642B" w14:textId="77777777" w:rsidR="00E3057E" w:rsidRPr="006F63C8" w:rsidRDefault="00E3057E" w:rsidP="00BD3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95429E" w14:textId="6CC58790" w:rsidR="00E3057E" w:rsidRDefault="00E3057E" w:rsidP="00E3057E">
      <w:pPr>
        <w:rPr>
          <w:rFonts w:ascii="Times New Roman" w:hAnsi="Times New Roman" w:cs="Times New Roman"/>
          <w:sz w:val="24"/>
          <w:szCs w:val="24"/>
        </w:rPr>
      </w:pPr>
    </w:p>
    <w:p w14:paraId="70EEA090" w14:textId="0D929AE5" w:rsidR="00440300" w:rsidRDefault="00440300" w:rsidP="00E3057E">
      <w:pPr>
        <w:rPr>
          <w:rFonts w:ascii="Times New Roman" w:hAnsi="Times New Roman" w:cs="Times New Roman"/>
          <w:sz w:val="24"/>
          <w:szCs w:val="24"/>
        </w:rPr>
      </w:pPr>
    </w:p>
    <w:p w14:paraId="4C4CE9EE" w14:textId="3DB725C7" w:rsidR="00440300" w:rsidRDefault="00440300" w:rsidP="00E3057E">
      <w:pPr>
        <w:rPr>
          <w:rFonts w:ascii="Times New Roman" w:hAnsi="Times New Roman" w:cs="Times New Roman"/>
          <w:sz w:val="24"/>
          <w:szCs w:val="24"/>
        </w:rPr>
      </w:pPr>
    </w:p>
    <w:p w14:paraId="363126B9" w14:textId="16A76279" w:rsidR="00440300" w:rsidRDefault="00440300" w:rsidP="00E3057E">
      <w:pPr>
        <w:rPr>
          <w:rFonts w:ascii="Times New Roman" w:hAnsi="Times New Roman" w:cs="Times New Roman"/>
          <w:sz w:val="24"/>
          <w:szCs w:val="24"/>
        </w:rPr>
      </w:pPr>
    </w:p>
    <w:p w14:paraId="2E797893" w14:textId="05137739" w:rsidR="00440300" w:rsidRDefault="00440300" w:rsidP="00E3057E">
      <w:pPr>
        <w:rPr>
          <w:rFonts w:ascii="Times New Roman" w:hAnsi="Times New Roman" w:cs="Times New Roman"/>
          <w:sz w:val="24"/>
          <w:szCs w:val="24"/>
        </w:rPr>
      </w:pPr>
    </w:p>
    <w:p w14:paraId="73DB02A6" w14:textId="34019543" w:rsidR="00440300" w:rsidRDefault="00440300" w:rsidP="00E3057E">
      <w:pPr>
        <w:rPr>
          <w:rFonts w:ascii="Times New Roman" w:hAnsi="Times New Roman" w:cs="Times New Roman"/>
          <w:sz w:val="24"/>
          <w:szCs w:val="24"/>
        </w:rPr>
      </w:pPr>
    </w:p>
    <w:p w14:paraId="74FFC8DE" w14:textId="019BC88A" w:rsidR="00440300" w:rsidRDefault="00440300" w:rsidP="00440300">
      <w:pPr>
        <w:pStyle w:val="Paragraph"/>
        <w:ind w:firstLine="0"/>
      </w:pPr>
      <w:r>
        <w:rPr>
          <w:b/>
        </w:rPr>
        <w:lastRenderedPageBreak/>
        <w:t>Supplementary Table 3</w:t>
      </w:r>
      <w:r w:rsidRPr="00767835">
        <w:rPr>
          <w:b/>
        </w:rPr>
        <w:t>.</w:t>
      </w:r>
      <w:r w:rsidRPr="00767835">
        <w:t xml:space="preserve"> </w:t>
      </w:r>
      <w:r>
        <w:t xml:space="preserve">Predictive performance of baseline </w:t>
      </w:r>
      <w:r w:rsidRPr="00440300">
        <w:t xml:space="preserve">machine learning models using </w:t>
      </w:r>
      <w:r>
        <w:t xml:space="preserve">either </w:t>
      </w:r>
      <w:r w:rsidRPr="00440300">
        <w:t>all clinical</w:t>
      </w:r>
      <w:r w:rsidR="00AB46B6">
        <w:t>/demographic</w:t>
      </w:r>
      <w:r w:rsidRPr="00440300">
        <w:t xml:space="preserve"> characteristics </w:t>
      </w:r>
      <w:r>
        <w:t xml:space="preserve">or </w:t>
      </w:r>
      <w:r w:rsidRPr="00440300">
        <w:t>gender</w:t>
      </w:r>
    </w:p>
    <w:p w14:paraId="29ABCEB2" w14:textId="77777777" w:rsidR="00E3057E" w:rsidRDefault="00E3057E" w:rsidP="00E305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132" w:type="dxa"/>
        <w:tblLook w:val="04A0" w:firstRow="1" w:lastRow="0" w:firstColumn="1" w:lastColumn="0" w:noHBand="0" w:noVBand="1"/>
      </w:tblPr>
      <w:tblGrid>
        <w:gridCol w:w="2227"/>
        <w:gridCol w:w="2527"/>
        <w:gridCol w:w="1378"/>
      </w:tblGrid>
      <w:tr w:rsidR="00440300" w:rsidRPr="00440300" w14:paraId="00A9EF2E" w14:textId="77777777" w:rsidTr="0096586D">
        <w:trPr>
          <w:trHeight w:val="300"/>
        </w:trPr>
        <w:tc>
          <w:tcPr>
            <w:tcW w:w="22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59AA5E" w14:textId="77777777" w:rsidR="00440300" w:rsidRPr="00440300" w:rsidRDefault="00440300" w:rsidP="0044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3B5EA1" w14:textId="3FB6583F" w:rsidR="00440300" w:rsidRPr="00440300" w:rsidRDefault="00440300" w:rsidP="0044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AUC ± SEM</w:t>
            </w:r>
          </w:p>
        </w:tc>
      </w:tr>
      <w:tr w:rsidR="00440300" w:rsidRPr="00440300" w14:paraId="46CECCAC" w14:textId="77777777" w:rsidTr="00440300">
        <w:trPr>
          <w:trHeight w:val="300"/>
        </w:trPr>
        <w:tc>
          <w:tcPr>
            <w:tcW w:w="22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76C" w14:textId="77777777" w:rsidR="00440300" w:rsidRPr="00440300" w:rsidRDefault="00440300" w:rsidP="0044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5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41A3" w14:textId="37D5DFBB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All clinical</w:t>
            </w:r>
            <w:r w:rsidR="00AB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/demographic</w:t>
            </w:r>
            <w:r w:rsidRPr="00440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characteristics</w:t>
            </w:r>
            <w:r w:rsidR="00AB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*</w:t>
            </w:r>
          </w:p>
        </w:tc>
        <w:tc>
          <w:tcPr>
            <w:tcW w:w="137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D72B" w14:textId="77777777" w:rsidR="00440300" w:rsidRPr="00440300" w:rsidRDefault="00440300" w:rsidP="0044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Gender only</w:t>
            </w:r>
          </w:p>
        </w:tc>
      </w:tr>
      <w:tr w:rsidR="00440300" w:rsidRPr="00440300" w14:paraId="5CBE9A6D" w14:textId="77777777" w:rsidTr="00440300">
        <w:trPr>
          <w:trHeight w:val="300"/>
        </w:trPr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EBD01" w14:textId="77777777" w:rsidR="00440300" w:rsidRPr="00440300" w:rsidRDefault="00440300" w:rsidP="0044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57820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E3645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</w:tc>
      </w:tr>
      <w:tr w:rsidR="00440300" w:rsidRPr="00440300" w14:paraId="5FEF5BD5" w14:textId="77777777" w:rsidTr="00440300">
        <w:trPr>
          <w:trHeight w:val="300"/>
        </w:trPr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2928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Logistic regression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AA0A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0.51 ± 0.02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188D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0.58 ± 0.02</w:t>
            </w:r>
          </w:p>
        </w:tc>
      </w:tr>
      <w:tr w:rsidR="00440300" w:rsidRPr="00440300" w14:paraId="5EA8BEEE" w14:textId="77777777" w:rsidTr="00440300">
        <w:trPr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E273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Elastic net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6172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0.53 ± 0.02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1C12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NA</w:t>
            </w:r>
          </w:p>
        </w:tc>
      </w:tr>
      <w:tr w:rsidR="00440300" w:rsidRPr="00440300" w14:paraId="4C3E24E2" w14:textId="77777777" w:rsidTr="00440300">
        <w:trPr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F49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Random forest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596F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0.54 ± 0.02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DB8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0.57 ± 0.02</w:t>
            </w:r>
          </w:p>
        </w:tc>
      </w:tr>
      <w:tr w:rsidR="00440300" w:rsidRPr="00440300" w14:paraId="7B24559F" w14:textId="77777777" w:rsidTr="00440300">
        <w:trPr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D516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Boosted tree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5E73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0.57 ± 0.02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10C1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0.58 ± 0.02</w:t>
            </w:r>
          </w:p>
        </w:tc>
      </w:tr>
      <w:tr w:rsidR="00440300" w:rsidRPr="00440300" w14:paraId="54A88969" w14:textId="77777777" w:rsidTr="00440300">
        <w:trPr>
          <w:trHeight w:val="300"/>
        </w:trPr>
        <w:tc>
          <w:tcPr>
            <w:tcW w:w="22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AFCB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Neural network</w:t>
            </w:r>
          </w:p>
        </w:tc>
        <w:tc>
          <w:tcPr>
            <w:tcW w:w="2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279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0.53 ± 0.02</w:t>
            </w:r>
          </w:p>
        </w:tc>
        <w:tc>
          <w:tcPr>
            <w:tcW w:w="1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3317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0.58 ± 0.02</w:t>
            </w:r>
          </w:p>
        </w:tc>
      </w:tr>
      <w:tr w:rsidR="00440300" w:rsidRPr="00440300" w14:paraId="73021D5C" w14:textId="77777777" w:rsidTr="00440300">
        <w:trPr>
          <w:trHeight w:val="300"/>
        </w:trPr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737C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Support vector machine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73CEE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0.47 ± 0.003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94AFB" w14:textId="77777777" w:rsidR="00440300" w:rsidRPr="00440300" w:rsidRDefault="00440300" w:rsidP="0044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440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0.50 ± 0.003</w:t>
            </w:r>
          </w:p>
        </w:tc>
      </w:tr>
    </w:tbl>
    <w:p w14:paraId="14C57048" w14:textId="13249FFE" w:rsidR="00E3057E" w:rsidRPr="005A47D1" w:rsidRDefault="00AB46B6" w:rsidP="00E3057E">
      <w:pPr>
        <w:rPr>
          <w:rFonts w:ascii="Times New Roman" w:hAnsi="Times New Roman" w:cs="Times New Roman"/>
          <w:sz w:val="20"/>
          <w:szCs w:val="20"/>
        </w:rPr>
      </w:pPr>
      <w:r w:rsidRPr="005A47D1">
        <w:rPr>
          <w:rFonts w:ascii="Times New Roman" w:hAnsi="Times New Roman" w:cs="Times New Roman"/>
          <w:sz w:val="20"/>
          <w:szCs w:val="20"/>
        </w:rPr>
        <w:t>* Refer to Table 1 for the clinical/demographic characteristics that were used for this analysis</w:t>
      </w:r>
    </w:p>
    <w:p w14:paraId="7571484E" w14:textId="39EB53FE" w:rsidR="00E3057E" w:rsidRDefault="00E3057E" w:rsidP="00E3057E">
      <w:pPr>
        <w:rPr>
          <w:rFonts w:ascii="Times New Roman" w:hAnsi="Times New Roman" w:cs="Times New Roman"/>
          <w:sz w:val="24"/>
          <w:szCs w:val="24"/>
        </w:rPr>
      </w:pPr>
    </w:p>
    <w:p w14:paraId="14020115" w14:textId="2BF032E2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38DCE10B" w14:textId="0CB22DC7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2A92E969" w14:textId="61112ADF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6AA6A306" w14:textId="15C8FA3E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5A34E6ED" w14:textId="3A8BFA19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27066F6B" w14:textId="3CED29A6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71638D9C" w14:textId="133C7E61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12C90783" w14:textId="4531EFE0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27CC4290" w14:textId="62224E26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591CFEB7" w14:textId="4864966F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55EC0600" w14:textId="5AAF1A7F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0A985494" w14:textId="10F16E76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19275D4A" w14:textId="1632B11C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31C12EC1" w14:textId="5B2B62B3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2A765CE6" w14:textId="19D69E4D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5983B308" w14:textId="2C78298D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18DED26D" w14:textId="373B6F06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7E1F0155" w14:textId="06831703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6E168EC0" w14:textId="726F5295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33C021A1" w14:textId="6CD6EEEF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</w:p>
    <w:p w14:paraId="7C6EE220" w14:textId="553B4929" w:rsidR="00110784" w:rsidRDefault="00110784" w:rsidP="00E3057E">
      <w:pPr>
        <w:rPr>
          <w:rFonts w:ascii="Times New Roman" w:hAnsi="Times New Roman" w:cs="Times New Roman"/>
          <w:sz w:val="24"/>
          <w:szCs w:val="24"/>
        </w:rPr>
      </w:pPr>
      <w:r w:rsidRPr="0011078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4.</w:t>
      </w:r>
      <w:r w:rsidRPr="00110784">
        <w:rPr>
          <w:rFonts w:ascii="Times New Roman" w:hAnsi="Times New Roman" w:cs="Times New Roman"/>
          <w:sz w:val="24"/>
          <w:szCs w:val="24"/>
        </w:rPr>
        <w:t xml:space="preserve"> Minor allele frequencies of the </w:t>
      </w:r>
      <w:r w:rsidRPr="008E3685">
        <w:rPr>
          <w:rFonts w:ascii="Times New Roman" w:hAnsi="Times New Roman" w:cs="Times New Roman"/>
          <w:i/>
          <w:iCs/>
          <w:sz w:val="24"/>
          <w:szCs w:val="24"/>
        </w:rPr>
        <w:t>SLCO1B1</w:t>
      </w:r>
      <w:r w:rsidRPr="00110784">
        <w:rPr>
          <w:rFonts w:ascii="Times New Roman" w:hAnsi="Times New Roman" w:cs="Times New Roman"/>
          <w:sz w:val="24"/>
          <w:szCs w:val="24"/>
        </w:rPr>
        <w:t xml:space="preserve"> variant rs4149056 in Singaporean Chinese, Malay and Indian compared to European ethnicities</w:t>
      </w:r>
    </w:p>
    <w:p w14:paraId="5E728EF9" w14:textId="6BE3C191" w:rsidR="00617694" w:rsidRDefault="00617694" w:rsidP="00E305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440" w:type="dxa"/>
        <w:tblLook w:val="04A0" w:firstRow="1" w:lastRow="0" w:firstColumn="1" w:lastColumn="0" w:noHBand="0" w:noVBand="1"/>
      </w:tblPr>
      <w:tblGrid>
        <w:gridCol w:w="2200"/>
        <w:gridCol w:w="2000"/>
        <w:gridCol w:w="2240"/>
      </w:tblGrid>
      <w:tr w:rsidR="00617694" w:rsidRPr="00617694" w14:paraId="5C687CFA" w14:textId="77777777" w:rsidTr="00617694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0F054" w14:textId="77777777" w:rsidR="00617694" w:rsidRPr="00617694" w:rsidRDefault="00617694" w:rsidP="008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0A61F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Frequency in cases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1EAC6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Frequency in controls</w:t>
            </w:r>
          </w:p>
        </w:tc>
      </w:tr>
      <w:tr w:rsidR="00617694" w:rsidRPr="00617694" w14:paraId="38F24465" w14:textId="77777777" w:rsidTr="00617694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74DD" w14:textId="77777777" w:rsidR="00617694" w:rsidRPr="00617694" w:rsidRDefault="00617694" w:rsidP="0061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Singaporean Chinese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074C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0.0357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AD41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0.135</w:t>
            </w:r>
          </w:p>
        </w:tc>
      </w:tr>
      <w:tr w:rsidR="00617694" w:rsidRPr="00617694" w14:paraId="18921C6F" w14:textId="77777777" w:rsidTr="0061769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AFDB" w14:textId="77777777" w:rsidR="00617694" w:rsidRPr="00617694" w:rsidRDefault="00617694" w:rsidP="0061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Singaporean Malay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443D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D6A3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0.103</w:t>
            </w:r>
          </w:p>
        </w:tc>
      </w:tr>
      <w:tr w:rsidR="00617694" w:rsidRPr="00617694" w14:paraId="7C598C40" w14:textId="77777777" w:rsidTr="008E3685">
        <w:trPr>
          <w:trHeight w:val="320"/>
        </w:trPr>
        <w:tc>
          <w:tcPr>
            <w:tcW w:w="2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9369" w14:textId="77777777" w:rsidR="00617694" w:rsidRPr="00617694" w:rsidRDefault="00617694" w:rsidP="0061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Singaporean Indian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8C0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0423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0.044</w:t>
            </w:r>
          </w:p>
        </w:tc>
      </w:tr>
      <w:tr w:rsidR="00617694" w:rsidRPr="00617694" w14:paraId="17C6A716" w14:textId="77777777" w:rsidTr="008E3685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675C7" w14:textId="77777777" w:rsidR="00617694" w:rsidRPr="00617694" w:rsidRDefault="00617694" w:rsidP="0061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European 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116F3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A694E" w14:textId="77777777" w:rsidR="00617694" w:rsidRPr="00617694" w:rsidRDefault="00617694" w:rsidP="00617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17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</w:tr>
    </w:tbl>
    <w:p w14:paraId="1A28EE6D" w14:textId="28E4F932" w:rsidR="00B23CCC" w:rsidRPr="005A47D1" w:rsidRDefault="00B23CCC" w:rsidP="00B23CCC">
      <w:pPr>
        <w:rPr>
          <w:rFonts w:ascii="Times New Roman" w:hAnsi="Times New Roman" w:cs="Times New Roman"/>
          <w:sz w:val="20"/>
          <w:szCs w:val="20"/>
        </w:rPr>
      </w:pPr>
      <w:r w:rsidRPr="005A47D1">
        <w:rPr>
          <w:rFonts w:ascii="Times New Roman" w:hAnsi="Times New Roman" w:cs="Times New Roman"/>
          <w:sz w:val="20"/>
          <w:szCs w:val="20"/>
        </w:rPr>
        <w:t xml:space="preserve">* </w:t>
      </w:r>
      <w:r w:rsidR="0013201A">
        <w:rPr>
          <w:rFonts w:ascii="Times New Roman" w:hAnsi="Times New Roman" w:cs="Times New Roman"/>
          <w:sz w:val="20"/>
          <w:szCs w:val="20"/>
        </w:rPr>
        <w:t>Data obtained from</w:t>
      </w:r>
      <w:r w:rsidR="00223FDF">
        <w:rPr>
          <w:rFonts w:ascii="Times New Roman" w:hAnsi="Times New Roman" w:cs="Times New Roman"/>
          <w:sz w:val="20"/>
          <w:szCs w:val="20"/>
        </w:rPr>
        <w:t xml:space="preserve"> the seminal GWAS paper </w:t>
      </w:r>
      <w:proofErr w:type="spellStart"/>
      <w:r w:rsidR="00F34ADD">
        <w:rPr>
          <w:rFonts w:ascii="Times New Roman" w:hAnsi="Times New Roman" w:cs="Times New Roman"/>
          <w:sz w:val="20"/>
          <w:szCs w:val="20"/>
        </w:rPr>
        <w:t>ont</w:t>
      </w:r>
      <w:proofErr w:type="spellEnd"/>
      <w:r w:rsidR="00F34ADD">
        <w:rPr>
          <w:rFonts w:ascii="Times New Roman" w:hAnsi="Times New Roman" w:cs="Times New Roman"/>
          <w:sz w:val="20"/>
          <w:szCs w:val="20"/>
        </w:rPr>
        <w:t xml:space="preserve"> the association of SLCO1B1 with statin-induced myopathy </w:t>
      </w:r>
      <w:r w:rsidR="00223FDF">
        <w:rPr>
          <w:rFonts w:ascii="Times New Roman" w:hAnsi="Times New Roman" w:cs="Times New Roman"/>
          <w:sz w:val="20"/>
          <w:szCs w:val="20"/>
        </w:rPr>
        <w:t>by</w:t>
      </w:r>
      <w:r w:rsidR="0013201A">
        <w:rPr>
          <w:rFonts w:ascii="Times New Roman" w:hAnsi="Times New Roman" w:cs="Times New Roman"/>
          <w:sz w:val="20"/>
          <w:szCs w:val="20"/>
        </w:rPr>
        <w:t xml:space="preserve"> </w:t>
      </w:r>
      <w:r w:rsidR="008E3685">
        <w:rPr>
          <w:rFonts w:ascii="Times New Roman" w:hAnsi="Times New Roman" w:cs="Times New Roman"/>
          <w:sz w:val="20"/>
          <w:szCs w:val="20"/>
        </w:rPr>
        <w:t>Link, et al.</w:t>
      </w:r>
      <w:r w:rsidR="00223FDF">
        <w:rPr>
          <w:rFonts w:ascii="Times New Roman" w:hAnsi="Times New Roman" w:cs="Times New Roman"/>
          <w:sz w:val="20"/>
          <w:szCs w:val="20"/>
        </w:rPr>
        <w:t xml:space="preserve"> (2008)</w:t>
      </w:r>
    </w:p>
    <w:p w14:paraId="1B85D316" w14:textId="77777777" w:rsidR="00617694" w:rsidRDefault="00617694" w:rsidP="00E3057E">
      <w:pPr>
        <w:rPr>
          <w:rFonts w:ascii="Times New Roman" w:hAnsi="Times New Roman" w:cs="Times New Roman"/>
          <w:sz w:val="24"/>
          <w:szCs w:val="24"/>
        </w:rPr>
      </w:pPr>
    </w:p>
    <w:sectPr w:rsidR="00617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ea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7E"/>
    <w:rsid w:val="00110784"/>
    <w:rsid w:val="00127F3F"/>
    <w:rsid w:val="0013201A"/>
    <w:rsid w:val="001545AE"/>
    <w:rsid w:val="00223FDF"/>
    <w:rsid w:val="00225538"/>
    <w:rsid w:val="00381678"/>
    <w:rsid w:val="00440300"/>
    <w:rsid w:val="00484D58"/>
    <w:rsid w:val="004A5DD6"/>
    <w:rsid w:val="004D5260"/>
    <w:rsid w:val="00556602"/>
    <w:rsid w:val="005670EC"/>
    <w:rsid w:val="005A47D1"/>
    <w:rsid w:val="00617694"/>
    <w:rsid w:val="00664586"/>
    <w:rsid w:val="00794312"/>
    <w:rsid w:val="00870DCF"/>
    <w:rsid w:val="008E3685"/>
    <w:rsid w:val="00AB46B6"/>
    <w:rsid w:val="00B10A1C"/>
    <w:rsid w:val="00B23CCC"/>
    <w:rsid w:val="00B62DBC"/>
    <w:rsid w:val="00BD3D8F"/>
    <w:rsid w:val="00DA4EFC"/>
    <w:rsid w:val="00DD6AE9"/>
    <w:rsid w:val="00E13F7E"/>
    <w:rsid w:val="00E3057E"/>
    <w:rsid w:val="00F14E52"/>
    <w:rsid w:val="00F34ADD"/>
    <w:rsid w:val="00F6620B"/>
    <w:rsid w:val="00F6681D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0D9"/>
  <w15:chartTrackingRefBased/>
  <w15:docId w15:val="{1B590BD3-AC4A-4C13-B10E-EB8B8B96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customStyle="1" w:styleId="Paragraph">
    <w:name w:val="Paragraph"/>
    <w:basedOn w:val="Normal"/>
    <w:rsid w:val="00B62DBC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60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40300"/>
  </w:style>
  <w:style w:type="paragraph" w:styleId="ListParagraph">
    <w:name w:val="List Paragraph"/>
    <w:basedOn w:val="Normal"/>
    <w:uiPriority w:val="34"/>
    <w:qFormat/>
    <w:rsid w:val="00AB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Ooi Nick Sern</dc:creator>
  <cp:keywords/>
  <dc:description/>
  <cp:lastModifiedBy>Florine</cp:lastModifiedBy>
  <cp:revision>5</cp:revision>
  <dcterms:created xsi:type="dcterms:W3CDTF">2021-02-28T01:07:00Z</dcterms:created>
  <dcterms:modified xsi:type="dcterms:W3CDTF">2021-03-09T11:11:00Z</dcterms:modified>
</cp:coreProperties>
</file>