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B59A" w14:textId="77777777" w:rsidR="00D3548B" w:rsidRDefault="00D3548B" w:rsidP="007B2119">
      <w:pPr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0"/>
          <w:szCs w:val="20"/>
        </w:rPr>
      </w:pPr>
    </w:p>
    <w:p w14:paraId="3C563E8E" w14:textId="24D832D4" w:rsidR="004F5EB0" w:rsidRDefault="007B2119" w:rsidP="007B2119">
      <w:pPr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0"/>
          <w:szCs w:val="20"/>
        </w:rPr>
      </w:pPr>
      <w:r w:rsidRPr="007B2119">
        <w:rPr>
          <w:rFonts w:ascii="Times New Roman" w:eastAsia="SimSun" w:hAnsi="Times New Roman" w:cs="Times New Roman"/>
          <w:b/>
          <w:bCs/>
          <w:color w:val="000000" w:themeColor="text1"/>
          <w:sz w:val="20"/>
          <w:szCs w:val="20"/>
        </w:rPr>
        <w:t>Supplementary Material</w:t>
      </w:r>
    </w:p>
    <w:p w14:paraId="17DB4C0D" w14:textId="77777777" w:rsidR="00D92AC7" w:rsidRPr="007B2119" w:rsidRDefault="00D92AC7" w:rsidP="007B2119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7C5F649" w14:textId="45A58C0E" w:rsidR="004F5EB0" w:rsidRPr="006E19F1" w:rsidRDefault="00104B96" w:rsidP="004F5EB0">
      <w:pPr>
        <w:rPr>
          <w:rFonts w:ascii="Times New Roman" w:eastAsia="SimSun" w:hAnsi="Times New Roman"/>
          <w:color w:val="FF0000"/>
          <w:kern w:val="2"/>
          <w:sz w:val="20"/>
          <w:szCs w:val="20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Table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 </w:t>
      </w:r>
      <w:proofErr w:type="gramStart"/>
      <w:r w:rsidR="004F5EB0" w:rsidRPr="00A94B08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T</w:t>
      </w:r>
      <w:r w:rsidR="004F5EB0" w:rsidRPr="00A94B08">
        <w:rPr>
          <w:rFonts w:ascii="Times New Roman" w:hAnsi="Times New Roman" w:cs="Times New Roman"/>
          <w:color w:val="000000" w:themeColor="text1"/>
          <w:sz w:val="20"/>
          <w:szCs w:val="20"/>
        </w:rPr>
        <w:t>he</w:t>
      </w:r>
      <w:proofErr w:type="gramEnd"/>
      <w:r w:rsidR="004F5EB0" w:rsidRPr="00A94B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F5EB0" w:rsidRPr="00A94B08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s</w:t>
      </w:r>
      <w:r w:rsidR="004F5EB0" w:rsidRPr="00A94B08">
        <w:rPr>
          <w:rFonts w:ascii="Times New Roman" w:hAnsi="Times New Roman" w:cs="Times New Roman"/>
          <w:color w:val="000000" w:themeColor="text1"/>
          <w:sz w:val="20"/>
          <w:szCs w:val="20"/>
        </w:rPr>
        <w:t>usceptibility value diﬀerences [ppb (×10</w:t>
      </w:r>
      <w:r w:rsidR="004F5EB0" w:rsidRPr="006E19F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-9</w:t>
      </w:r>
      <w:r w:rsidR="004F5EB0" w:rsidRPr="00A94B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)] </w:t>
      </w:r>
      <w:r w:rsidR="004F5EB0" w:rsidRPr="00A94B08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in</w:t>
      </w:r>
      <w:r w:rsidR="004F5EB0" w:rsidRPr="00A94B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gray </w:t>
      </w:r>
      <w:r w:rsidR="004F5EB0" w:rsidRPr="00A94B08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m</w:t>
      </w:r>
      <w:r w:rsidR="004F5EB0" w:rsidRPr="00A94B08">
        <w:rPr>
          <w:rFonts w:ascii="Times New Roman" w:hAnsi="Times New Roman" w:cs="Times New Roman"/>
          <w:color w:val="000000" w:themeColor="text1"/>
          <w:sz w:val="20"/>
          <w:szCs w:val="20"/>
        </w:rPr>
        <w:t>atter nucleus</w:t>
      </w:r>
    </w:p>
    <w:tbl>
      <w:tblPr>
        <w:tblStyle w:val="TableGrid"/>
        <w:tblW w:w="5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1688"/>
        <w:gridCol w:w="1620"/>
      </w:tblGrid>
      <w:tr w:rsidR="004F5EB0" w:rsidRPr="002F5453" w14:paraId="1E637751" w14:textId="77777777" w:rsidTr="003B0519">
        <w:trPr>
          <w:trHeight w:val="438"/>
        </w:trPr>
        <w:tc>
          <w:tcPr>
            <w:tcW w:w="22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862EF4" w14:textId="77777777" w:rsidR="004F5EB0" w:rsidRPr="00557502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 xml:space="preserve">DGM </w:t>
            </w:r>
            <w:r w:rsidRPr="00E579F7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structures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C417B6" w14:textId="77777777" w:rsidR="004F5EB0" w:rsidRPr="00557502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0106A">
              <w:rPr>
                <w:rFonts w:ascii="Times New Roman" w:eastAsia="SimSun" w:hAnsi="Times New Roman"/>
                <w:sz w:val="20"/>
                <w:szCs w:val="20"/>
              </w:rPr>
              <w:t xml:space="preserve">HC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(</w:t>
            </w:r>
            <w:r w:rsidRPr="00A0106A">
              <w:rPr>
                <w:rFonts w:ascii="Times New Roman" w:eastAsia="SimSun" w:hAnsi="Times New Roman"/>
                <w:sz w:val="20"/>
                <w:szCs w:val="20"/>
              </w:rPr>
              <w:t>n=3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4)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CE8F7C" w14:textId="77777777" w:rsidR="004F5EB0" w:rsidRPr="00557502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A0106A">
              <w:rPr>
                <w:rFonts w:ascii="Times New Roman" w:eastAsia="SimSun" w:hAnsi="Times New Roman"/>
                <w:sz w:val="20"/>
                <w:szCs w:val="20"/>
              </w:rPr>
              <w:t>T2DM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(</w:t>
            </w:r>
            <w:r w:rsidRPr="00A0106A">
              <w:rPr>
                <w:rFonts w:ascii="Times New Roman" w:eastAsia="SimSun" w:hAnsi="Times New Roman"/>
                <w:sz w:val="20"/>
                <w:szCs w:val="20"/>
              </w:rPr>
              <w:t>n=3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2)</w:t>
            </w:r>
          </w:p>
        </w:tc>
      </w:tr>
      <w:tr w:rsidR="004F5EB0" w:rsidRPr="002F5453" w14:paraId="496A298E" w14:textId="77777777" w:rsidTr="003B0519">
        <w:tc>
          <w:tcPr>
            <w:tcW w:w="2272" w:type="dxa"/>
            <w:tcBorders>
              <w:top w:val="single" w:sz="4" w:space="0" w:color="auto"/>
            </w:tcBorders>
            <w:vAlign w:val="bottom"/>
          </w:tcPr>
          <w:p w14:paraId="68E52E26" w14:textId="77777777" w:rsidR="004F5EB0" w:rsidRPr="00557502" w:rsidRDefault="004F5EB0" w:rsidP="003B0519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557502">
              <w:rPr>
                <w:rFonts w:ascii="Times New Roman" w:eastAsia="SimSun" w:hAnsi="Times New Roman"/>
                <w:sz w:val="20"/>
                <w:szCs w:val="20"/>
              </w:rPr>
              <w:t xml:space="preserve"> Pallidum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3B284BD6" w14:textId="77777777" w:rsidR="004F5EB0" w:rsidRPr="00557502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109.33</w:t>
            </w:r>
            <w:r>
              <w:rPr>
                <w:rFonts w:ascii="Times New Roman" w:eastAsia="SimSun" w:hAnsi="Times New Roman" w:hint="eastAsia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6.03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3F21707" w14:textId="77777777" w:rsidR="004F5EB0" w:rsidRPr="00557502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121.72</w:t>
            </w:r>
            <w:r>
              <w:rPr>
                <w:rFonts w:ascii="Times New Roman" w:eastAsia="SimSun" w:hAnsi="Times New Roman" w:hint="eastAsia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29.54</w:t>
            </w:r>
          </w:p>
        </w:tc>
      </w:tr>
      <w:tr w:rsidR="004F5EB0" w:rsidRPr="00557502" w14:paraId="21D6965E" w14:textId="77777777" w:rsidTr="003B0519">
        <w:tc>
          <w:tcPr>
            <w:tcW w:w="2272" w:type="dxa"/>
            <w:vAlign w:val="bottom"/>
          </w:tcPr>
          <w:p w14:paraId="08C90767" w14:textId="77777777" w:rsidR="004F5EB0" w:rsidRPr="00557502" w:rsidRDefault="004F5EB0" w:rsidP="003B0519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557502">
              <w:rPr>
                <w:rFonts w:ascii="Times New Roman" w:eastAsia="SimSun" w:hAnsi="Times New Roman"/>
                <w:sz w:val="20"/>
                <w:szCs w:val="20"/>
              </w:rPr>
              <w:t xml:space="preserve"> Putamen</w:t>
            </w:r>
          </w:p>
        </w:tc>
        <w:tc>
          <w:tcPr>
            <w:tcW w:w="1688" w:type="dxa"/>
            <w:vAlign w:val="bottom"/>
          </w:tcPr>
          <w:p w14:paraId="232DB397" w14:textId="77777777" w:rsidR="004F5EB0" w:rsidRPr="00557502" w:rsidRDefault="004F5EB0" w:rsidP="003B0519">
            <w:pPr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   38.66</w:t>
            </w:r>
            <w:r>
              <w:rPr>
                <w:rFonts w:ascii="Times New Roman" w:eastAsia="SimSun" w:hAnsi="Times New Roman" w:hint="eastAsia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19.08</w:t>
            </w:r>
          </w:p>
        </w:tc>
        <w:tc>
          <w:tcPr>
            <w:tcW w:w="1620" w:type="dxa"/>
            <w:vAlign w:val="bottom"/>
          </w:tcPr>
          <w:p w14:paraId="2B4F7209" w14:textId="77777777" w:rsidR="004F5EB0" w:rsidRPr="00557502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52.55</w:t>
            </w:r>
            <w:r>
              <w:rPr>
                <w:rFonts w:ascii="Times New Roman" w:eastAsia="SimSun" w:hAnsi="Times New Roman" w:hint="eastAsia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16.86</w:t>
            </w:r>
          </w:p>
        </w:tc>
      </w:tr>
      <w:tr w:rsidR="004F5EB0" w:rsidRPr="00557502" w14:paraId="16B51F5A" w14:textId="77777777" w:rsidTr="003B0519">
        <w:tc>
          <w:tcPr>
            <w:tcW w:w="2272" w:type="dxa"/>
          </w:tcPr>
          <w:p w14:paraId="4053587C" w14:textId="77777777" w:rsidR="004F5EB0" w:rsidRPr="00557502" w:rsidRDefault="004F5EB0" w:rsidP="003B0519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557502">
              <w:rPr>
                <w:rFonts w:ascii="Times New Roman" w:eastAsia="SimSun" w:hAnsi="Times New Roman"/>
                <w:sz w:val="20"/>
                <w:szCs w:val="20"/>
              </w:rPr>
              <w:t xml:space="preserve"> Caudate nucleus</w:t>
            </w:r>
          </w:p>
        </w:tc>
        <w:tc>
          <w:tcPr>
            <w:tcW w:w="1688" w:type="dxa"/>
            <w:vAlign w:val="bottom"/>
          </w:tcPr>
          <w:p w14:paraId="587659B3" w14:textId="77777777" w:rsidR="004F5EB0" w:rsidRPr="00557502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25.17</w:t>
            </w:r>
            <w:r>
              <w:rPr>
                <w:rFonts w:ascii="Times New Roman" w:eastAsia="SimSun" w:hAnsi="Times New Roman" w:hint="eastAsia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12.46</w:t>
            </w:r>
          </w:p>
        </w:tc>
        <w:tc>
          <w:tcPr>
            <w:tcW w:w="1620" w:type="dxa"/>
            <w:vAlign w:val="bottom"/>
          </w:tcPr>
          <w:p w14:paraId="4F5BFAE6" w14:textId="77777777" w:rsidR="004F5EB0" w:rsidRPr="00557502" w:rsidRDefault="004F5EB0" w:rsidP="003B0519">
            <w:pPr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   28.03</w:t>
            </w:r>
            <w:r>
              <w:rPr>
                <w:rFonts w:ascii="Times New Roman" w:eastAsia="SimSun" w:hAnsi="Times New Roman" w:hint="eastAsia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10.99</w:t>
            </w:r>
          </w:p>
        </w:tc>
      </w:tr>
      <w:tr w:rsidR="004F5EB0" w:rsidRPr="002F5453" w14:paraId="3CA6693B" w14:textId="77777777" w:rsidTr="003B0519">
        <w:tc>
          <w:tcPr>
            <w:tcW w:w="2272" w:type="dxa"/>
            <w:vAlign w:val="bottom"/>
          </w:tcPr>
          <w:p w14:paraId="3D807259" w14:textId="77777777" w:rsidR="004F5EB0" w:rsidRPr="00557502" w:rsidRDefault="004F5EB0" w:rsidP="003B0519">
            <w:pPr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F31F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Thalamus</w:t>
            </w:r>
          </w:p>
        </w:tc>
        <w:tc>
          <w:tcPr>
            <w:tcW w:w="1688" w:type="dxa"/>
            <w:vAlign w:val="bottom"/>
          </w:tcPr>
          <w:p w14:paraId="03AF9215" w14:textId="77777777" w:rsidR="004F5EB0" w:rsidRDefault="004F5EB0" w:rsidP="003B0519">
            <w:pPr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   -1.95</w:t>
            </w:r>
            <w:r>
              <w:rPr>
                <w:rFonts w:ascii="Times New Roman" w:eastAsia="SimSun" w:hAnsi="Times New Roman" w:hint="eastAsia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4.14</w:t>
            </w:r>
          </w:p>
        </w:tc>
        <w:tc>
          <w:tcPr>
            <w:tcW w:w="1620" w:type="dxa"/>
            <w:vAlign w:val="bottom"/>
          </w:tcPr>
          <w:p w14:paraId="0183E9A1" w14:textId="77777777" w:rsidR="004F5EB0" w:rsidRPr="00BA4715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2.67</w:t>
            </w:r>
            <w:r>
              <w:rPr>
                <w:rFonts w:ascii="Times New Roman" w:eastAsia="SimSun" w:hAnsi="Times New Roman" w:hint="eastAsia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.42</w:t>
            </w:r>
          </w:p>
        </w:tc>
      </w:tr>
      <w:tr w:rsidR="004F5EB0" w:rsidRPr="006E19F1" w14:paraId="596D0F35" w14:textId="77777777" w:rsidTr="003B0519">
        <w:tc>
          <w:tcPr>
            <w:tcW w:w="2272" w:type="dxa"/>
            <w:vAlign w:val="bottom"/>
          </w:tcPr>
          <w:p w14:paraId="571FC890" w14:textId="77777777" w:rsidR="004F5EB0" w:rsidRPr="006E19F1" w:rsidRDefault="004F5EB0" w:rsidP="003B0519">
            <w:pPr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</w:pPr>
            <w:r w:rsidRPr="006E19F1"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  <w:t xml:space="preserve"> Red nucleus</w:t>
            </w:r>
          </w:p>
        </w:tc>
        <w:tc>
          <w:tcPr>
            <w:tcW w:w="1688" w:type="dxa"/>
            <w:vAlign w:val="bottom"/>
          </w:tcPr>
          <w:p w14:paraId="795E103B" w14:textId="77777777" w:rsidR="004F5EB0" w:rsidRPr="006E19F1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</w:pPr>
            <w:r w:rsidRPr="006E19F1"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  <w:t>179.18</w:t>
            </w:r>
            <w:r w:rsidRPr="006E19F1">
              <w:rPr>
                <w:rFonts w:ascii="Times New Roman" w:eastAsia="SimSun" w:hAnsi="Times New Roman" w:hint="eastAsia"/>
                <w:sz w:val="20"/>
                <w:szCs w:val="20"/>
                <w:highlight w:val="lightGray"/>
              </w:rPr>
              <w:t>±</w:t>
            </w:r>
            <w:r w:rsidRPr="006E19F1"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  <w:t>36.59</w:t>
            </w:r>
          </w:p>
        </w:tc>
        <w:tc>
          <w:tcPr>
            <w:tcW w:w="1620" w:type="dxa"/>
            <w:vAlign w:val="bottom"/>
          </w:tcPr>
          <w:p w14:paraId="28A1920F" w14:textId="77777777" w:rsidR="004F5EB0" w:rsidRPr="006E19F1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</w:pPr>
            <w:r w:rsidRPr="006E19F1"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  <w:t>168.55</w:t>
            </w:r>
            <w:r w:rsidRPr="006E19F1">
              <w:rPr>
                <w:rFonts w:ascii="Times New Roman" w:eastAsia="SimSun" w:hAnsi="Times New Roman" w:hint="eastAsia"/>
                <w:sz w:val="20"/>
                <w:szCs w:val="20"/>
                <w:highlight w:val="lightGray"/>
              </w:rPr>
              <w:t>±</w:t>
            </w:r>
            <w:r w:rsidRPr="006E19F1"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  <w:t>37.11</w:t>
            </w:r>
          </w:p>
        </w:tc>
      </w:tr>
      <w:tr w:rsidR="004F5EB0" w:rsidRPr="006E19F1" w14:paraId="197F6D39" w14:textId="77777777" w:rsidTr="003B0519">
        <w:tc>
          <w:tcPr>
            <w:tcW w:w="2272" w:type="dxa"/>
            <w:tcBorders>
              <w:bottom w:val="single" w:sz="12" w:space="0" w:color="auto"/>
            </w:tcBorders>
            <w:vAlign w:val="bottom"/>
          </w:tcPr>
          <w:p w14:paraId="47ED4237" w14:textId="77777777" w:rsidR="004F5EB0" w:rsidRPr="006E19F1" w:rsidRDefault="004F5EB0" w:rsidP="003B0519">
            <w:pPr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</w:pPr>
            <w:r w:rsidRPr="006E19F1"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  <w:t>Substantia nigra</w:t>
            </w:r>
          </w:p>
        </w:tc>
        <w:tc>
          <w:tcPr>
            <w:tcW w:w="1688" w:type="dxa"/>
            <w:tcBorders>
              <w:bottom w:val="single" w:sz="12" w:space="0" w:color="auto"/>
            </w:tcBorders>
            <w:vAlign w:val="bottom"/>
          </w:tcPr>
          <w:p w14:paraId="74120946" w14:textId="77777777" w:rsidR="004F5EB0" w:rsidRPr="006E19F1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</w:pPr>
            <w:r w:rsidRPr="006E19F1"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  <w:t>179.60</w:t>
            </w:r>
            <w:r w:rsidRPr="006E19F1">
              <w:rPr>
                <w:rFonts w:ascii="Times New Roman" w:eastAsia="SimSun" w:hAnsi="Times New Roman" w:hint="eastAsia"/>
                <w:sz w:val="20"/>
                <w:szCs w:val="20"/>
                <w:highlight w:val="lightGray"/>
              </w:rPr>
              <w:t>±</w:t>
            </w:r>
            <w:r w:rsidRPr="006E19F1"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  <w:t>42.89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bottom"/>
          </w:tcPr>
          <w:p w14:paraId="72FAC5B4" w14:textId="77777777" w:rsidR="004F5EB0" w:rsidRPr="006E19F1" w:rsidRDefault="004F5EB0" w:rsidP="003B0519">
            <w:pPr>
              <w:jc w:val="center"/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</w:pPr>
            <w:r w:rsidRPr="006E19F1"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  <w:t>177.43</w:t>
            </w:r>
            <w:r w:rsidRPr="006E19F1">
              <w:rPr>
                <w:rFonts w:ascii="Times New Roman" w:eastAsia="SimSun" w:hAnsi="Times New Roman" w:hint="eastAsia"/>
                <w:sz w:val="20"/>
                <w:szCs w:val="20"/>
                <w:highlight w:val="lightGray"/>
              </w:rPr>
              <w:t>±</w:t>
            </w:r>
            <w:r w:rsidRPr="006E19F1">
              <w:rPr>
                <w:rFonts w:ascii="Times New Roman" w:eastAsia="SimSun" w:hAnsi="Times New Roman"/>
                <w:sz w:val="20"/>
                <w:szCs w:val="20"/>
                <w:highlight w:val="lightGray"/>
              </w:rPr>
              <w:t>40.58</w:t>
            </w:r>
          </w:p>
        </w:tc>
      </w:tr>
    </w:tbl>
    <w:p w14:paraId="608E03CB" w14:textId="3924590E" w:rsidR="003C4917" w:rsidRDefault="00BE0165">
      <w:pPr>
        <w:rPr>
          <w:rFonts w:ascii="Times New Roman" w:eastAsia="SimSu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T</w:t>
      </w:r>
      <w:r w:rsidRPr="00222278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he 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mean </w:t>
      </w:r>
      <w:r w:rsidRPr="00222278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susceptibility values 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in </w:t>
      </w:r>
      <w:r w:rsidRPr="000F31F1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Thalamus, Pallidum, Putamen, Caudate nucleus 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were</w:t>
      </w:r>
      <w:r w:rsidRPr="000F31F1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 </w:t>
      </w:r>
      <w:r w:rsidRPr="00222278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obtained the susceptibility values of every voxel 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based on </w:t>
      </w:r>
      <w:r w:rsidRPr="00E312B3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Montreal Neurological Institute (MNI) space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.  </w:t>
      </w:r>
      <w:r w:rsidRPr="00E31A29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Red nucleus, Substantia nigra were traced directly on the QSM image</w:t>
      </w:r>
      <w:r w:rsidRPr="00E31A29">
        <w:rPr>
          <w:rFonts w:ascii="Times New Roman" w:eastAsia="SimSun" w:hAnsi="Times New Roman" w:cs="Times New Roman" w:hint="eastAsia"/>
          <w:color w:val="000000" w:themeColor="text1"/>
          <w:sz w:val="20"/>
          <w:szCs w:val="20"/>
        </w:rPr>
        <w:t>s</w:t>
      </w:r>
      <w:r w:rsidRPr="00E31A29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 by a neuroradiologist with 16 years of experience using ITK-SNAP v3.8 software.</w:t>
      </w:r>
    </w:p>
    <w:p w14:paraId="42794A53" w14:textId="2CFB322A" w:rsidR="00104B96" w:rsidRDefault="00104B96">
      <w:pPr>
        <w:rPr>
          <w:rFonts w:ascii="Times New Roman" w:eastAsia="SimSun" w:hAnsi="Times New Roman" w:cs="Times New Roman"/>
          <w:color w:val="000000" w:themeColor="text1"/>
          <w:sz w:val="20"/>
          <w:szCs w:val="20"/>
        </w:rPr>
      </w:pPr>
    </w:p>
    <w:p w14:paraId="3BC03B64" w14:textId="58B345C4" w:rsidR="007B2119" w:rsidRDefault="007B2119">
      <w:pPr>
        <w:rPr>
          <w:rFonts w:ascii="Times New Roman" w:eastAsia="SimSun" w:hAnsi="Times New Roman" w:cs="Times New Roman"/>
          <w:color w:val="000000" w:themeColor="text1"/>
          <w:sz w:val="20"/>
          <w:szCs w:val="20"/>
        </w:rPr>
      </w:pPr>
    </w:p>
    <w:p w14:paraId="52BF02BB" w14:textId="3511EFAE" w:rsidR="006D41D0" w:rsidRDefault="006D41D0">
      <w:pPr>
        <w:rPr>
          <w:rFonts w:ascii="Times New Roman" w:eastAsia="SimSu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Table 2 T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>he susceptibility value in three regions in cluster</w:t>
      </w:r>
      <w:r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 of</w:t>
      </w:r>
      <w:r w:rsidR="006B62BF">
        <w:rPr>
          <w:rFonts w:ascii="Times New Roman" w:eastAsia="SimSun" w:hAnsi="Times New Roman" w:cs="Times New Roman"/>
          <w:color w:val="000000" w:themeColor="text1"/>
          <w:sz w:val="20"/>
          <w:szCs w:val="20"/>
        </w:rPr>
        <w:t xml:space="preserve"> “</w:t>
      </w:r>
      <w:r w:rsidR="006B62BF" w:rsidRPr="00B25400">
        <w:rPr>
          <w:rFonts w:ascii="Times New Roman" w:hAnsi="Times New Roman" w:cs="Times New Roman"/>
          <w:color w:val="000000"/>
          <w:sz w:val="20"/>
        </w:rPr>
        <w:t>Right Caudate</w:t>
      </w:r>
      <w:r w:rsidR="006B62BF" w:rsidRPr="00B25400">
        <w:rPr>
          <w:rFonts w:ascii="Times New Roman" w:hAnsi="Times New Roman" w:cs="Times New Roman" w:hint="eastAsia"/>
          <w:color w:val="000000"/>
          <w:sz w:val="20"/>
        </w:rPr>
        <w:t>/</w:t>
      </w:r>
      <w:r w:rsidR="006B62BF" w:rsidRPr="00B25400">
        <w:rPr>
          <w:rFonts w:ascii="Times New Roman" w:hAnsi="Times New Roman" w:cs="Times New Roman"/>
          <w:color w:val="000000"/>
          <w:sz w:val="20"/>
        </w:rPr>
        <w:t>Putamen/Pallidum</w:t>
      </w:r>
      <w:r w:rsidR="006B62BF">
        <w:rPr>
          <w:rFonts w:ascii="Times New Roman" w:hAnsi="Times New Roman" w:cs="Times New Roman"/>
          <w:color w:val="000000"/>
          <w:sz w:val="20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554"/>
        <w:gridCol w:w="2070"/>
      </w:tblGrid>
      <w:tr w:rsidR="00104B96" w14:paraId="50D4A355" w14:textId="77777777" w:rsidTr="00D92AC7">
        <w:tc>
          <w:tcPr>
            <w:tcW w:w="3116" w:type="dxa"/>
            <w:tcBorders>
              <w:top w:val="single" w:sz="12" w:space="0" w:color="auto"/>
              <w:left w:val="nil"/>
            </w:tcBorders>
          </w:tcPr>
          <w:p w14:paraId="309DD1B8" w14:textId="77777777" w:rsidR="00104B96" w:rsidRPr="00224705" w:rsidRDefault="00104B96" w:rsidP="00D92AC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 xml:space="preserve">DGM </w:t>
            </w:r>
            <w:r w:rsidRPr="00E579F7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structures</w:t>
            </w:r>
          </w:p>
        </w:tc>
        <w:tc>
          <w:tcPr>
            <w:tcW w:w="2554" w:type="dxa"/>
            <w:tcBorders>
              <w:top w:val="single" w:sz="12" w:space="0" w:color="auto"/>
            </w:tcBorders>
          </w:tcPr>
          <w:p w14:paraId="31834DFF" w14:textId="77777777" w:rsidR="00104B96" w:rsidRPr="00224705" w:rsidRDefault="00104B96" w:rsidP="00D92AC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470BB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DM</w:t>
            </w:r>
          </w:p>
        </w:tc>
        <w:tc>
          <w:tcPr>
            <w:tcW w:w="2070" w:type="dxa"/>
            <w:tcBorders>
              <w:top w:val="single" w:sz="12" w:space="0" w:color="auto"/>
              <w:right w:val="nil"/>
            </w:tcBorders>
          </w:tcPr>
          <w:p w14:paraId="1553F46C" w14:textId="77777777" w:rsidR="00104B96" w:rsidRPr="00224705" w:rsidRDefault="00104B96" w:rsidP="00D92AC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470BB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HC</w:t>
            </w:r>
          </w:p>
        </w:tc>
      </w:tr>
      <w:tr w:rsidR="00104B96" w14:paraId="45CAE23D" w14:textId="77777777" w:rsidTr="00D92AC7">
        <w:tc>
          <w:tcPr>
            <w:tcW w:w="3116" w:type="dxa"/>
            <w:tcBorders>
              <w:left w:val="nil"/>
              <w:bottom w:val="nil"/>
            </w:tcBorders>
          </w:tcPr>
          <w:p w14:paraId="088AD464" w14:textId="77777777" w:rsidR="00104B96" w:rsidRPr="00224705" w:rsidRDefault="00104B96" w:rsidP="00D92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C</w:t>
            </w:r>
            <w:r w:rsidRPr="0022470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audate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7502">
              <w:rPr>
                <w:rFonts w:ascii="Times New Roman" w:eastAsia="SimSun" w:hAnsi="Times New Roman"/>
                <w:sz w:val="20"/>
                <w:szCs w:val="20"/>
              </w:rPr>
              <w:t>nucleus</w:t>
            </w:r>
          </w:p>
        </w:tc>
        <w:tc>
          <w:tcPr>
            <w:tcW w:w="2554" w:type="dxa"/>
            <w:tcBorders>
              <w:bottom w:val="nil"/>
            </w:tcBorders>
          </w:tcPr>
          <w:p w14:paraId="5102B201" w14:textId="77777777" w:rsidR="00104B96" w:rsidRPr="00224705" w:rsidRDefault="00104B96" w:rsidP="00D92AC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84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21.27</w:t>
            </w:r>
          </w:p>
        </w:tc>
        <w:tc>
          <w:tcPr>
            <w:tcW w:w="2070" w:type="dxa"/>
            <w:tcBorders>
              <w:bottom w:val="nil"/>
              <w:right w:val="nil"/>
            </w:tcBorders>
          </w:tcPr>
          <w:p w14:paraId="6F73BA9C" w14:textId="77777777" w:rsidR="00104B96" w:rsidRPr="00224705" w:rsidRDefault="00104B96" w:rsidP="00D92AC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64.30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21.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</w:tr>
      <w:tr w:rsidR="00104B96" w14:paraId="528E43EF" w14:textId="77777777" w:rsidTr="00D92AC7">
        <w:tc>
          <w:tcPr>
            <w:tcW w:w="3116" w:type="dxa"/>
            <w:tcBorders>
              <w:top w:val="nil"/>
              <w:left w:val="nil"/>
              <w:bottom w:val="nil"/>
            </w:tcBorders>
          </w:tcPr>
          <w:p w14:paraId="135629D6" w14:textId="77777777" w:rsidR="00104B96" w:rsidRPr="00224705" w:rsidRDefault="00104B96" w:rsidP="00D92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P</w:t>
            </w:r>
            <w:r w:rsidRPr="0022470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utamen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6B8FAAE4" w14:textId="77777777" w:rsidR="00104B96" w:rsidRPr="00224705" w:rsidRDefault="00104B96" w:rsidP="00D92AC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470BB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86.84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9.23</w:t>
            </w: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</w:tcPr>
          <w:p w14:paraId="019BD6DB" w14:textId="77777777" w:rsidR="00104B96" w:rsidRPr="00224705" w:rsidRDefault="00104B96" w:rsidP="00D92AC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62.02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3.65</w:t>
            </w:r>
          </w:p>
        </w:tc>
      </w:tr>
      <w:tr w:rsidR="00104B96" w14:paraId="38B109BF" w14:textId="77777777" w:rsidTr="00D92AC7">
        <w:tc>
          <w:tcPr>
            <w:tcW w:w="3116" w:type="dxa"/>
            <w:tcBorders>
              <w:top w:val="nil"/>
              <w:left w:val="nil"/>
              <w:bottom w:val="single" w:sz="12" w:space="0" w:color="auto"/>
            </w:tcBorders>
          </w:tcPr>
          <w:p w14:paraId="36D10064" w14:textId="77777777" w:rsidR="00104B96" w:rsidRPr="00224705" w:rsidRDefault="00104B96" w:rsidP="00D92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P</w:t>
            </w:r>
            <w:r w:rsidRPr="0022470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al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sz w:val="20"/>
                <w:szCs w:val="20"/>
              </w:rPr>
              <w:t>l</w:t>
            </w:r>
            <w:r w:rsidRPr="0022470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idum</w:t>
            </w:r>
          </w:p>
        </w:tc>
        <w:tc>
          <w:tcPr>
            <w:tcW w:w="2554" w:type="dxa"/>
            <w:tcBorders>
              <w:top w:val="nil"/>
              <w:bottom w:val="single" w:sz="12" w:space="0" w:color="auto"/>
            </w:tcBorders>
          </w:tcPr>
          <w:p w14:paraId="0B08D619" w14:textId="77777777" w:rsidR="00104B96" w:rsidRPr="00224705" w:rsidRDefault="00104B96" w:rsidP="00D92AC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470BB"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118.85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23.43</w:t>
            </w:r>
          </w:p>
        </w:tc>
        <w:tc>
          <w:tcPr>
            <w:tcW w:w="2070" w:type="dxa"/>
            <w:tcBorders>
              <w:top w:val="nil"/>
              <w:bottom w:val="single" w:sz="12" w:space="0" w:color="auto"/>
              <w:right w:val="nil"/>
            </w:tcBorders>
          </w:tcPr>
          <w:p w14:paraId="6D0A216B" w14:textId="77777777" w:rsidR="00104B96" w:rsidRPr="00224705" w:rsidRDefault="00104B96" w:rsidP="00D92AC7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3.19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±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</w:rPr>
              <w:t>9.41</w:t>
            </w:r>
          </w:p>
        </w:tc>
      </w:tr>
    </w:tbl>
    <w:p w14:paraId="24C83B76" w14:textId="77777777" w:rsidR="00104B96" w:rsidRDefault="00104B96"/>
    <w:sectPr w:rsidR="0010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3"/>
    <w:rsid w:val="00104B96"/>
    <w:rsid w:val="00334CE3"/>
    <w:rsid w:val="003C4917"/>
    <w:rsid w:val="004F5EB0"/>
    <w:rsid w:val="006B62BF"/>
    <w:rsid w:val="006D41D0"/>
    <w:rsid w:val="007B2119"/>
    <w:rsid w:val="00BE0165"/>
    <w:rsid w:val="00D3548B"/>
    <w:rsid w:val="00D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395C"/>
  <w15:chartTrackingRefBased/>
  <w15:docId w15:val="{826B980D-3DFC-4701-A60A-95049AA9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EB0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lingfei</dc:creator>
  <cp:keywords/>
  <dc:description/>
  <cp:lastModifiedBy>guo lingfei</cp:lastModifiedBy>
  <cp:revision>9</cp:revision>
  <dcterms:created xsi:type="dcterms:W3CDTF">2020-11-28T10:05:00Z</dcterms:created>
  <dcterms:modified xsi:type="dcterms:W3CDTF">2020-11-30T05:54:00Z</dcterms:modified>
</cp:coreProperties>
</file>