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E81" w:rsidRPr="000D20C7" w:rsidRDefault="00BF661A" w:rsidP="000D20C7">
      <w:pPr>
        <w:spacing w:line="480" w:lineRule="auto"/>
        <w:rPr>
          <w:rFonts w:ascii="Times New Roman" w:eastAsia="Times New Roman" w:hAnsi="Times New Roman" w:cs="Times New Roman"/>
          <w:b/>
          <w:sz w:val="24"/>
          <w:szCs w:val="24"/>
        </w:rPr>
      </w:pPr>
      <w:bookmarkStart w:id="0" w:name="_GoBack"/>
      <w:bookmarkEnd w:id="0"/>
      <w:r w:rsidRPr="00BF661A">
        <w:rPr>
          <w:rFonts w:ascii="Times New Roman" w:eastAsia="Times New Roman" w:hAnsi="Times New Roman" w:cs="Times New Roman"/>
          <w:b/>
          <w:sz w:val="24"/>
          <w:szCs w:val="24"/>
        </w:rPr>
        <w:t>Table 3_v1</w:t>
      </w:r>
      <w:r w:rsidR="000D20C7">
        <w:rPr>
          <w:rFonts w:ascii="Times New Roman" w:eastAsia="Times New Roman" w:hAnsi="Times New Roman" w:cs="Times New Roman"/>
          <w:b/>
          <w:sz w:val="24"/>
          <w:szCs w:val="24"/>
        </w:rPr>
        <w:t>:</w:t>
      </w:r>
      <w:r w:rsidR="000D20C7" w:rsidRPr="000D20C7">
        <w:rPr>
          <w:rFonts w:ascii="Times New Roman" w:eastAsia="Times New Roman" w:hAnsi="Times New Roman" w:cs="Times New Roman"/>
          <w:b/>
          <w:sz w:val="24"/>
          <w:szCs w:val="24"/>
        </w:rPr>
        <w:t xml:space="preserve"> Remdesivir in-vitro studies</w:t>
      </w: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9"/>
        <w:gridCol w:w="1259"/>
        <w:gridCol w:w="899"/>
        <w:gridCol w:w="811"/>
        <w:gridCol w:w="1168"/>
        <w:gridCol w:w="1982"/>
        <w:gridCol w:w="1440"/>
        <w:gridCol w:w="2985"/>
        <w:gridCol w:w="2801"/>
      </w:tblGrid>
      <w:tr w:rsidR="000D20C7" w:rsidRPr="000D20C7" w:rsidTr="000D20C7">
        <w:trPr>
          <w:trHeight w:val="570"/>
        </w:trPr>
        <w:tc>
          <w:tcPr>
            <w:tcW w:w="292" w:type="pct"/>
          </w:tcPr>
          <w:p w:rsidR="000D20C7" w:rsidRPr="000D20C7" w:rsidRDefault="000D20C7" w:rsidP="000962DC">
            <w:pPr>
              <w:rPr>
                <w:rFonts w:ascii="Times New Roman" w:eastAsia="Times New Roman" w:hAnsi="Times New Roman" w:cs="Times New Roman"/>
                <w:b/>
                <w:sz w:val="24"/>
                <w:szCs w:val="24"/>
              </w:rPr>
            </w:pPr>
            <w:r w:rsidRPr="000D20C7">
              <w:rPr>
                <w:rFonts w:ascii="Times New Roman" w:eastAsia="Times New Roman" w:hAnsi="Times New Roman" w:cs="Times New Roman"/>
                <w:b/>
                <w:sz w:val="24"/>
                <w:szCs w:val="24"/>
              </w:rPr>
              <w:t xml:space="preserve">Virus </w:t>
            </w:r>
          </w:p>
        </w:tc>
        <w:tc>
          <w:tcPr>
            <w:tcW w:w="444" w:type="pct"/>
          </w:tcPr>
          <w:p w:rsidR="000D20C7" w:rsidRPr="000D20C7" w:rsidRDefault="000D20C7" w:rsidP="000962DC">
            <w:pPr>
              <w:rPr>
                <w:rFonts w:ascii="Times New Roman" w:eastAsia="Times New Roman" w:hAnsi="Times New Roman" w:cs="Times New Roman"/>
                <w:b/>
                <w:sz w:val="24"/>
                <w:szCs w:val="24"/>
              </w:rPr>
            </w:pPr>
            <w:r w:rsidRPr="000D20C7">
              <w:rPr>
                <w:rFonts w:ascii="Times New Roman" w:eastAsia="Times New Roman" w:hAnsi="Times New Roman" w:cs="Times New Roman"/>
                <w:b/>
                <w:sz w:val="24"/>
                <w:szCs w:val="24"/>
              </w:rPr>
              <w:t>Author</w:t>
            </w:r>
          </w:p>
        </w:tc>
        <w:tc>
          <w:tcPr>
            <w:tcW w:w="317" w:type="pct"/>
          </w:tcPr>
          <w:p w:rsidR="000D20C7" w:rsidRPr="000D20C7" w:rsidRDefault="000D20C7" w:rsidP="000962DC">
            <w:pPr>
              <w:rPr>
                <w:rFonts w:ascii="Times New Roman" w:eastAsia="Times New Roman" w:hAnsi="Times New Roman" w:cs="Times New Roman"/>
                <w:b/>
                <w:sz w:val="24"/>
                <w:szCs w:val="24"/>
              </w:rPr>
            </w:pPr>
            <w:r w:rsidRPr="000D20C7">
              <w:rPr>
                <w:rFonts w:ascii="Times New Roman" w:eastAsia="Times New Roman" w:hAnsi="Times New Roman" w:cs="Times New Roman"/>
                <w:b/>
                <w:sz w:val="24"/>
                <w:szCs w:val="24"/>
              </w:rPr>
              <w:t>DOI</w:t>
            </w:r>
          </w:p>
        </w:tc>
        <w:tc>
          <w:tcPr>
            <w:tcW w:w="286" w:type="pct"/>
          </w:tcPr>
          <w:p w:rsidR="000D20C7" w:rsidRPr="000D20C7" w:rsidRDefault="000D20C7" w:rsidP="000962DC">
            <w:pPr>
              <w:rPr>
                <w:rFonts w:ascii="Times New Roman" w:eastAsia="Times New Roman" w:hAnsi="Times New Roman" w:cs="Times New Roman"/>
                <w:b/>
                <w:sz w:val="24"/>
                <w:szCs w:val="24"/>
              </w:rPr>
            </w:pPr>
            <w:r w:rsidRPr="000D20C7">
              <w:rPr>
                <w:rFonts w:ascii="Times New Roman" w:eastAsia="Times New Roman" w:hAnsi="Times New Roman" w:cs="Times New Roman"/>
                <w:b/>
                <w:sz w:val="24"/>
                <w:szCs w:val="24"/>
              </w:rPr>
              <w:t xml:space="preserve">Year </w:t>
            </w:r>
          </w:p>
        </w:tc>
        <w:tc>
          <w:tcPr>
            <w:tcW w:w="412" w:type="pct"/>
          </w:tcPr>
          <w:p w:rsidR="000D20C7" w:rsidRPr="000D20C7" w:rsidRDefault="000D20C7" w:rsidP="000962DC">
            <w:pPr>
              <w:rPr>
                <w:rFonts w:ascii="Times New Roman" w:eastAsia="Times New Roman" w:hAnsi="Times New Roman" w:cs="Times New Roman"/>
                <w:b/>
                <w:sz w:val="24"/>
                <w:szCs w:val="24"/>
              </w:rPr>
            </w:pPr>
            <w:r w:rsidRPr="000D20C7">
              <w:rPr>
                <w:rFonts w:ascii="Times New Roman" w:eastAsia="Times New Roman" w:hAnsi="Times New Roman" w:cs="Times New Roman"/>
                <w:b/>
                <w:sz w:val="24"/>
                <w:szCs w:val="24"/>
              </w:rPr>
              <w:t>Country</w:t>
            </w:r>
          </w:p>
        </w:tc>
        <w:tc>
          <w:tcPr>
            <w:tcW w:w="699" w:type="pct"/>
          </w:tcPr>
          <w:p w:rsidR="000D20C7" w:rsidRPr="000D20C7" w:rsidRDefault="000D20C7" w:rsidP="000962DC">
            <w:pPr>
              <w:rPr>
                <w:rFonts w:ascii="Times New Roman" w:eastAsia="Times New Roman" w:hAnsi="Times New Roman" w:cs="Times New Roman"/>
                <w:b/>
                <w:sz w:val="24"/>
                <w:szCs w:val="24"/>
              </w:rPr>
            </w:pPr>
            <w:r w:rsidRPr="000D20C7">
              <w:rPr>
                <w:rFonts w:ascii="Times New Roman" w:eastAsia="Times New Roman" w:hAnsi="Times New Roman" w:cs="Times New Roman"/>
                <w:b/>
                <w:sz w:val="24"/>
                <w:szCs w:val="24"/>
              </w:rPr>
              <w:t>Study design</w:t>
            </w:r>
          </w:p>
        </w:tc>
        <w:tc>
          <w:tcPr>
            <w:tcW w:w="508" w:type="pct"/>
          </w:tcPr>
          <w:p w:rsidR="000D20C7" w:rsidRPr="000D20C7" w:rsidRDefault="000D20C7" w:rsidP="000962DC">
            <w:pPr>
              <w:rPr>
                <w:rFonts w:ascii="Times New Roman" w:eastAsia="Times New Roman" w:hAnsi="Times New Roman" w:cs="Times New Roman"/>
                <w:b/>
                <w:sz w:val="24"/>
                <w:szCs w:val="24"/>
              </w:rPr>
            </w:pPr>
            <w:r w:rsidRPr="000D20C7">
              <w:rPr>
                <w:rFonts w:ascii="Times New Roman" w:eastAsia="Times New Roman" w:hAnsi="Times New Roman" w:cs="Times New Roman"/>
                <w:b/>
                <w:sz w:val="24"/>
                <w:szCs w:val="24"/>
              </w:rPr>
              <w:t>Agent studied</w:t>
            </w:r>
          </w:p>
        </w:tc>
        <w:tc>
          <w:tcPr>
            <w:tcW w:w="1053" w:type="pct"/>
          </w:tcPr>
          <w:p w:rsidR="000D20C7" w:rsidRPr="000D20C7" w:rsidRDefault="000D20C7" w:rsidP="000962DC">
            <w:pPr>
              <w:rPr>
                <w:rFonts w:ascii="Times New Roman" w:eastAsia="Times New Roman" w:hAnsi="Times New Roman" w:cs="Times New Roman"/>
                <w:b/>
                <w:sz w:val="24"/>
                <w:szCs w:val="24"/>
              </w:rPr>
            </w:pPr>
            <w:r w:rsidRPr="000D20C7">
              <w:rPr>
                <w:rFonts w:ascii="Times New Roman" w:eastAsia="Times New Roman" w:hAnsi="Times New Roman" w:cs="Times New Roman"/>
                <w:b/>
                <w:sz w:val="24"/>
                <w:szCs w:val="24"/>
              </w:rPr>
              <w:t xml:space="preserve">Study methodology </w:t>
            </w:r>
          </w:p>
        </w:tc>
        <w:tc>
          <w:tcPr>
            <w:tcW w:w="988" w:type="pct"/>
          </w:tcPr>
          <w:p w:rsidR="000D20C7" w:rsidRPr="000D20C7" w:rsidRDefault="000D20C7" w:rsidP="000962DC">
            <w:pPr>
              <w:rPr>
                <w:rFonts w:ascii="Times New Roman" w:eastAsia="Times New Roman" w:hAnsi="Times New Roman" w:cs="Times New Roman"/>
                <w:b/>
                <w:sz w:val="24"/>
                <w:szCs w:val="24"/>
              </w:rPr>
            </w:pPr>
            <w:r w:rsidRPr="000D20C7">
              <w:rPr>
                <w:rFonts w:ascii="Times New Roman" w:eastAsia="Times New Roman" w:hAnsi="Times New Roman" w:cs="Times New Roman"/>
                <w:b/>
                <w:sz w:val="24"/>
                <w:szCs w:val="24"/>
              </w:rPr>
              <w:t xml:space="preserve">Study outcome </w:t>
            </w:r>
          </w:p>
        </w:tc>
      </w:tr>
      <w:tr w:rsidR="000D20C7" w:rsidRPr="000D20C7" w:rsidTr="000D20C7">
        <w:trPr>
          <w:trHeight w:val="2352"/>
        </w:trPr>
        <w:tc>
          <w:tcPr>
            <w:tcW w:w="292"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SARS-CoV-2</w:t>
            </w:r>
          </w:p>
        </w:tc>
        <w:tc>
          <w:tcPr>
            <w:tcW w:w="444" w:type="pct"/>
          </w:tcPr>
          <w:p w:rsidR="000D20C7" w:rsidRPr="000D20C7" w:rsidRDefault="006E15A4" w:rsidP="000962DC">
            <w:pPr>
              <w:rPr>
                <w:rFonts w:ascii="Times New Roman" w:eastAsia="Times New Roman" w:hAnsi="Times New Roman" w:cs="Times New Roman"/>
                <w:sz w:val="24"/>
                <w:szCs w:val="24"/>
              </w:rPr>
            </w:pPr>
            <w:hyperlink r:id="rId6">
              <w:r w:rsidR="000D20C7" w:rsidRPr="000D20C7">
                <w:rPr>
                  <w:rFonts w:ascii="Times New Roman" w:eastAsia="Times New Roman" w:hAnsi="Times New Roman" w:cs="Times New Roman"/>
                  <w:sz w:val="24"/>
                  <w:szCs w:val="24"/>
                </w:rPr>
                <w:t>Sheahan</w:t>
              </w:r>
            </w:hyperlink>
            <w:r w:rsidR="000D20C7" w:rsidRPr="000D20C7">
              <w:rPr>
                <w:rFonts w:ascii="Times New Roman" w:eastAsia="Times New Roman" w:hAnsi="Times New Roman" w:cs="Times New Roman"/>
                <w:sz w:val="24"/>
                <w:szCs w:val="24"/>
              </w:rPr>
              <w:t xml:space="preserve"> T et al</w:t>
            </w:r>
          </w:p>
        </w:tc>
        <w:tc>
          <w:tcPr>
            <w:tcW w:w="317" w:type="pct"/>
          </w:tcPr>
          <w:p w:rsidR="000D20C7" w:rsidRPr="000D20C7" w:rsidRDefault="006E15A4" w:rsidP="000962DC">
            <w:pPr>
              <w:rPr>
                <w:rFonts w:ascii="Times New Roman" w:eastAsia="Times New Roman" w:hAnsi="Times New Roman" w:cs="Times New Roman"/>
                <w:sz w:val="24"/>
                <w:szCs w:val="24"/>
              </w:rPr>
            </w:pPr>
            <w:hyperlink r:id="rId7">
              <w:r w:rsidR="000D20C7" w:rsidRPr="000D20C7">
                <w:rPr>
                  <w:rFonts w:ascii="Times New Roman" w:eastAsia="Times New Roman" w:hAnsi="Times New Roman" w:cs="Times New Roman"/>
                  <w:sz w:val="24"/>
                  <w:szCs w:val="24"/>
                </w:rPr>
                <w:t>https://dx.doi.org/10.1126%2Fscitranslmed.aal3653</w:t>
              </w:r>
            </w:hyperlink>
          </w:p>
        </w:tc>
        <w:tc>
          <w:tcPr>
            <w:tcW w:w="286"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2017</w:t>
            </w:r>
          </w:p>
        </w:tc>
        <w:tc>
          <w:tcPr>
            <w:tcW w:w="412"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USA</w:t>
            </w:r>
          </w:p>
        </w:tc>
        <w:tc>
          <w:tcPr>
            <w:tcW w:w="699"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Human lung epithelial cell culture, Calu-3 2B4, human airway epithelial (HAE) cell cultures,</w:t>
            </w:r>
          </w:p>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Animal study-</w:t>
            </w:r>
          </w:p>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Ces1c</w:t>
            </w:r>
            <w:sdt>
              <w:sdtPr>
                <w:rPr>
                  <w:rFonts w:ascii="Times New Roman" w:hAnsi="Times New Roman" w:cs="Times New Roman"/>
                  <w:sz w:val="24"/>
                  <w:szCs w:val="24"/>
                </w:rPr>
                <w:tag w:val="goog_rdk_0"/>
                <w:id w:val="-1475519353"/>
              </w:sdtPr>
              <w:sdtEndPr/>
              <w:sdtContent>
                <w:r w:rsidRPr="000D20C7">
                  <w:rPr>
                    <w:rFonts w:ascii="Times New Roman" w:eastAsia="Gungsuh" w:hAnsi="Times New Roman" w:cs="Times New Roman"/>
                    <w:sz w:val="24"/>
                    <w:szCs w:val="24"/>
                    <w:vertAlign w:val="superscript"/>
                  </w:rPr>
                  <w:t>−/−</w:t>
                </w:r>
              </w:sdtContent>
            </w:sdt>
            <w:r w:rsidRPr="000D20C7">
              <w:rPr>
                <w:rFonts w:ascii="Times New Roman" w:eastAsia="Times New Roman" w:hAnsi="Times New Roman" w:cs="Times New Roman"/>
                <w:sz w:val="24"/>
                <w:szCs w:val="24"/>
              </w:rPr>
              <w:t> mice deficient in a secreted carboxylesterase </w:t>
            </w:r>
          </w:p>
        </w:tc>
        <w:tc>
          <w:tcPr>
            <w:tcW w:w="508" w:type="pct"/>
          </w:tcPr>
          <w:p w:rsidR="000D20C7" w:rsidRPr="000D20C7" w:rsidRDefault="000D20C7" w:rsidP="000962DC">
            <w:pPr>
              <w:shd w:val="clear" w:color="auto" w:fill="FFFFFF"/>
              <w:spacing w:before="240" w:after="120"/>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 xml:space="preserve">Remdesivir </w:t>
            </w:r>
          </w:p>
          <w:p w:rsidR="000D20C7" w:rsidRPr="000D20C7" w:rsidRDefault="000D20C7" w:rsidP="000962DC">
            <w:pPr>
              <w:rPr>
                <w:rFonts w:ascii="Times New Roman" w:eastAsia="Times New Roman" w:hAnsi="Times New Roman" w:cs="Times New Roman"/>
                <w:sz w:val="24"/>
                <w:szCs w:val="24"/>
              </w:rPr>
            </w:pPr>
          </w:p>
        </w:tc>
        <w:tc>
          <w:tcPr>
            <w:tcW w:w="1053"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HAE cells were infected with SARS-CoV at a MOI of 0.5 in the presence of RDV for 48 hours. The antiviral efficacy was evaluated by measuring intracellular genomic and sub genomic viral RNA using qrt-PCR.</w:t>
            </w:r>
          </w:p>
          <w:p w:rsidR="000D20C7" w:rsidRPr="000D20C7" w:rsidRDefault="006E15A4" w:rsidP="000962DC">
            <w:pPr>
              <w:rPr>
                <w:rFonts w:ascii="Times New Roman" w:eastAsia="Times New Roman" w:hAnsi="Times New Roman" w:cs="Times New Roman"/>
                <w:sz w:val="24"/>
                <w:szCs w:val="24"/>
              </w:rPr>
            </w:pPr>
            <w:sdt>
              <w:sdtPr>
                <w:rPr>
                  <w:rFonts w:ascii="Times New Roman" w:hAnsi="Times New Roman" w:cs="Times New Roman"/>
                  <w:sz w:val="24"/>
                  <w:szCs w:val="24"/>
                </w:rPr>
                <w:tag w:val="goog_rdk_1"/>
                <w:id w:val="239302218"/>
              </w:sdtPr>
              <w:sdtEndPr/>
              <w:sdtContent>
                <w:r w:rsidR="000D20C7" w:rsidRPr="000D20C7">
                  <w:rPr>
                    <w:rFonts w:ascii="Times New Roman" w:eastAsia="Gungsuh" w:hAnsi="Times New Roman" w:cs="Times New Roman"/>
                    <w:sz w:val="24"/>
                    <w:szCs w:val="24"/>
                  </w:rPr>
                  <w:t>Ces1c−/− mice infected with SARS-CoV were dosed subcutaneously with 50 mg/kg once daily (QD) or 25 mg/kg twice daily (BID) dose at -1dpi (prophylactic) and +1dpi (therapeutic). Their pharmacokinetic profile was studied thereafter.</w:t>
                </w:r>
              </w:sdtContent>
            </w:sdt>
          </w:p>
        </w:tc>
        <w:tc>
          <w:tcPr>
            <w:tcW w:w="988"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A dose-dependent reduction in replication was observed at 0.1μm with average IC</w:t>
            </w:r>
            <w:r w:rsidRPr="000D20C7">
              <w:rPr>
                <w:rFonts w:ascii="Times New Roman" w:eastAsia="Times New Roman" w:hAnsi="Times New Roman" w:cs="Times New Roman"/>
                <w:sz w:val="24"/>
                <w:szCs w:val="24"/>
                <w:vertAlign w:val="subscript"/>
              </w:rPr>
              <w:t>50</w:t>
            </w:r>
            <w:r w:rsidRPr="000D20C7">
              <w:rPr>
                <w:rFonts w:ascii="Times New Roman" w:eastAsia="Times New Roman" w:hAnsi="Times New Roman" w:cs="Times New Roman"/>
                <w:sz w:val="24"/>
                <w:szCs w:val="24"/>
              </w:rPr>
              <w:t> values of 0.069 μm for SARS-CoV in HAE cells. Also, similar reduction was observed in the genomic and subs genomic viral RNA. Both prophylactic and early therapeutic dosing demonstrated a reduction in replication below the disease-causing threshold as well as improvement in clinical signs of disease and respiratory functions. But no such difference was observed if treatment was administered 2 days post-infection.</w:t>
            </w:r>
          </w:p>
        </w:tc>
      </w:tr>
      <w:tr w:rsidR="000D20C7" w:rsidRPr="000D20C7" w:rsidTr="000D20C7">
        <w:trPr>
          <w:trHeight w:val="2060"/>
        </w:trPr>
        <w:tc>
          <w:tcPr>
            <w:tcW w:w="292"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lastRenderedPageBreak/>
              <w:t>SARS-CoV-2</w:t>
            </w:r>
          </w:p>
        </w:tc>
        <w:tc>
          <w:tcPr>
            <w:tcW w:w="444"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Das et al</w:t>
            </w:r>
          </w:p>
          <w:p w:rsidR="000D20C7" w:rsidRPr="000D20C7" w:rsidRDefault="000D20C7" w:rsidP="000962DC">
            <w:pPr>
              <w:rPr>
                <w:rFonts w:ascii="Times New Roman" w:eastAsia="Times New Roman" w:hAnsi="Times New Roman" w:cs="Times New Roman"/>
                <w:sz w:val="24"/>
                <w:szCs w:val="24"/>
              </w:rPr>
            </w:pPr>
          </w:p>
        </w:tc>
        <w:tc>
          <w:tcPr>
            <w:tcW w:w="317"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10.26434/chemrxiv.12245270</w:t>
            </w:r>
          </w:p>
        </w:tc>
        <w:tc>
          <w:tcPr>
            <w:tcW w:w="286"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2020?</w:t>
            </w:r>
          </w:p>
        </w:tc>
        <w:tc>
          <w:tcPr>
            <w:tcW w:w="412"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India</w:t>
            </w:r>
          </w:p>
        </w:tc>
        <w:tc>
          <w:tcPr>
            <w:tcW w:w="699"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Molecular docking study</w:t>
            </w:r>
          </w:p>
          <w:p w:rsidR="000D20C7" w:rsidRPr="000D20C7" w:rsidRDefault="000D20C7" w:rsidP="000962DC">
            <w:pPr>
              <w:rPr>
                <w:rFonts w:ascii="Times New Roman" w:eastAsia="Times New Roman" w:hAnsi="Times New Roman" w:cs="Times New Roman"/>
                <w:sz w:val="24"/>
                <w:szCs w:val="24"/>
              </w:rPr>
            </w:pPr>
          </w:p>
        </w:tc>
        <w:tc>
          <w:tcPr>
            <w:tcW w:w="508"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Natural anthraquinones</w:t>
            </w:r>
          </w:p>
        </w:tc>
        <w:tc>
          <w:tcPr>
            <w:tcW w:w="1053"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Blind molecular docking studies of various natural antiviral anthraquinones were carried out with SARS-CoV-2 Mpro. By this method binding sites are identified over the surface of protein. Their results were then compared with that of remdesivir.</w:t>
            </w:r>
          </w:p>
        </w:tc>
        <w:tc>
          <w:tcPr>
            <w:tcW w:w="988" w:type="pct"/>
          </w:tcPr>
          <w:p w:rsidR="000D20C7" w:rsidRPr="000D20C7" w:rsidRDefault="006E15A4" w:rsidP="000962DC">
            <w:pPr>
              <w:shd w:val="clear" w:color="auto" w:fill="FFFFFF"/>
              <w:rPr>
                <w:rFonts w:ascii="Times New Roman" w:eastAsia="Times New Roman" w:hAnsi="Times New Roman" w:cs="Times New Roman"/>
                <w:sz w:val="24"/>
                <w:szCs w:val="24"/>
              </w:rPr>
            </w:pPr>
            <w:sdt>
              <w:sdtPr>
                <w:rPr>
                  <w:rFonts w:ascii="Times New Roman" w:hAnsi="Times New Roman" w:cs="Times New Roman"/>
                  <w:sz w:val="24"/>
                  <w:szCs w:val="24"/>
                </w:rPr>
                <w:tag w:val="goog_rdk_2"/>
                <w:id w:val="1125127070"/>
              </w:sdtPr>
              <w:sdtEndPr/>
              <w:sdtContent>
                <w:r w:rsidR="000D20C7" w:rsidRPr="000D20C7">
                  <w:rPr>
                    <w:rFonts w:ascii="Times New Roman" w:eastAsia="Gungsuh" w:hAnsi="Times New Roman" w:cs="Times New Roman"/>
                    <w:sz w:val="24"/>
                    <w:szCs w:val="24"/>
                  </w:rPr>
                  <w:t>The estimated ∆G for remdesivir is -8.99 kcal/mol which indicates highest affinity as compared to other compounds to function as a potential inhibitor for SARS-CoV-2 Mpro.</w:t>
                </w:r>
              </w:sdtContent>
            </w:sdt>
          </w:p>
          <w:p w:rsidR="000D20C7" w:rsidRPr="000D20C7" w:rsidRDefault="000D20C7" w:rsidP="000962DC">
            <w:pPr>
              <w:rPr>
                <w:rFonts w:ascii="Times New Roman" w:eastAsia="Times New Roman" w:hAnsi="Times New Roman" w:cs="Times New Roman"/>
                <w:sz w:val="24"/>
                <w:szCs w:val="24"/>
              </w:rPr>
            </w:pPr>
          </w:p>
        </w:tc>
      </w:tr>
      <w:tr w:rsidR="000D20C7" w:rsidRPr="000D20C7" w:rsidTr="000D20C7">
        <w:trPr>
          <w:trHeight w:val="2352"/>
        </w:trPr>
        <w:tc>
          <w:tcPr>
            <w:tcW w:w="292"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SARS-CoV-2</w:t>
            </w:r>
          </w:p>
        </w:tc>
        <w:tc>
          <w:tcPr>
            <w:tcW w:w="444"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Wang M et al</w:t>
            </w:r>
          </w:p>
        </w:tc>
        <w:tc>
          <w:tcPr>
            <w:tcW w:w="317" w:type="pct"/>
          </w:tcPr>
          <w:p w:rsidR="000D20C7" w:rsidRPr="000D20C7" w:rsidRDefault="006E15A4" w:rsidP="000962DC">
            <w:pPr>
              <w:rPr>
                <w:rFonts w:ascii="Times New Roman" w:eastAsia="Times New Roman" w:hAnsi="Times New Roman" w:cs="Times New Roman"/>
                <w:sz w:val="24"/>
                <w:szCs w:val="24"/>
              </w:rPr>
            </w:pPr>
            <w:hyperlink r:id="rId8">
              <w:r w:rsidR="000D20C7" w:rsidRPr="000D20C7">
                <w:rPr>
                  <w:rFonts w:ascii="Times New Roman" w:eastAsia="Times New Roman" w:hAnsi="Times New Roman" w:cs="Times New Roman"/>
                  <w:sz w:val="24"/>
                  <w:szCs w:val="24"/>
                </w:rPr>
                <w:t>https://doi.org/10.1038/s41422-020-0282-0</w:t>
              </w:r>
            </w:hyperlink>
          </w:p>
        </w:tc>
        <w:tc>
          <w:tcPr>
            <w:tcW w:w="286"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2020</w:t>
            </w:r>
          </w:p>
        </w:tc>
        <w:tc>
          <w:tcPr>
            <w:tcW w:w="412"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China</w:t>
            </w:r>
          </w:p>
        </w:tc>
        <w:tc>
          <w:tcPr>
            <w:tcW w:w="699"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Vero cell culture</w:t>
            </w:r>
          </w:p>
        </w:tc>
        <w:tc>
          <w:tcPr>
            <w:tcW w:w="508"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Ribavirin, penciclovir, nitazoxanide, nafamostat, chloroquine, remdesivir, favipiravir</w:t>
            </w:r>
          </w:p>
        </w:tc>
        <w:tc>
          <w:tcPr>
            <w:tcW w:w="1053"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Vero E6 cells were infected with a MOI of 0.05 at different concentrations of the test drugs. Efficacies were evaluated by quantification of viral copy numbers in the cell by qrt-PCR and confirmed by visualization of virus nucleoprotein expression at 48 h post infection.</w:t>
            </w:r>
          </w:p>
        </w:tc>
        <w:tc>
          <w:tcPr>
            <w:tcW w:w="988"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Remdesivir and chloroquine potently blocked the virus at low-micromolar concentration and showed high SI. For Remdesivir, EC50 = 0.77 μm; EC90 = 1.76 μm; CC50 &gt; 100 μm; SI &gt; 129.87. Besides the site of action for chloroquine is at both entry, and at post entry stages of the nCoV infection.</w:t>
            </w:r>
          </w:p>
        </w:tc>
      </w:tr>
      <w:tr w:rsidR="000D20C7" w:rsidRPr="000D20C7" w:rsidTr="000D20C7">
        <w:trPr>
          <w:trHeight w:val="1975"/>
        </w:trPr>
        <w:tc>
          <w:tcPr>
            <w:tcW w:w="292"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SARS-CoV-2</w:t>
            </w:r>
          </w:p>
        </w:tc>
        <w:tc>
          <w:tcPr>
            <w:tcW w:w="444"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Khan S et al</w:t>
            </w:r>
          </w:p>
        </w:tc>
        <w:tc>
          <w:tcPr>
            <w:tcW w:w="317" w:type="pct"/>
          </w:tcPr>
          <w:p w:rsidR="000D20C7" w:rsidRPr="000D20C7" w:rsidRDefault="006E15A4" w:rsidP="000962DC">
            <w:pPr>
              <w:rPr>
                <w:rFonts w:ascii="Times New Roman" w:eastAsia="Times New Roman" w:hAnsi="Times New Roman" w:cs="Times New Roman"/>
                <w:sz w:val="24"/>
                <w:szCs w:val="24"/>
              </w:rPr>
            </w:pPr>
            <w:hyperlink r:id="rId9">
              <w:r w:rsidR="000D20C7" w:rsidRPr="000D20C7">
                <w:rPr>
                  <w:rFonts w:ascii="Times New Roman" w:eastAsia="Times New Roman" w:hAnsi="Times New Roman" w:cs="Times New Roman"/>
                  <w:sz w:val="24"/>
                  <w:szCs w:val="24"/>
                </w:rPr>
                <w:t>https://doi.org/10.1080/07391102.2020.1751298</w:t>
              </w:r>
            </w:hyperlink>
          </w:p>
        </w:tc>
        <w:tc>
          <w:tcPr>
            <w:tcW w:w="286"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2020</w:t>
            </w:r>
          </w:p>
        </w:tc>
        <w:tc>
          <w:tcPr>
            <w:tcW w:w="412"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Pakistan</w:t>
            </w:r>
          </w:p>
        </w:tc>
        <w:tc>
          <w:tcPr>
            <w:tcW w:w="699"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 xml:space="preserve">Integrated Computational Approach </w:t>
            </w:r>
          </w:p>
        </w:tc>
        <w:tc>
          <w:tcPr>
            <w:tcW w:w="508"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Remdesivir, Daraunvir and Saquinavir, flavone, coumarin derivatives</w:t>
            </w:r>
          </w:p>
        </w:tc>
        <w:tc>
          <w:tcPr>
            <w:tcW w:w="1053"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 xml:space="preserve">Computational drug design methods were applied to identify Chymotrypsin-like protease inhibitors from FDA approved antiviral drugs and the in-house database of drugs. Further, MD simulation and binding free energy calculations </w:t>
            </w:r>
            <w:r w:rsidRPr="000D20C7">
              <w:rPr>
                <w:rFonts w:ascii="Times New Roman" w:eastAsia="Times New Roman" w:hAnsi="Times New Roman" w:cs="Times New Roman"/>
                <w:sz w:val="24"/>
                <w:szCs w:val="24"/>
              </w:rPr>
              <w:lastRenderedPageBreak/>
              <w:t>were performed on the shortlisted drugs to evaluate their various pharmacologic properties.</w:t>
            </w:r>
          </w:p>
        </w:tc>
        <w:tc>
          <w:tcPr>
            <w:tcW w:w="988" w:type="pct"/>
          </w:tcPr>
          <w:p w:rsidR="000D20C7" w:rsidRPr="000D20C7" w:rsidRDefault="000D20C7" w:rsidP="000962DC">
            <w:pPr>
              <w:shd w:val="clear" w:color="auto" w:fill="FFFFFF"/>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lastRenderedPageBreak/>
              <w:t xml:space="preserve">3C-like protease (3CLpro) is necessary for the initiation of the viral replication process and is thus considered an established drug target for SARS-COV-2 infections. In this study, by using the silico approach, various </w:t>
            </w:r>
            <w:r w:rsidRPr="000D20C7">
              <w:rPr>
                <w:rFonts w:ascii="Times New Roman" w:eastAsia="Times New Roman" w:hAnsi="Times New Roman" w:cs="Times New Roman"/>
                <w:sz w:val="24"/>
                <w:szCs w:val="24"/>
              </w:rPr>
              <w:lastRenderedPageBreak/>
              <w:t>potential inhibitors of 3CLpro were identified, Remdesivir being one of them.</w:t>
            </w:r>
          </w:p>
          <w:p w:rsidR="000D20C7" w:rsidRPr="000D20C7" w:rsidRDefault="000D20C7" w:rsidP="000962DC">
            <w:pPr>
              <w:rPr>
                <w:rFonts w:ascii="Times New Roman" w:eastAsia="Times New Roman" w:hAnsi="Times New Roman" w:cs="Times New Roman"/>
                <w:sz w:val="24"/>
                <w:szCs w:val="24"/>
              </w:rPr>
            </w:pPr>
          </w:p>
        </w:tc>
      </w:tr>
      <w:tr w:rsidR="000D20C7" w:rsidRPr="000D20C7" w:rsidTr="000D20C7">
        <w:trPr>
          <w:trHeight w:val="2352"/>
        </w:trPr>
        <w:tc>
          <w:tcPr>
            <w:tcW w:w="292"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lastRenderedPageBreak/>
              <w:t>SARS-CoV-2</w:t>
            </w:r>
          </w:p>
        </w:tc>
        <w:tc>
          <w:tcPr>
            <w:tcW w:w="444" w:type="pct"/>
          </w:tcPr>
          <w:p w:rsidR="000D20C7" w:rsidRPr="000D20C7" w:rsidRDefault="006E15A4" w:rsidP="000962DC">
            <w:pPr>
              <w:rPr>
                <w:rFonts w:ascii="Times New Roman" w:eastAsia="Times New Roman" w:hAnsi="Times New Roman" w:cs="Times New Roman"/>
                <w:sz w:val="24"/>
                <w:szCs w:val="24"/>
              </w:rPr>
            </w:pPr>
            <w:hyperlink r:id="rId10">
              <w:r w:rsidR="000D20C7" w:rsidRPr="000D20C7">
                <w:rPr>
                  <w:rFonts w:ascii="Times New Roman" w:eastAsia="Times New Roman" w:hAnsi="Times New Roman" w:cs="Times New Roman"/>
                  <w:sz w:val="24"/>
                  <w:szCs w:val="24"/>
                </w:rPr>
                <w:t xml:space="preserve"> Elfiky</w:t>
              </w:r>
            </w:hyperlink>
            <w:r w:rsidR="000D20C7" w:rsidRPr="000D20C7">
              <w:rPr>
                <w:rFonts w:ascii="Times New Roman" w:eastAsia="Times New Roman" w:hAnsi="Times New Roman" w:cs="Times New Roman"/>
                <w:sz w:val="24"/>
                <w:szCs w:val="24"/>
                <w:vertAlign w:val="superscript"/>
              </w:rPr>
              <w:t xml:space="preserve"> </w:t>
            </w:r>
            <w:r w:rsidR="000D20C7" w:rsidRPr="000D20C7">
              <w:rPr>
                <w:rFonts w:ascii="Times New Roman" w:eastAsia="Times New Roman" w:hAnsi="Times New Roman" w:cs="Times New Roman"/>
                <w:sz w:val="24"/>
                <w:szCs w:val="24"/>
              </w:rPr>
              <w:t>A</w:t>
            </w:r>
          </w:p>
        </w:tc>
        <w:tc>
          <w:tcPr>
            <w:tcW w:w="317" w:type="pct"/>
          </w:tcPr>
          <w:p w:rsidR="000D20C7" w:rsidRPr="000D20C7" w:rsidRDefault="006E15A4" w:rsidP="000962DC">
            <w:pPr>
              <w:rPr>
                <w:rFonts w:ascii="Times New Roman" w:eastAsia="Times New Roman" w:hAnsi="Times New Roman" w:cs="Times New Roman"/>
                <w:sz w:val="24"/>
                <w:szCs w:val="24"/>
              </w:rPr>
            </w:pPr>
            <w:hyperlink r:id="rId11">
              <w:r w:rsidR="000D20C7" w:rsidRPr="000D20C7">
                <w:rPr>
                  <w:rFonts w:ascii="Times New Roman" w:eastAsia="Times New Roman" w:hAnsi="Times New Roman" w:cs="Times New Roman"/>
                  <w:sz w:val="24"/>
                  <w:szCs w:val="24"/>
                </w:rPr>
                <w:t>https://dx.doi.org/10.1016%2Fj.lfs.2020.117477</w:t>
              </w:r>
            </w:hyperlink>
          </w:p>
        </w:tc>
        <w:tc>
          <w:tcPr>
            <w:tcW w:w="286" w:type="pct"/>
          </w:tcPr>
          <w:p w:rsidR="000D20C7" w:rsidRPr="000D20C7" w:rsidRDefault="000D20C7" w:rsidP="000962DC">
            <w:pPr>
              <w:rPr>
                <w:rFonts w:ascii="Times New Roman" w:eastAsia="Times New Roman" w:hAnsi="Times New Roman" w:cs="Times New Roman"/>
                <w:sz w:val="24"/>
                <w:szCs w:val="24"/>
              </w:rPr>
            </w:pPr>
          </w:p>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2020</w:t>
            </w:r>
          </w:p>
        </w:tc>
        <w:tc>
          <w:tcPr>
            <w:tcW w:w="412"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w:t>
            </w:r>
          </w:p>
        </w:tc>
        <w:tc>
          <w:tcPr>
            <w:tcW w:w="699"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Molecular docking </w:t>
            </w:r>
          </w:p>
        </w:tc>
        <w:tc>
          <w:tcPr>
            <w:tcW w:w="508"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Sofosbuvir, IDX-184, Ribavirin, Remdesivir, Guanosine triphosphate, Uracil triphosphate, Cinnamaldehyde, and Thymoquinone.</w:t>
            </w:r>
          </w:p>
        </w:tc>
        <w:tc>
          <w:tcPr>
            <w:tcW w:w="1053"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COVID-19 rdrp model was built using homology modelling after sequence comparison to the available structures in the protein data bank. Thereafter, molecular docking was performed to test some direct-acting antiviral drugs against COVID-19 rdrp.</w:t>
            </w:r>
          </w:p>
        </w:tc>
        <w:tc>
          <w:tcPr>
            <w:tcW w:w="988"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The percent sequence identity against SARS for COVID-19 rdrp is 90.18%. Thus, we can infer that the SARS CoV rdrp is the closest strain to the COVID-19. In the molecular docking experiment, a negligible difference of 0.95 kcal/mol is seen between the SARS and COVID-19 rdrps' binding energies for Remdesivir. Thus, Remdesivir is considered as a potent drug against SARS-cov-2 since it is bound tightly and spontaneously to its rdrp.</w:t>
            </w:r>
          </w:p>
        </w:tc>
      </w:tr>
      <w:tr w:rsidR="000D20C7" w:rsidRPr="000D20C7" w:rsidTr="000D20C7">
        <w:trPr>
          <w:trHeight w:val="530"/>
        </w:trPr>
        <w:tc>
          <w:tcPr>
            <w:tcW w:w="292"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SARS-CoV-2</w:t>
            </w:r>
          </w:p>
        </w:tc>
        <w:tc>
          <w:tcPr>
            <w:tcW w:w="444"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Pruijssers A et al</w:t>
            </w:r>
          </w:p>
        </w:tc>
        <w:tc>
          <w:tcPr>
            <w:tcW w:w="317" w:type="pct"/>
          </w:tcPr>
          <w:p w:rsidR="000D20C7" w:rsidRPr="000D20C7" w:rsidRDefault="006E15A4" w:rsidP="000962DC">
            <w:pPr>
              <w:rPr>
                <w:rFonts w:ascii="Times New Roman" w:eastAsia="Times New Roman" w:hAnsi="Times New Roman" w:cs="Times New Roman"/>
                <w:sz w:val="24"/>
                <w:szCs w:val="24"/>
              </w:rPr>
            </w:pPr>
            <w:hyperlink r:id="rId12">
              <w:r w:rsidR="000D20C7" w:rsidRPr="000D20C7">
                <w:rPr>
                  <w:rFonts w:ascii="Times New Roman" w:eastAsia="Times New Roman" w:hAnsi="Times New Roman" w:cs="Times New Roman"/>
                  <w:sz w:val="24"/>
                  <w:szCs w:val="24"/>
                </w:rPr>
                <w:t>https://doi.org/10.1101/2020.04.</w:t>
              </w:r>
              <w:r w:rsidR="000D20C7" w:rsidRPr="000D20C7">
                <w:rPr>
                  <w:rFonts w:ascii="Times New Roman" w:eastAsia="Times New Roman" w:hAnsi="Times New Roman" w:cs="Times New Roman"/>
                  <w:sz w:val="24"/>
                  <w:szCs w:val="24"/>
                </w:rPr>
                <w:lastRenderedPageBreak/>
                <w:t>27.064279</w:t>
              </w:r>
            </w:hyperlink>
          </w:p>
        </w:tc>
        <w:tc>
          <w:tcPr>
            <w:tcW w:w="286"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lastRenderedPageBreak/>
              <w:t>2020</w:t>
            </w:r>
          </w:p>
        </w:tc>
        <w:tc>
          <w:tcPr>
            <w:tcW w:w="412"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USA</w:t>
            </w:r>
          </w:p>
        </w:tc>
        <w:tc>
          <w:tcPr>
            <w:tcW w:w="699"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 xml:space="preserve">Vero cell and Calu3 2B4 cell culture. Human lung cells, primary human </w:t>
            </w:r>
            <w:r w:rsidRPr="000D20C7">
              <w:rPr>
                <w:rFonts w:ascii="Times New Roman" w:eastAsia="Times New Roman" w:hAnsi="Times New Roman" w:cs="Times New Roman"/>
                <w:sz w:val="24"/>
                <w:szCs w:val="24"/>
              </w:rPr>
              <w:lastRenderedPageBreak/>
              <w:t xml:space="preserve">airway epithelial cultures, </w:t>
            </w:r>
          </w:p>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Animal studies- Ces1c-/- mice</w:t>
            </w:r>
          </w:p>
        </w:tc>
        <w:tc>
          <w:tcPr>
            <w:tcW w:w="508"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lastRenderedPageBreak/>
              <w:t>Remdesivir</w:t>
            </w:r>
          </w:p>
        </w:tc>
        <w:tc>
          <w:tcPr>
            <w:tcW w:w="1053"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 xml:space="preserve">Vero E6 and Calu3 2B4 cells were infected with SARS-cov-2 clinical isolate and treated with a range of RDV concentrations. The </w:t>
            </w:r>
            <w:r w:rsidRPr="000D20C7">
              <w:rPr>
                <w:rFonts w:ascii="Times New Roman" w:eastAsia="Times New Roman" w:hAnsi="Times New Roman" w:cs="Times New Roman"/>
                <w:sz w:val="24"/>
                <w:szCs w:val="24"/>
              </w:rPr>
              <w:lastRenderedPageBreak/>
              <w:t>viral titres were then quantified by RT-qPCR.</w:t>
            </w:r>
          </w:p>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Ces1c-/- mice were infected with SARS1/SARS2-rdrp and were treated with 25 mg/kg RDV BID subcutaneously at one day post-infection.</w:t>
            </w:r>
          </w:p>
        </w:tc>
        <w:tc>
          <w:tcPr>
            <w:tcW w:w="988"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lastRenderedPageBreak/>
              <w:t xml:space="preserve">In Calu3 cells, RDV inhibited SARS-cov-2 with an EC50 = 0.28 μm and EC90 = 2.48 114 μm. In Vero E6 cells RDV </w:t>
            </w:r>
            <w:r w:rsidRPr="000D20C7">
              <w:rPr>
                <w:rFonts w:ascii="Times New Roman" w:eastAsia="Times New Roman" w:hAnsi="Times New Roman" w:cs="Times New Roman"/>
                <w:sz w:val="24"/>
                <w:szCs w:val="24"/>
              </w:rPr>
              <w:lastRenderedPageBreak/>
              <w:t>inhibited SARS-cov-2 with EC50 = 1.65 μm and EC90 = 2.40 μm. Thus SARS-cov-2 was more potently inhibited in Calu3 2B4 than in Vero E6 cells by RDV. In HAEs, RDV demonstrated potent antiviral activity with EC50 values of 0.0010 and 0.009 µm with a selectivity index of &gt;1000. Infected mice when treated therapeutically with RDV show decreased viral loads in the lungs and increased pulmonary function thus emphasizing RDV as a promising agent.</w:t>
            </w:r>
          </w:p>
          <w:p w:rsidR="000D20C7" w:rsidRPr="000D20C7" w:rsidRDefault="000D20C7" w:rsidP="000962DC">
            <w:pPr>
              <w:rPr>
                <w:rFonts w:ascii="Times New Roman" w:eastAsia="Times New Roman" w:hAnsi="Times New Roman" w:cs="Times New Roman"/>
                <w:sz w:val="24"/>
                <w:szCs w:val="24"/>
              </w:rPr>
            </w:pPr>
          </w:p>
        </w:tc>
      </w:tr>
      <w:tr w:rsidR="000D20C7" w:rsidRPr="000D20C7" w:rsidTr="000D20C7">
        <w:trPr>
          <w:trHeight w:val="1072"/>
        </w:trPr>
        <w:tc>
          <w:tcPr>
            <w:tcW w:w="292"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lastRenderedPageBreak/>
              <w:t>SARS-CoV-2</w:t>
            </w:r>
          </w:p>
        </w:tc>
        <w:tc>
          <w:tcPr>
            <w:tcW w:w="444"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Williamson B et al</w:t>
            </w:r>
          </w:p>
        </w:tc>
        <w:tc>
          <w:tcPr>
            <w:tcW w:w="317"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https://doi.org/10.1101/2020.04.15.043166</w:t>
            </w:r>
          </w:p>
        </w:tc>
        <w:tc>
          <w:tcPr>
            <w:tcW w:w="286"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2020</w:t>
            </w:r>
          </w:p>
        </w:tc>
        <w:tc>
          <w:tcPr>
            <w:tcW w:w="412"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USA</w:t>
            </w:r>
          </w:p>
        </w:tc>
        <w:tc>
          <w:tcPr>
            <w:tcW w:w="699"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Animal studies- rhesus macaque model</w:t>
            </w:r>
          </w:p>
        </w:tc>
        <w:tc>
          <w:tcPr>
            <w:tcW w:w="508"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Remdesivir</w:t>
            </w:r>
          </w:p>
        </w:tc>
        <w:tc>
          <w:tcPr>
            <w:tcW w:w="1053"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Six adult rhesus macaques infected with SARS-cov-2 strain were given RDV at 12 hours post inoculation with 10mg/kg loading dose and 5mg/kg maintenance dose intravenous bolus injection and continued once daily through 6 days post inoculation</w:t>
            </w:r>
          </w:p>
        </w:tc>
        <w:tc>
          <w:tcPr>
            <w:tcW w:w="988"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 xml:space="preserve">In the animals treated with remdesivir decreased viral replication was observed in the lower respiratory tract as early as 12hrs after the first treatment. They did not show signs of respiratory disease and had reduced pulmonary infiltrates on radiographs. At necropsy on day 7 after </w:t>
            </w:r>
            <w:r w:rsidRPr="000D20C7">
              <w:rPr>
                <w:rFonts w:ascii="Times New Roman" w:eastAsia="Times New Roman" w:hAnsi="Times New Roman" w:cs="Times New Roman"/>
                <w:sz w:val="24"/>
                <w:szCs w:val="24"/>
              </w:rPr>
              <w:lastRenderedPageBreak/>
              <w:t>inoculation, lung viral loads and the damage to the lung tissue was significantly lower.</w:t>
            </w:r>
          </w:p>
        </w:tc>
      </w:tr>
      <w:tr w:rsidR="000D20C7" w:rsidRPr="000D20C7" w:rsidTr="000D20C7">
        <w:trPr>
          <w:trHeight w:val="50"/>
        </w:trPr>
        <w:tc>
          <w:tcPr>
            <w:tcW w:w="292" w:type="pct"/>
          </w:tcPr>
          <w:p w:rsidR="000D20C7" w:rsidRPr="000D20C7" w:rsidRDefault="000D20C7" w:rsidP="000962DC">
            <w:pPr>
              <w:pStyle w:val="Heading1"/>
              <w:shd w:val="clear" w:color="auto" w:fill="FFFFFF"/>
              <w:spacing w:before="0" w:after="300"/>
              <w:outlineLvl w:val="0"/>
              <w:rPr>
                <w:b w:val="0"/>
                <w:sz w:val="24"/>
                <w:szCs w:val="24"/>
              </w:rPr>
            </w:pPr>
            <w:r w:rsidRPr="000D20C7">
              <w:rPr>
                <w:b w:val="0"/>
                <w:sz w:val="24"/>
                <w:szCs w:val="24"/>
              </w:rPr>
              <w:lastRenderedPageBreak/>
              <w:t>SARS-CoV-2</w:t>
            </w:r>
          </w:p>
          <w:p w:rsidR="000D20C7" w:rsidRPr="000D20C7" w:rsidRDefault="000D20C7" w:rsidP="000962DC">
            <w:pPr>
              <w:rPr>
                <w:rFonts w:ascii="Times New Roman" w:eastAsia="Times New Roman" w:hAnsi="Times New Roman" w:cs="Times New Roman"/>
                <w:sz w:val="24"/>
                <w:szCs w:val="24"/>
              </w:rPr>
            </w:pPr>
          </w:p>
        </w:tc>
        <w:tc>
          <w:tcPr>
            <w:tcW w:w="444"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Pizzorno A et al</w:t>
            </w:r>
          </w:p>
        </w:tc>
        <w:tc>
          <w:tcPr>
            <w:tcW w:w="317"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https://doi.org/10.1101/2020.03.31.017889</w:t>
            </w:r>
          </w:p>
        </w:tc>
        <w:tc>
          <w:tcPr>
            <w:tcW w:w="286"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2020</w:t>
            </w:r>
          </w:p>
        </w:tc>
        <w:tc>
          <w:tcPr>
            <w:tcW w:w="412"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France</w:t>
            </w:r>
          </w:p>
        </w:tc>
        <w:tc>
          <w:tcPr>
            <w:tcW w:w="699"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Human reconstituted airway epithelial culture, Vero cell culture</w:t>
            </w:r>
          </w:p>
        </w:tc>
        <w:tc>
          <w:tcPr>
            <w:tcW w:w="508"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Remdesivir, diltiazem</w:t>
            </w:r>
          </w:p>
        </w:tc>
        <w:tc>
          <w:tcPr>
            <w:tcW w:w="1053"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Antiviral potential of remdesivir monotherapy as well as in combination with diltiazem against SARS-CoV-2 was studied.</w:t>
            </w:r>
          </w:p>
        </w:tc>
        <w:tc>
          <w:tcPr>
            <w:tcW w:w="988"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Remdesivir monotherapy showed a strong antiviral effect with IC50 of 0.98 ± 0.07 µM at 48 hpi and 0.72 ± 0.03 µM at 72 hpi. This effect was greatly improved by addition of diltiazem, inducing 68% and 50% reductions in IC50 values at 48 and 72 hpi, respectively.</w:t>
            </w:r>
          </w:p>
        </w:tc>
      </w:tr>
      <w:tr w:rsidR="000D20C7" w:rsidRPr="000D20C7" w:rsidTr="000D20C7">
        <w:trPr>
          <w:trHeight w:val="2510"/>
        </w:trPr>
        <w:tc>
          <w:tcPr>
            <w:tcW w:w="292" w:type="pct"/>
          </w:tcPr>
          <w:p w:rsidR="000D20C7" w:rsidRPr="000D20C7" w:rsidRDefault="000D20C7" w:rsidP="000962DC">
            <w:pPr>
              <w:pStyle w:val="Heading1"/>
              <w:shd w:val="clear" w:color="auto" w:fill="FFFFFF"/>
              <w:spacing w:before="240" w:after="120"/>
              <w:outlineLvl w:val="0"/>
              <w:rPr>
                <w:b w:val="0"/>
                <w:sz w:val="24"/>
                <w:szCs w:val="24"/>
              </w:rPr>
            </w:pPr>
            <w:r w:rsidRPr="000D20C7">
              <w:rPr>
                <w:b w:val="0"/>
                <w:sz w:val="24"/>
                <w:szCs w:val="24"/>
              </w:rPr>
              <w:t>SARS-CoV-2</w:t>
            </w:r>
          </w:p>
          <w:p w:rsidR="000D20C7" w:rsidRPr="000D20C7" w:rsidRDefault="000D20C7" w:rsidP="000962DC">
            <w:pPr>
              <w:rPr>
                <w:rFonts w:ascii="Times New Roman" w:eastAsia="Times New Roman" w:hAnsi="Times New Roman" w:cs="Times New Roman"/>
                <w:sz w:val="24"/>
                <w:szCs w:val="24"/>
              </w:rPr>
            </w:pPr>
          </w:p>
        </w:tc>
        <w:tc>
          <w:tcPr>
            <w:tcW w:w="444"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Choy K et al</w:t>
            </w:r>
          </w:p>
        </w:tc>
        <w:tc>
          <w:tcPr>
            <w:tcW w:w="317"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https://dx.doi.org/10.1016%2Fj.antiviral.2020.104786</w:t>
            </w:r>
          </w:p>
        </w:tc>
        <w:tc>
          <w:tcPr>
            <w:tcW w:w="286"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2020</w:t>
            </w:r>
          </w:p>
        </w:tc>
        <w:tc>
          <w:tcPr>
            <w:tcW w:w="412"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China</w:t>
            </w:r>
          </w:p>
        </w:tc>
        <w:tc>
          <w:tcPr>
            <w:tcW w:w="699"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Vero cell culture</w:t>
            </w:r>
          </w:p>
        </w:tc>
        <w:tc>
          <w:tcPr>
            <w:tcW w:w="508" w:type="pct"/>
          </w:tcPr>
          <w:p w:rsidR="000D20C7" w:rsidRPr="000D20C7" w:rsidRDefault="000D20C7" w:rsidP="000962DC">
            <w:pPr>
              <w:pStyle w:val="Heading1"/>
              <w:shd w:val="clear" w:color="auto" w:fill="FFFFFF"/>
              <w:spacing w:before="240" w:after="120"/>
              <w:outlineLvl w:val="0"/>
              <w:rPr>
                <w:b w:val="0"/>
                <w:sz w:val="24"/>
                <w:szCs w:val="24"/>
              </w:rPr>
            </w:pPr>
            <w:r w:rsidRPr="000D20C7">
              <w:rPr>
                <w:b w:val="0"/>
                <w:sz w:val="24"/>
                <w:szCs w:val="24"/>
              </w:rPr>
              <w:t>Remdesivir, lopinavir, emetine, homoharringtonine</w:t>
            </w:r>
          </w:p>
          <w:p w:rsidR="000D20C7" w:rsidRPr="000D20C7" w:rsidRDefault="000D20C7" w:rsidP="000962DC">
            <w:pPr>
              <w:rPr>
                <w:rFonts w:ascii="Times New Roman" w:eastAsia="Times New Roman" w:hAnsi="Times New Roman" w:cs="Times New Roman"/>
                <w:sz w:val="24"/>
                <w:szCs w:val="24"/>
              </w:rPr>
            </w:pPr>
          </w:p>
        </w:tc>
        <w:tc>
          <w:tcPr>
            <w:tcW w:w="1053"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The antiviral effect of the aforementioned compounds was studied in the Vero E6 cells infected by SARS-CoV-2 virus at MOI = 0.02.  In addition, the combinational effect of remdesivir and emetine was also studied.</w:t>
            </w:r>
          </w:p>
        </w:tc>
        <w:tc>
          <w:tcPr>
            <w:tcW w:w="988" w:type="pct"/>
          </w:tcPr>
          <w:p w:rsidR="000D20C7" w:rsidRPr="000D20C7" w:rsidRDefault="000D20C7" w:rsidP="000962DC">
            <w:pPr>
              <w:rPr>
                <w:rFonts w:ascii="Times New Roman" w:eastAsia="Times New Roman" w:hAnsi="Times New Roman" w:cs="Times New Roman"/>
                <w:sz w:val="24"/>
                <w:szCs w:val="24"/>
              </w:rPr>
            </w:pPr>
            <w:r w:rsidRPr="000D20C7">
              <w:rPr>
                <w:rFonts w:ascii="Times New Roman" w:eastAsia="Times New Roman" w:hAnsi="Times New Roman" w:cs="Times New Roman"/>
                <w:sz w:val="24"/>
                <w:szCs w:val="24"/>
              </w:rPr>
              <w:t>EC50 of remdesivir and emetine independently was 23.15 μM and 0.46 μM, respectively. But synergy was observed with remdesivir at 6.25 μM in combination with emetine at 0.195 μM achieving 64.9% inhibition in viral yield.</w:t>
            </w:r>
          </w:p>
        </w:tc>
      </w:tr>
    </w:tbl>
    <w:p w:rsidR="000D20C7" w:rsidRPr="000A1F18" w:rsidRDefault="000D20C7" w:rsidP="000D20C7">
      <w:pPr>
        <w:spacing w:line="480" w:lineRule="auto"/>
        <w:rPr>
          <w:rFonts w:ascii="Times New Roman" w:eastAsia="Times New Roman" w:hAnsi="Times New Roman" w:cs="Times New Roman"/>
          <w:sz w:val="16"/>
          <w:szCs w:val="16"/>
        </w:rPr>
      </w:pPr>
    </w:p>
    <w:p w:rsidR="000A1F18" w:rsidRPr="000A1F18" w:rsidRDefault="000A1F18" w:rsidP="000D20C7">
      <w:pPr>
        <w:spacing w:line="480" w:lineRule="auto"/>
        <w:rPr>
          <w:rFonts w:ascii="Times New Roman" w:eastAsia="Times New Roman" w:hAnsi="Times New Roman" w:cs="Times New Roman"/>
          <w:sz w:val="16"/>
          <w:szCs w:val="16"/>
        </w:rPr>
      </w:pPr>
    </w:p>
    <w:sectPr w:rsidR="000A1F18" w:rsidRPr="000A1F18" w:rsidSect="000D20C7">
      <w:pgSz w:w="16838" w:h="11906" w:orient="landscape"/>
      <w:pgMar w:top="1440" w:right="1440" w:bottom="1440" w:left="144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E81"/>
    <w:rsid w:val="000962DC"/>
    <w:rsid w:val="000A1F18"/>
    <w:rsid w:val="000D20C7"/>
    <w:rsid w:val="004B579D"/>
    <w:rsid w:val="00540173"/>
    <w:rsid w:val="00656E81"/>
    <w:rsid w:val="006E15A4"/>
    <w:rsid w:val="00967C61"/>
    <w:rsid w:val="00BF661A"/>
    <w:rsid w:val="00F73E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5ED"/>
  </w:style>
  <w:style w:type="paragraph" w:styleId="Heading1">
    <w:name w:val="heading 1"/>
    <w:basedOn w:val="Normal"/>
    <w:link w:val="Heading1Char"/>
    <w:uiPriority w:val="9"/>
    <w:qFormat/>
    <w:rsid w:val="0078765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1E0A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87653"/>
    <w:rPr>
      <w:color w:val="0000FF"/>
      <w:u w:val="single"/>
    </w:rPr>
  </w:style>
  <w:style w:type="character" w:customStyle="1" w:styleId="Heading1Char">
    <w:name w:val="Heading 1 Char"/>
    <w:basedOn w:val="DefaultParagraphFont"/>
    <w:link w:val="Heading1"/>
    <w:uiPriority w:val="9"/>
    <w:rsid w:val="00787653"/>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787653"/>
    <w:rPr>
      <w:i/>
      <w:iCs/>
    </w:rPr>
  </w:style>
  <w:style w:type="character" w:customStyle="1" w:styleId="UnresolvedMention">
    <w:name w:val="Unresolved Mention"/>
    <w:basedOn w:val="DefaultParagraphFont"/>
    <w:uiPriority w:val="99"/>
    <w:semiHidden/>
    <w:unhideWhenUsed/>
    <w:rsid w:val="00E8289F"/>
    <w:rPr>
      <w:color w:val="605E5C"/>
      <w:shd w:val="clear" w:color="auto" w:fill="E1DFDD"/>
    </w:rPr>
  </w:style>
  <w:style w:type="character" w:customStyle="1" w:styleId="nd-word">
    <w:name w:val="nd-word"/>
    <w:basedOn w:val="DefaultParagraphFont"/>
    <w:rsid w:val="00062892"/>
  </w:style>
  <w:style w:type="character" w:customStyle="1" w:styleId="nlm-surname">
    <w:name w:val="nlm-surname"/>
    <w:basedOn w:val="DefaultParagraphFont"/>
    <w:rsid w:val="001C051A"/>
  </w:style>
  <w:style w:type="character" w:styleId="FollowedHyperlink">
    <w:name w:val="FollowedHyperlink"/>
    <w:basedOn w:val="DefaultParagraphFont"/>
    <w:uiPriority w:val="99"/>
    <w:semiHidden/>
    <w:unhideWhenUsed/>
    <w:rsid w:val="007F158D"/>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0D2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5ED"/>
  </w:style>
  <w:style w:type="paragraph" w:styleId="Heading1">
    <w:name w:val="heading 1"/>
    <w:basedOn w:val="Normal"/>
    <w:link w:val="Heading1Char"/>
    <w:uiPriority w:val="9"/>
    <w:qFormat/>
    <w:rsid w:val="0078765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1E0A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87653"/>
    <w:rPr>
      <w:color w:val="0000FF"/>
      <w:u w:val="single"/>
    </w:rPr>
  </w:style>
  <w:style w:type="character" w:customStyle="1" w:styleId="Heading1Char">
    <w:name w:val="Heading 1 Char"/>
    <w:basedOn w:val="DefaultParagraphFont"/>
    <w:link w:val="Heading1"/>
    <w:uiPriority w:val="9"/>
    <w:rsid w:val="00787653"/>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787653"/>
    <w:rPr>
      <w:i/>
      <w:iCs/>
    </w:rPr>
  </w:style>
  <w:style w:type="character" w:customStyle="1" w:styleId="UnresolvedMention">
    <w:name w:val="Unresolved Mention"/>
    <w:basedOn w:val="DefaultParagraphFont"/>
    <w:uiPriority w:val="99"/>
    <w:semiHidden/>
    <w:unhideWhenUsed/>
    <w:rsid w:val="00E8289F"/>
    <w:rPr>
      <w:color w:val="605E5C"/>
      <w:shd w:val="clear" w:color="auto" w:fill="E1DFDD"/>
    </w:rPr>
  </w:style>
  <w:style w:type="character" w:customStyle="1" w:styleId="nd-word">
    <w:name w:val="nd-word"/>
    <w:basedOn w:val="DefaultParagraphFont"/>
    <w:rsid w:val="00062892"/>
  </w:style>
  <w:style w:type="character" w:customStyle="1" w:styleId="nlm-surname">
    <w:name w:val="nlm-surname"/>
    <w:basedOn w:val="DefaultParagraphFont"/>
    <w:rsid w:val="001C051A"/>
  </w:style>
  <w:style w:type="character" w:styleId="FollowedHyperlink">
    <w:name w:val="FollowedHyperlink"/>
    <w:basedOn w:val="DefaultParagraphFont"/>
    <w:uiPriority w:val="99"/>
    <w:semiHidden/>
    <w:unhideWhenUsed/>
    <w:rsid w:val="007F158D"/>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0D2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i.org/10.1038/s41422-020-0282-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x.doi.org/10.1126%2Fscitranslmed.aal3653" TargetMode="External"/><Relationship Id="rId12" Type="http://schemas.openxmlformats.org/officeDocument/2006/relationships/hyperlink" Target="https://doi.org/10.1101/2020.04.27.06427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cbi.nlm.nih.gov/pubmed/?term=Sheahan%20TP%5BAuthor%5D&amp;cauthor=true&amp;cauthor_uid=28659436" TargetMode="External"/><Relationship Id="rId11" Type="http://schemas.openxmlformats.org/officeDocument/2006/relationships/hyperlink" Target="https://dx.doi.org/10.1016%2Fj.lfs.2020.117477" TargetMode="External"/><Relationship Id="rId5" Type="http://schemas.openxmlformats.org/officeDocument/2006/relationships/webSettings" Target="webSettings.xml"/><Relationship Id="rId10" Type="http://schemas.openxmlformats.org/officeDocument/2006/relationships/hyperlink" Target="https://www.ncbi.nlm.nih.gov/pubmed/?term=Elfiky%20AA%5BAuthor%5D&amp;cauthor=true&amp;cauthor_uid=32119961" TargetMode="External"/><Relationship Id="rId4" Type="http://schemas.openxmlformats.org/officeDocument/2006/relationships/settings" Target="settings.xml"/><Relationship Id="rId9" Type="http://schemas.openxmlformats.org/officeDocument/2006/relationships/hyperlink" Target="https://doi.org/10.1080/07391102.2020.175129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yRA3SI5tBVMDBtNCVs1RSE50ow==">AMUW2mV766V0iEzXZ/5eryh9Z34lQSpiI5wjYMofnRCeNBoQjPmIN70CEPxRyHXH69EhQnfBsaFMAfV++QYI/JaplMnCwCoRl6rEXJoJCWMUETMPWrTWKwd3R1dyl7uG1NAnPZa2aUK897mpkSKn1hHCxdVBRr7IPkD4pNSGSbj32lA10WNsKbXj6kG10pbZ6qXL0KHHB8iy8DiMxV6tbwJw9425hEd0nMoKdU89eg2XKruOAfpW5ziXq3EUjvV0GKTT64ooo/EW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xyz</dc:creator>
  <cp:lastModifiedBy>Bansal, Vikas</cp:lastModifiedBy>
  <cp:revision>9</cp:revision>
  <dcterms:created xsi:type="dcterms:W3CDTF">2020-06-21T09:01:00Z</dcterms:created>
  <dcterms:modified xsi:type="dcterms:W3CDTF">2020-12-31T04:41:00Z</dcterms:modified>
</cp:coreProperties>
</file>