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76D1D443" w:rsidR="00EA3D3C" w:rsidRDefault="00654E8F" w:rsidP="0001436A">
      <w:pPr>
        <w:pStyle w:val="Titre1"/>
      </w:pPr>
      <w:r w:rsidRPr="00994A3D">
        <w:t xml:space="preserve">Supplementary </w:t>
      </w:r>
      <w:r w:rsidR="002F5D48">
        <w:t>Tables</w:t>
      </w:r>
    </w:p>
    <w:p w14:paraId="676AABC4" w14:textId="0C7E286B" w:rsidR="002F5D48" w:rsidRPr="007066F6" w:rsidRDefault="002F5D48" w:rsidP="00806C9E">
      <w:pPr>
        <w:spacing w:before="0" w:after="200" w:line="276" w:lineRule="auto"/>
        <w:rPr>
          <w:rFonts w:cs="Times New Roman"/>
          <w:b/>
          <w:szCs w:val="24"/>
          <w:lang w:val="en-GB"/>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Pr>
          <w:rFonts w:cs="Times New Roman"/>
          <w:szCs w:val="24"/>
        </w:rPr>
        <w:t>Complete list of articles dataset</w:t>
      </w:r>
      <w:r w:rsidR="004C77CB">
        <w:rPr>
          <w:rFonts w:cs="Times New Roman"/>
          <w:szCs w:val="24"/>
        </w:rPr>
        <w:t xml:space="preserve"> (n=111</w:t>
      </w:r>
      <w:r w:rsidR="0016459F">
        <w:rPr>
          <w:rFonts w:cs="Times New Roman"/>
          <w:szCs w:val="24"/>
        </w:rPr>
        <w:t>)</w:t>
      </w:r>
      <w:r w:rsidR="007066F6" w:rsidRPr="007066F6">
        <w:t xml:space="preserve"> </w:t>
      </w:r>
      <w:r w:rsidR="007066F6" w:rsidRPr="007066F6">
        <w:rPr>
          <w:rFonts w:cs="Times New Roman"/>
          <w:szCs w:val="24"/>
        </w:rPr>
        <w:t xml:space="preserve">with description of </w:t>
      </w:r>
      <w:r w:rsidR="007066F6">
        <w:rPr>
          <w:rFonts w:cs="Times New Roman"/>
          <w:szCs w:val="24"/>
        </w:rPr>
        <w:t xml:space="preserve">the studied area, </w:t>
      </w:r>
      <w:r w:rsidR="007066F6" w:rsidRPr="007066F6">
        <w:rPr>
          <w:rFonts w:cs="Times New Roman"/>
          <w:szCs w:val="24"/>
        </w:rPr>
        <w:t xml:space="preserve">the </w:t>
      </w:r>
      <w:r w:rsidR="007066F6">
        <w:rPr>
          <w:rFonts w:cs="Times New Roman"/>
          <w:szCs w:val="24"/>
        </w:rPr>
        <w:t xml:space="preserve">adaptation (LT1: Site Selection, LT2: Plant Material, LT3: Vineyard design, LT4: Farm strategy, ST1: Irrigation, ST2: Soil management, ST3: Canopy management, ST4: Harvest and post-harvest management), scale and method. </w:t>
      </w:r>
    </w:p>
    <w:tbl>
      <w:tblPr>
        <w:tblStyle w:val="TableauGrille2"/>
        <w:tblW w:w="0" w:type="auto"/>
        <w:tblLook w:val="04A0" w:firstRow="1" w:lastRow="0" w:firstColumn="1" w:lastColumn="0" w:noHBand="0" w:noVBand="1"/>
      </w:tblPr>
      <w:tblGrid>
        <w:gridCol w:w="396"/>
        <w:gridCol w:w="1190"/>
        <w:gridCol w:w="859"/>
        <w:gridCol w:w="1710"/>
        <w:gridCol w:w="1431"/>
        <w:gridCol w:w="1137"/>
        <w:gridCol w:w="460"/>
        <w:gridCol w:w="1203"/>
        <w:gridCol w:w="1269"/>
        <w:gridCol w:w="943"/>
        <w:gridCol w:w="1625"/>
        <w:gridCol w:w="1341"/>
      </w:tblGrid>
      <w:tr w:rsidR="00537A56" w:rsidRPr="00EF0654" w14:paraId="34336765" w14:textId="4260FA1F" w:rsidTr="00537A5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505B96F7" w14:textId="77777777" w:rsidR="00537A56" w:rsidRPr="00EF0654" w:rsidRDefault="00537A56" w:rsidP="00AD2ABD">
            <w:pPr>
              <w:spacing w:before="0" w:after="0"/>
              <w:rPr>
                <w:rFonts w:ascii="Calibri" w:eastAsia="Times New Roman" w:hAnsi="Calibri" w:cs="Calibri"/>
                <w:b w:val="0"/>
                <w:bCs w:val="0"/>
                <w:color w:val="000000"/>
                <w:sz w:val="16"/>
                <w:lang w:val="en-GB" w:eastAsia="en-GB"/>
              </w:rPr>
            </w:pPr>
            <w:r w:rsidRPr="00EF0654">
              <w:rPr>
                <w:rFonts w:ascii="Calibri" w:eastAsia="Times New Roman" w:hAnsi="Calibri" w:cs="Calibri"/>
                <w:b w:val="0"/>
                <w:bCs w:val="0"/>
                <w:color w:val="000000"/>
                <w:sz w:val="16"/>
                <w:lang w:val="en-GB" w:eastAsia="en-GB"/>
              </w:rPr>
              <w:t>N°</w:t>
            </w:r>
          </w:p>
        </w:tc>
        <w:tc>
          <w:tcPr>
            <w:tcW w:w="1190" w:type="dxa"/>
            <w:hideMark/>
          </w:tcPr>
          <w:p w14:paraId="0227E80D" w14:textId="3749196C" w:rsidR="00537A56" w:rsidRPr="00EF0654"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Pr>
                <w:rFonts w:ascii="Calibri" w:eastAsia="Times New Roman" w:hAnsi="Calibri" w:cs="Calibri"/>
                <w:b w:val="0"/>
                <w:bCs w:val="0"/>
                <w:color w:val="000000"/>
                <w:sz w:val="16"/>
                <w:lang w:val="en-GB" w:eastAsia="en-GB"/>
              </w:rPr>
              <w:t>Reference</w:t>
            </w:r>
          </w:p>
        </w:tc>
        <w:tc>
          <w:tcPr>
            <w:tcW w:w="859" w:type="dxa"/>
          </w:tcPr>
          <w:p w14:paraId="5BBF01DA" w14:textId="7CCDD540" w:rsidR="00537A56"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sidRPr="00537A56">
              <w:rPr>
                <w:rFonts w:ascii="Calibri" w:eastAsia="Times New Roman" w:hAnsi="Calibri" w:cs="Calibri"/>
                <w:b w:val="0"/>
                <w:bCs w:val="0"/>
                <w:color w:val="000000"/>
                <w:sz w:val="16"/>
                <w:lang w:val="en-GB" w:eastAsia="en-GB"/>
              </w:rPr>
              <w:t>Studied area</w:t>
            </w:r>
          </w:p>
        </w:tc>
        <w:tc>
          <w:tcPr>
            <w:tcW w:w="1710" w:type="dxa"/>
          </w:tcPr>
          <w:p w14:paraId="43208F4D" w14:textId="6DD6927F" w:rsidR="00537A56" w:rsidRPr="00EF0654"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Pr>
                <w:rFonts w:ascii="Calibri" w:eastAsia="Times New Roman" w:hAnsi="Calibri" w:cs="Calibri"/>
                <w:b w:val="0"/>
                <w:bCs w:val="0"/>
                <w:color w:val="000000"/>
                <w:sz w:val="16"/>
                <w:lang w:val="en-GB" w:eastAsia="en-GB"/>
              </w:rPr>
              <w:t>Adaptation</w:t>
            </w:r>
          </w:p>
        </w:tc>
        <w:tc>
          <w:tcPr>
            <w:tcW w:w="1431" w:type="dxa"/>
          </w:tcPr>
          <w:p w14:paraId="1156D8D2" w14:textId="0BEFA057" w:rsidR="00537A56"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Pr>
                <w:rFonts w:ascii="Calibri" w:eastAsia="Times New Roman" w:hAnsi="Calibri" w:cs="Calibri"/>
                <w:b w:val="0"/>
                <w:bCs w:val="0"/>
                <w:color w:val="000000"/>
                <w:sz w:val="16"/>
                <w:lang w:val="en-GB" w:eastAsia="en-GB"/>
              </w:rPr>
              <w:t>Scale</w:t>
            </w:r>
          </w:p>
        </w:tc>
        <w:tc>
          <w:tcPr>
            <w:tcW w:w="1137" w:type="dxa"/>
          </w:tcPr>
          <w:p w14:paraId="17C580D5" w14:textId="07DA2372" w:rsidR="00537A56"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Pr>
                <w:rFonts w:ascii="Calibri" w:eastAsia="Times New Roman" w:hAnsi="Calibri" w:cs="Calibri"/>
                <w:b w:val="0"/>
                <w:bCs w:val="0"/>
                <w:color w:val="000000"/>
                <w:sz w:val="16"/>
                <w:lang w:val="en-GB" w:eastAsia="en-GB"/>
              </w:rPr>
              <w:t>Method</w:t>
            </w:r>
          </w:p>
        </w:tc>
        <w:tc>
          <w:tcPr>
            <w:tcW w:w="460" w:type="dxa"/>
          </w:tcPr>
          <w:p w14:paraId="2F5B1F76" w14:textId="5927BD73" w:rsidR="00537A56" w:rsidRPr="00AD2ABD"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16"/>
                <w:lang w:val="en-GB" w:eastAsia="en-GB"/>
              </w:rPr>
            </w:pPr>
            <w:r w:rsidRPr="00AD2ABD">
              <w:rPr>
                <w:rFonts w:ascii="Calibri" w:eastAsia="Times New Roman" w:hAnsi="Calibri" w:cs="Calibri"/>
                <w:bCs w:val="0"/>
                <w:color w:val="000000"/>
                <w:sz w:val="16"/>
                <w:lang w:val="en-GB" w:eastAsia="en-GB"/>
              </w:rPr>
              <w:t>N°</w:t>
            </w:r>
          </w:p>
        </w:tc>
        <w:tc>
          <w:tcPr>
            <w:tcW w:w="1203" w:type="dxa"/>
          </w:tcPr>
          <w:p w14:paraId="05A2B1B1" w14:textId="649BC236" w:rsidR="00537A56"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Pr>
                <w:rFonts w:ascii="Calibri" w:eastAsia="Times New Roman" w:hAnsi="Calibri" w:cs="Calibri"/>
                <w:b w:val="0"/>
                <w:bCs w:val="0"/>
                <w:color w:val="000000"/>
                <w:sz w:val="16"/>
                <w:lang w:val="en-GB" w:eastAsia="en-GB"/>
              </w:rPr>
              <w:t>Reference</w:t>
            </w:r>
          </w:p>
        </w:tc>
        <w:tc>
          <w:tcPr>
            <w:tcW w:w="1269" w:type="dxa"/>
          </w:tcPr>
          <w:p w14:paraId="7C0C57D9" w14:textId="18453746" w:rsidR="00537A56"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sidRPr="00537A56">
              <w:rPr>
                <w:rFonts w:ascii="Calibri" w:eastAsia="Times New Roman" w:hAnsi="Calibri" w:cs="Calibri"/>
                <w:b w:val="0"/>
                <w:bCs w:val="0"/>
                <w:color w:val="000000"/>
                <w:sz w:val="16"/>
                <w:lang w:val="en-GB" w:eastAsia="en-GB"/>
              </w:rPr>
              <w:t>Studied area</w:t>
            </w:r>
          </w:p>
        </w:tc>
        <w:tc>
          <w:tcPr>
            <w:tcW w:w="943" w:type="dxa"/>
          </w:tcPr>
          <w:p w14:paraId="4B162B85" w14:textId="1B3930A8" w:rsidR="00537A56"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Pr>
                <w:rFonts w:ascii="Calibri" w:eastAsia="Times New Roman" w:hAnsi="Calibri" w:cs="Calibri"/>
                <w:b w:val="0"/>
                <w:bCs w:val="0"/>
                <w:color w:val="000000"/>
                <w:sz w:val="16"/>
                <w:lang w:val="en-GB" w:eastAsia="en-GB"/>
              </w:rPr>
              <w:t>Adaptation</w:t>
            </w:r>
          </w:p>
        </w:tc>
        <w:tc>
          <w:tcPr>
            <w:tcW w:w="1625" w:type="dxa"/>
          </w:tcPr>
          <w:p w14:paraId="09344163" w14:textId="4AEDB7AE" w:rsidR="00537A56"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Pr>
                <w:rFonts w:ascii="Calibri" w:eastAsia="Times New Roman" w:hAnsi="Calibri" w:cs="Calibri"/>
                <w:b w:val="0"/>
                <w:bCs w:val="0"/>
                <w:color w:val="000000"/>
                <w:sz w:val="16"/>
                <w:lang w:val="en-GB" w:eastAsia="en-GB"/>
              </w:rPr>
              <w:t>Scale</w:t>
            </w:r>
          </w:p>
        </w:tc>
        <w:tc>
          <w:tcPr>
            <w:tcW w:w="1341" w:type="dxa"/>
          </w:tcPr>
          <w:p w14:paraId="1D683FDF" w14:textId="1CAC6E6C" w:rsidR="00537A56" w:rsidRDefault="00537A56" w:rsidP="00AD2ABD">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6"/>
                <w:lang w:val="en-GB" w:eastAsia="en-GB"/>
              </w:rPr>
            </w:pPr>
            <w:r>
              <w:rPr>
                <w:rFonts w:ascii="Calibri" w:eastAsia="Times New Roman" w:hAnsi="Calibri" w:cs="Calibri"/>
                <w:b w:val="0"/>
                <w:bCs w:val="0"/>
                <w:color w:val="000000"/>
                <w:sz w:val="16"/>
                <w:lang w:val="en-GB" w:eastAsia="en-GB"/>
              </w:rPr>
              <w:t>Method</w:t>
            </w:r>
          </w:p>
        </w:tc>
      </w:tr>
      <w:tr w:rsidR="00537A56" w:rsidRPr="00EF0654" w14:paraId="7517ADFF" w14:textId="436701DD"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33126E5A" w14:textId="77777777" w:rsidR="00537A56" w:rsidRPr="00EF0654" w:rsidRDefault="00537A56" w:rsidP="00537A56">
            <w:pPr>
              <w:spacing w:before="0" w:after="0"/>
              <w:rPr>
                <w:rFonts w:ascii="Calibri" w:eastAsia="Times New Roman" w:hAnsi="Calibri" w:cs="Calibri"/>
                <w:color w:val="000000"/>
                <w:sz w:val="16"/>
                <w:lang w:val="en-GB" w:eastAsia="en-GB"/>
              </w:rPr>
            </w:pPr>
            <w:r w:rsidRPr="00EF0654">
              <w:rPr>
                <w:rFonts w:ascii="Calibri" w:eastAsia="Times New Roman" w:hAnsi="Calibri" w:cs="Calibri"/>
                <w:color w:val="000000"/>
                <w:sz w:val="16"/>
                <w:lang w:val="en-GB" w:eastAsia="en-GB"/>
              </w:rPr>
              <w:t>1</w:t>
            </w:r>
          </w:p>
        </w:tc>
        <w:tc>
          <w:tcPr>
            <w:tcW w:w="1190" w:type="dxa"/>
            <w:hideMark/>
          </w:tcPr>
          <w:p w14:paraId="1F36E2B5" w14:textId="70B1F025"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fr-FR"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{"citationID":"qq4yluTw","properties":{"formattedCitation":"(Alonso and Liu, 2013)","plainCitation":"(Alonso and Liu, 2013)","noteIndex":0},"citationItems":[{"id":3036,"uris":["http://zotero.org/users/2311545/items/U5GCLLQN"],"uri":["http://zotero.org/users/2311545/items/U5GCLLQN"],"itemData":{"id":3036,"type":"article-journal","abstract":"This study examines climate change from the perspective of small winery operators in an ultra-peripheral European region. Most respondents in this study refer to changes in the last decades, including warm weather patterns that are pushing harvests earlier in the year. Such changes are having an impact on the ﬁnal wine product, as alcohol volume has increased in some wines. Despite these new challenges, given growers” limitations of land space and resources, only the fewest growers are implementing strategies to minimize such impacts. Implications of the ﬁndings and future research avenues concerning climate change in the region are discussed.","container-title":"Agroecology and Sustainable Food Systems","DOI":"10.1080/10440046.2012.712089","ISSN":"2168-3565, 2168-3573","issue":"3","journalAbbreviation":"Agroecology and Sustainable Food Systems","language":"en","page":"291-315","source":"DOI.org (Crossref)","title":"Climate Change in the Wine Sector of an Ultra‐Peripheral European Region: A Case Study","title-short":"Climate Change in the Wine Sector of an Ultra‐Peripheral European Region","volume":"37","author":[{"family":"Alonso","given":"Abel Duarte"},{"family":"Liu","given":"Yi"}],"issued":{"date-parts":[["2013",3]]}}}],"schema":"https://github.com/citation-style-language/schema/raw/master/csl-citation.json"} </w:instrText>
            </w:r>
            <w:r>
              <w:rPr>
                <w:rFonts w:ascii="Calibri" w:eastAsia="Times New Roman" w:hAnsi="Calibri" w:cs="Calibri"/>
                <w:color w:val="000000"/>
                <w:sz w:val="16"/>
                <w:lang w:val="fr-FR" w:eastAsia="en-GB"/>
              </w:rPr>
              <w:fldChar w:fldCharType="separate"/>
            </w:r>
            <w:r w:rsidRPr="00691DDD">
              <w:rPr>
                <w:rFonts w:ascii="Calibri" w:hAnsi="Calibri" w:cs="Calibri"/>
                <w:sz w:val="16"/>
              </w:rPr>
              <w:t>(Alonso and Liu, 2013)</w:t>
            </w:r>
            <w:r>
              <w:rPr>
                <w:rFonts w:ascii="Calibri" w:eastAsia="Times New Roman" w:hAnsi="Calibri" w:cs="Calibri"/>
                <w:color w:val="000000"/>
                <w:sz w:val="16"/>
                <w:lang w:val="fr-FR" w:eastAsia="en-GB"/>
              </w:rPr>
              <w:fldChar w:fldCharType="end"/>
            </w:r>
          </w:p>
        </w:tc>
        <w:tc>
          <w:tcPr>
            <w:tcW w:w="859" w:type="dxa"/>
          </w:tcPr>
          <w:p w14:paraId="0CCD0E1C" w14:textId="19237217"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1710" w:type="dxa"/>
          </w:tcPr>
          <w:p w14:paraId="02B4A607" w14:textId="49B701CE"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LT4,ST1, ST4</w:t>
            </w:r>
          </w:p>
        </w:tc>
        <w:tc>
          <w:tcPr>
            <w:tcW w:w="1431" w:type="dxa"/>
          </w:tcPr>
          <w:p w14:paraId="6B1169F1" w14:textId="455CD222"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1487FC4D" w14:textId="198E6D7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105CAD45" w14:textId="45B53879"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56</w:t>
            </w:r>
          </w:p>
        </w:tc>
        <w:tc>
          <w:tcPr>
            <w:tcW w:w="1203" w:type="dxa"/>
          </w:tcPr>
          <w:p w14:paraId="62086073" w14:textId="5A38E2D6"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{"citationID":"Pp6Ckuku","properties":{"formattedCitation":"(Lereboullet et al., 2013)","plainCitation":"(Lereboullet et al., 2013)","noteIndex":0},"citationItems":[{"id":1834,"uris":["http://zotero.org/users/2311545/items/SIBULXD8"],"uri":["http://zotero.org/users/2311545/items/SIBULXD8"],"itemData":{"id":1834,"type":"article-journal","abstract":"The article aims to present a systemic and comparative framework to study adaptation to climate change in agricultural systems. Mediterranean viticulture, projected to experience signiﬁcant and rapid changes in climate, is used as a case study. We apply an international socio-ecological approach focusing on viticulture in Roussillon (France) and McLaren Vale (Australia). Mixed-methods, including analysis of meteorological data, semi-structured interviews and ﬁeld observations, guide an analysis of the exposure, sensitivity and adaptation of the two viticultural systems to climate change. We found that the exposure to climate change is likely to become more acute in the two regions by 2060, and that the sensitivity and adaptive capacity of viticultural systems to such change depend strongly on the complex interaction of ecological and socio-economic factors. Most studies focusing on viticulture and climate change are either oriented towards plant physiology, phenological modelling or the economic future of the industry in one region. The research bridges discipline approaches to provide a holistic comparative analysis to guide adaptation, and argues that socio-ecological analyses will become increasingly important to support adaptation decision-making.","container-title":"Agriculture, Ecosystems &amp; Environment","DOI":"10.1016/j.agee.2012.10.008","ISSN":"01678809","language":"en","page":"273-285","source":"Crossref","title":"Socio-ecological adaptation to climate change: A comparative case study from the Mediterranean wine industry in France and Australia","title-short":"Socio-ecological adaptation to climate change","volume":"164","author":[{"family":"Lereboullet","given":"Anne-Laure"},{"family":"Beltrando","given":"Gérard"},{"family":"Bardsley","given":"Douglas K."}],"issued":{"date-parts":[["2013",1]]}}}],"schema":"https://github.com/citation-style-language/schema/raw/master/csl-citation.json"}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(Lereboullet et al., 2013)</w:t>
            </w:r>
            <w:r>
              <w:rPr>
                <w:rFonts w:ascii="Calibri" w:eastAsia="Times New Roman" w:hAnsi="Calibri" w:cs="Calibri"/>
                <w:color w:val="000000"/>
                <w:sz w:val="16"/>
                <w:lang w:val="en-GB" w:eastAsia="en-GB"/>
              </w:rPr>
              <w:fldChar w:fldCharType="end"/>
            </w:r>
          </w:p>
        </w:tc>
        <w:tc>
          <w:tcPr>
            <w:tcW w:w="1269" w:type="dxa"/>
          </w:tcPr>
          <w:p w14:paraId="24E2463B" w14:textId="3DA764E5"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r>
              <w:rPr>
                <w:rFonts w:ascii="Calibri" w:eastAsia="Times New Roman" w:hAnsi="Calibri" w:cs="Calibri"/>
                <w:color w:val="000000"/>
                <w:sz w:val="16"/>
                <w:lang w:val="en-GB" w:eastAsia="en-GB"/>
              </w:rPr>
              <w:t xml:space="preserve"> </w:t>
            </w:r>
            <w:r w:rsidRPr="00537A56">
              <w:rPr>
                <w:rFonts w:ascii="Calibri" w:eastAsia="Times New Roman" w:hAnsi="Calibri" w:cs="Calibri"/>
                <w:color w:val="000000"/>
                <w:sz w:val="16"/>
                <w:lang w:val="en-GB" w:eastAsia="en-GB"/>
              </w:rPr>
              <w:t>Australia</w:t>
            </w:r>
          </w:p>
        </w:tc>
        <w:tc>
          <w:tcPr>
            <w:tcW w:w="943" w:type="dxa"/>
          </w:tcPr>
          <w:p w14:paraId="39316DF5" w14:textId="0093103B"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LT3, ST3, ST2, ST1, LT2, LT4</w:t>
            </w:r>
          </w:p>
        </w:tc>
        <w:tc>
          <w:tcPr>
            <w:tcW w:w="1625" w:type="dxa"/>
          </w:tcPr>
          <w:p w14:paraId="565EDB65" w14:textId="3482BC44"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341" w:type="dxa"/>
          </w:tcPr>
          <w:p w14:paraId="61BF496F" w14:textId="62035D71"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r>
      <w:tr w:rsidR="00537A56" w:rsidRPr="00EF0654" w14:paraId="5922BCE4" w14:textId="0271127A"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287AF970" w14:textId="77777777" w:rsidR="00537A56" w:rsidRPr="00EF0654" w:rsidRDefault="00537A56" w:rsidP="00537A56">
            <w:pPr>
              <w:spacing w:before="0" w:after="0"/>
              <w:rPr>
                <w:rFonts w:ascii="Calibri" w:eastAsia="Times New Roman" w:hAnsi="Calibri" w:cs="Calibri"/>
                <w:color w:val="000000"/>
                <w:sz w:val="16"/>
                <w:lang w:val="en-GB" w:eastAsia="en-GB"/>
              </w:rPr>
            </w:pPr>
            <w:r w:rsidRPr="00EF0654">
              <w:rPr>
                <w:rFonts w:ascii="Calibri" w:eastAsia="Times New Roman" w:hAnsi="Calibri" w:cs="Calibri"/>
                <w:color w:val="000000"/>
                <w:sz w:val="16"/>
                <w:lang w:val="en-GB" w:eastAsia="en-GB"/>
              </w:rPr>
              <w:t>2</w:t>
            </w:r>
          </w:p>
        </w:tc>
        <w:tc>
          <w:tcPr>
            <w:tcW w:w="1190" w:type="dxa"/>
            <w:hideMark/>
          </w:tcPr>
          <w:p w14:paraId="31510A60" w14:textId="0C8D0970"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{"citationID":"8xWjUnJE","properties":{"formattedCitation":"(dos Santos et al., 2007)","plainCitation":"(dos Santos et al., 2007)","noteIndex":0},"citationItems":[{"id":2174,"uris":["http://zotero.org/users/2311545/items/Z7GBIEQU"],"uri":["http://zotero.org/users/2311545/items/Z7GBIEQU"],"itemData":{"id":2174,"type":"article-journal","abstract":"The grapevine plays a very important role in the economic, social and cultural sectors of many regions; however vineyards are often grown in regions under stressful conditions and thus they are vulnerable to climate change. The objective of this research was to investigate the effect of partial root-zone drying (PRD) irrigation on vine water relations, vegetative growth, plant microclimate, berry composition and yield components, compared to conventional deficit irrigation (DI, 50% ETc), full irrigation (FI, 100% of ETc) and non-irrigated vines (NI). The study was undertaken in mature ‘Moscatel’ grapevines (Vitis vinifera L.) grown in Pegões, South of Portugal. Compared to the other irrigated treatments, PRD vines showed a better microclimate at the cluster zone with higher incident photosynthetic photon flux density (PPFD). Within the more open canopies of NI and PRD treatments, berry temperatures were higher than those of denser ones (DI and FI). Compared to the conventional irrigation technique the better microclimate observed in PRD vines was a consequence of a reduction in vine growth, where lower values of leaf layer number, leaf area, canopy wideness, water shoots and shoot weight were observed. In PRD vines we observed a tendency to a development of a deeper root system, while DI and FI showed a more homogeneous root distribution throughout the different soil layers. PRD showed an improvement in berry quality with higher values of flavour precursors, and total phenols concentration without any significant yield reduction compared to DI and FI.","container-title":"Scientia Horticulturae","DOI":"10.1016/j.scienta.2007.01.006","ISSN":"0304-4238","issue":"3","journalAbbreviation":"Scientia Horticulturae","page":"321-330","source":"ScienceDirect","title":"Effects of deficit irrigation strategies on cluster microclimate for improving fruit composition of Moscatel field-grown grapevines","volume":"112","author":[{"family":"Santos","given":"Tiago Pedreira","non-dropping-particle":"dos"},{"family":"Lopes","given":"Carlos M."},{"family":"Lucília Rodrigues","given":"M."},{"family":"Souza","given":"Claudia R.","non-dropping-particle":"de"},{"family":"Ricardo-da-Silva","given":"Jorge M."},{"family":"Maroco","given":"João P."},{"family":"Pereira","given":"João S."},{"family":"Manuela Chaves","given":"M."}],"issued":{"date-parts":[["2007",4,23]]}}}],"schema":"https://github.com/citation-style-language/schema/raw/master/csl-citation.json"} </w:instrText>
            </w:r>
            <w:r>
              <w:rPr>
                <w:rFonts w:ascii="Calibri" w:eastAsia="Times New Roman" w:hAnsi="Calibri" w:cs="Calibri"/>
                <w:color w:val="000000"/>
                <w:sz w:val="16"/>
                <w:lang w:val="en-GB" w:eastAsia="en-GB"/>
              </w:rPr>
              <w:fldChar w:fldCharType="separate"/>
            </w:r>
            <w:r w:rsidRPr="00691DDD">
              <w:rPr>
                <w:rFonts w:ascii="Calibri" w:hAnsi="Calibri" w:cs="Calibri"/>
                <w:sz w:val="16"/>
              </w:rPr>
              <w:t>(dos Santos et al., 2007)</w:t>
            </w:r>
            <w:r>
              <w:rPr>
                <w:rFonts w:ascii="Calibri" w:eastAsia="Times New Roman" w:hAnsi="Calibri" w:cs="Calibri"/>
                <w:color w:val="000000"/>
                <w:sz w:val="16"/>
                <w:lang w:val="en-GB" w:eastAsia="en-GB"/>
              </w:rPr>
              <w:fldChar w:fldCharType="end"/>
            </w:r>
          </w:p>
        </w:tc>
        <w:tc>
          <w:tcPr>
            <w:tcW w:w="859" w:type="dxa"/>
          </w:tcPr>
          <w:p w14:paraId="572683BF" w14:textId="7FDCA7A8"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1710" w:type="dxa"/>
          </w:tcPr>
          <w:p w14:paraId="5412CEEB" w14:textId="31A30C95"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431" w:type="dxa"/>
          </w:tcPr>
          <w:p w14:paraId="06D08B43" w14:textId="14F64EA0"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15354228" w14:textId="080A7E06"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3525C0EB" w14:textId="4EDD2336"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57</w:t>
            </w:r>
          </w:p>
        </w:tc>
        <w:tc>
          <w:tcPr>
            <w:tcW w:w="1203" w:type="dxa"/>
          </w:tcPr>
          <w:p w14:paraId="33C03EC7" w14:textId="5CAE8FEF"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{"citationID":"3061x1nS","properties":{"formattedCitation":"(Levy and Lubell, 2018)","plainCitation":"(Levy and Lubell, 2018)","noteIndex":0},"citationItems":[{"id":3141,"uris":["http://zotero.org/users/2311545/items/U27F3JYP"],"uri":["http://zotero.org/users/2311545/items/U27F3JYP"],"itemData":{"id":3141,"type":"article-journal","abstract":"Regional agroecological systems are examples of complex adaptive systems, where sustainability is promoted by social networks that facilitate information sharing, cooperation, and connectivity among specialized components of the system. Much of the existing literature on social capital fails to recognize how networks support multiple social processes. Our paper overcomes this problem by analyzing how the social networks of wine grape growers exhibit structural features related to multiple social processes: ties to central actors that build bridging social capital and facilitate the diffusion of innovations, ties that close triangles and build bonding social capital to solve cooperation dilemmas, and ties to individuals that span community boundaries to connect specialized components of the system. We use survey data to measure the communication networks of growers in three viticulture regions in California. A combination of descriptive statistics, conditional uniform random graph tests, and exponential random graph models provides empirical support for our hypotheses. The findings reflect regional differences in geography and institutional histories, which may influence the capacity to respond to regional environmental change.","container-title":"Regional Environmental Change","DOI":"10.1007/s10113-017-1258-6","ISSN":"1436-3798, 1436-378X","issue":"4","journalAbbreviation":"Reg Environ Change","language":"en","page":"1235-1246","source":"DOI.org (Crossref)","title":"Innovation, cooperation, and the structure of three regional sustainable agriculture networks in California","volume":"18","author":[{"family":"Levy","given":"Michael A."},{"family":"Lubell","given":"Mark N."}],"issued":{"date-parts":[["2018",4]]}}}],"schema":"https://github.com/citation-style-language/schema/raw/master/csl-citation.json"} </w:instrText>
            </w:r>
            <w:r>
              <w:rPr>
                <w:rFonts w:ascii="Calibri" w:eastAsia="Times New Roman" w:hAnsi="Calibri" w:cs="Calibri"/>
                <w:color w:val="000000"/>
                <w:sz w:val="16"/>
                <w:lang w:val="en-GB" w:eastAsia="en-GB"/>
              </w:rPr>
              <w:fldChar w:fldCharType="separate"/>
            </w:r>
            <w:r w:rsidRPr="00537A56">
              <w:rPr>
                <w:rFonts w:ascii="Calibri" w:hAnsi="Calibri"/>
                <w:sz w:val="16"/>
              </w:rPr>
              <w:t>(Levy and Lubell, 2018)</w:t>
            </w:r>
            <w:r>
              <w:rPr>
                <w:rFonts w:ascii="Calibri" w:eastAsia="Times New Roman" w:hAnsi="Calibri" w:cs="Calibri"/>
                <w:color w:val="000000"/>
                <w:sz w:val="16"/>
                <w:lang w:val="en-GB" w:eastAsia="en-GB"/>
              </w:rPr>
              <w:fldChar w:fldCharType="end"/>
            </w:r>
          </w:p>
        </w:tc>
        <w:tc>
          <w:tcPr>
            <w:tcW w:w="1269" w:type="dxa"/>
          </w:tcPr>
          <w:p w14:paraId="6598D47E" w14:textId="42D9FDE7"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943" w:type="dxa"/>
          </w:tcPr>
          <w:p w14:paraId="0D5511FC" w14:textId="17AD1204"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w:t>
            </w:r>
          </w:p>
        </w:tc>
        <w:tc>
          <w:tcPr>
            <w:tcW w:w="1625" w:type="dxa"/>
          </w:tcPr>
          <w:p w14:paraId="5BD38FEF" w14:textId="00853BC3"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341" w:type="dxa"/>
          </w:tcPr>
          <w:p w14:paraId="46DE7C0E" w14:textId="12526403"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r>
      <w:tr w:rsidR="00537A56" w:rsidRPr="00EF0654" w14:paraId="785284BC" w14:textId="604A0598"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24B54D86" w14:textId="77777777" w:rsidR="00537A56" w:rsidRPr="00EF0654" w:rsidRDefault="00537A56" w:rsidP="00537A56">
            <w:pPr>
              <w:spacing w:before="0" w:after="0"/>
              <w:rPr>
                <w:rFonts w:ascii="Calibri" w:eastAsia="Times New Roman" w:hAnsi="Calibri" w:cs="Calibri"/>
                <w:color w:val="000000"/>
                <w:sz w:val="16"/>
                <w:lang w:val="en-GB" w:eastAsia="en-GB"/>
              </w:rPr>
            </w:pPr>
            <w:r w:rsidRPr="00EF0654">
              <w:rPr>
                <w:rFonts w:ascii="Calibri" w:eastAsia="Times New Roman" w:hAnsi="Calibri" w:cs="Calibri"/>
                <w:color w:val="000000"/>
                <w:sz w:val="16"/>
                <w:lang w:val="en-GB" w:eastAsia="en-GB"/>
              </w:rPr>
              <w:t>3</w:t>
            </w:r>
          </w:p>
        </w:tc>
        <w:tc>
          <w:tcPr>
            <w:tcW w:w="1190" w:type="dxa"/>
            <w:hideMark/>
          </w:tcPr>
          <w:p w14:paraId="73C6C2BA" w14:textId="21D6CFA7" w:rsidR="00537A56" w:rsidRPr="00CE1C4A"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{"citationID":"QjwWCLgx","properties":{"formattedCitation":"(Ramos and Mart\\uc0\\u237{}nez-Casasnovas, 2010)","plainCitation":"(Ramos and Martínez-Casasnovas, 2010)","noteIndex":0},"citationItems":[{"id":3188,"uris":["http://zotero.org/users/2311545/items/MTUV3M8G"],"uri":["http://zotero.org/users/2311545/items/MTUV3M8G"],"itemData":{"id":3188,"type":"article-journal","abstract":"Rainfed agriculture has experienced important transformations in the Mediterranean area over the last decades. This is particularly true for traditional vineyards which have been restructured after levelling operations designed to facilitate the use of machinery. Levelling operations change soil properties and structure, negatively affecting soil hydrological processes, decreasing soil water intake and storage in the soil profile. This effect may become exacerbated under a climate change scenario as a result of increased water losses due to runoff after high intensity events and the resulting decrease in water availability for crops. This paper examines the effects of land levelling, carried out before the establishment of new vineyards, on soil water availability for vineyards in a Mediterranean climate area. These effects have been analysed taking into account the different rainfall distribution patterns in the study area, including extreme events. Soil moisture was analysed at depths of from 0 to 80 cm, for a 12 year period, in areas with different degrees of disturbance as a result of land levelling operations. Simulated rainfall was app</w:instrText>
            </w:r>
            <w:r w:rsidRPr="00CE1C4A">
              <w:rPr>
                <w:rFonts w:ascii="Calibri" w:eastAsia="Times New Roman" w:hAnsi="Calibri" w:cs="Calibri"/>
                <w:color w:val="000000"/>
                <w:sz w:val="16"/>
                <w:lang w:val="en-GB" w:eastAsia="en-GB"/>
              </w:rPr>
              <w:instrText xml:space="preserve">lied at the same points to evaluate the steady infiltration rate and to estimate runoff rates. Precipitation, runoff, crop evapotranspiration and changes in soil moisture were assessed for each crop stage and year for the vine varieties Macabeo, Chardonnay and Parellada. Precipitation was not enough to satisfy crop water requirements in many years, particularly during the bloom–veraison and ripening stages. Soil water content had a significant effect on grape yield, particularly the available water content during the budburst–bloom and bloom–veraison stages. Differences in yield of about 50% between years and of over 28% between levelled and non-levelled areas under similar management practices were observed.","container-title":"Plant and Soil","DOI":"10.1007/s11104-010-0353-y","ISSN":"1573-5036","issue":"1","journalAbbreviation":"Plant Soil","language":"en","page":"375-389","source":"Springer Link","title":"Soil water balance in rainfed vineyards of the Penedès region (Northeastern Spain) affected by rainfall characteristics and land levelling: influence on grape yield","title-short":"Soil water balance in rainfed vineyards of the Penedès region (Northeastern Spain) affected by rainfall characteristics and land levelling","volume":"333","author":[{"family":"Ramos","given":"María Concepción"},{"family":"Martínez-Casasnovas","given":"José A."}],"issued":{"date-parts":[["2010",8,1]]}}}],"schema":"https://github.com/citation-style-language/schema/raw/master/csl-citation.json"} </w:instrText>
            </w:r>
            <w:r>
              <w:rPr>
                <w:rFonts w:ascii="Calibri" w:eastAsia="Times New Roman" w:hAnsi="Calibri" w:cs="Calibri"/>
                <w:color w:val="000000"/>
                <w:sz w:val="16"/>
                <w:lang w:val="fr-FR" w:eastAsia="en-GB"/>
              </w:rPr>
              <w:fldChar w:fldCharType="separate"/>
            </w:r>
            <w:r w:rsidRPr="00CE1C4A">
              <w:rPr>
                <w:rFonts w:ascii="Calibri" w:hAnsi="Calibri" w:cs="Times New Roman"/>
                <w:sz w:val="16"/>
                <w:szCs w:val="24"/>
              </w:rPr>
              <w:t>(Ramos and Martínez-Casasnovas, 2010)</w:t>
            </w:r>
            <w:r>
              <w:rPr>
                <w:rFonts w:ascii="Calibri" w:eastAsia="Times New Roman" w:hAnsi="Calibri" w:cs="Calibri"/>
                <w:color w:val="000000"/>
                <w:sz w:val="16"/>
                <w:lang w:val="fr-FR" w:eastAsia="en-GB"/>
              </w:rPr>
              <w:fldChar w:fldCharType="end"/>
            </w:r>
          </w:p>
        </w:tc>
        <w:tc>
          <w:tcPr>
            <w:tcW w:w="859" w:type="dxa"/>
          </w:tcPr>
          <w:p w14:paraId="3E26A3AB" w14:textId="4F18C6ED"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1710" w:type="dxa"/>
          </w:tcPr>
          <w:p w14:paraId="35F06885" w14:textId="7B992B7F"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LT3</w:t>
            </w:r>
          </w:p>
        </w:tc>
        <w:tc>
          <w:tcPr>
            <w:tcW w:w="1431" w:type="dxa"/>
          </w:tcPr>
          <w:p w14:paraId="5979BCD8" w14:textId="483315A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70697C64" w14:textId="15914F1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780D2F6F" w14:textId="4E0F18D4"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58</w:t>
            </w:r>
          </w:p>
        </w:tc>
        <w:tc>
          <w:tcPr>
            <w:tcW w:w="1203" w:type="dxa"/>
          </w:tcPr>
          <w:p w14:paraId="205299B7" w14:textId="3440134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{"citationID":"BAvmy6vP","properties":{"formattedCitation":"(Caravia et al., 2016)","plainCitation":"(Caravia et al., 2016)","noteIndex":0},"citationItems":[{"id":2511,"uris":["http://zotero.org/users/2311545/items/658TDFPQ"],"uri":["http://zotero.org/users/2311545/items/658TDFPQ"],"itemData":{"id":2511,"type":"article-journal","abstract":"Background and Aims: The impact of high temperature on grapevine function is predicted to be a serious problem in our warming climate. We studied the impact of shading on some aspects of vine physiology, berry cell death and other components of berry development and on the resultant wines in order to understand grapevine physiology and the ripening process in shaded conditions and to assess shading as a mitigation strategy for high temperature.\nMethods and Results: Several shading treatments on Shiraz vines were imposed from veraison to harvest during three seasons at two locations. An overhead shade (OS) treatment (62% absorption) was the most consistent in high temperature mitigation. Compared with controls (no shading) or to soil shade, the leaves of OS vines had higher chlorophyll concentration, higher net CO2 assimilation at saturating light, and higher midday stem water potential but similar sap ﬂow and leaf transpiration rates. Overhead shade berries accumulated sugars per berry at a similar rate but had lower TSS due to higher water content. Berry cell vitality measured with impedance or vital stains was higher in OS vines, and mass loss was delayed. Wines had lower alcohol with no signiﬁcant difference in the concentration of anthocyanins; however, phenolic substances and some of the colour properties were affected.\nConclusion: Overhead shade can ameliorate the impact of heat stress through a signiﬁcant reduction in berry cell death and in loss of berry mass. This results in reduced alcohol concentration with relatively minor effects on other wine components. Signiﬁcance of Study: Shading from veraison to harvest may be a viable mitigation strategy against extreme high temperature during ripening.","container-title":"Australian Journal of Grape and Wine Research","DOI":"10.1111/ajgw.12248","ISSN":"13227130","issue":"3","journalAbbreviation":"Australian Journal of Grape and Wine Research","language":"en","page":"422-437","source":"DOI.org (Crossref)","title":"Application of shade treatments during Shiraz berry ripening to reduce the impact of high temperature: Shade reduces impact of high temperature on Shiraz","title-short":"Application of shade treatments during Shiraz berry ripening to reduce the impact of high temperature","volume":"22","author":[{"family":"Caravia","given":"L."},{"family":"Collins","given":"C."},{"family":"Petrie","given":"P.R."},{"family":"Tyerman","given":"S.D."}],"issued":{"date-parts":[["2016",10]]}}}],"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(Caravia et al., 2016)</w:t>
            </w:r>
            <w:r>
              <w:rPr>
                <w:rFonts w:ascii="Calibri" w:eastAsia="Times New Roman" w:hAnsi="Calibri" w:cs="Calibri"/>
                <w:color w:val="000000"/>
                <w:sz w:val="16"/>
                <w:lang w:val="en-GB" w:eastAsia="en-GB"/>
              </w:rPr>
              <w:fldChar w:fldCharType="end"/>
            </w:r>
          </w:p>
        </w:tc>
        <w:tc>
          <w:tcPr>
            <w:tcW w:w="1269" w:type="dxa"/>
          </w:tcPr>
          <w:p w14:paraId="73249241" w14:textId="3FEE543F"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943" w:type="dxa"/>
          </w:tcPr>
          <w:p w14:paraId="6E10EF99" w14:textId="331CCE56"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LT3</w:t>
            </w:r>
          </w:p>
        </w:tc>
        <w:tc>
          <w:tcPr>
            <w:tcW w:w="1625" w:type="dxa"/>
          </w:tcPr>
          <w:p w14:paraId="335BEACA" w14:textId="030CD7A8"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12C58744" w14:textId="1EBA021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7B754FA1" w14:textId="3EE2F686"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10BB10EB" w14:textId="77777777" w:rsidR="00537A56" w:rsidRPr="00EF0654" w:rsidRDefault="00537A56" w:rsidP="00537A56">
            <w:pPr>
              <w:spacing w:before="0" w:after="0"/>
              <w:rPr>
                <w:rFonts w:ascii="Calibri" w:eastAsia="Times New Roman" w:hAnsi="Calibri" w:cs="Calibri"/>
                <w:color w:val="000000"/>
                <w:sz w:val="16"/>
                <w:lang w:val="en-GB" w:eastAsia="en-GB"/>
              </w:rPr>
            </w:pPr>
            <w:r w:rsidRPr="00EF0654">
              <w:rPr>
                <w:rFonts w:ascii="Calibri" w:eastAsia="Times New Roman" w:hAnsi="Calibri" w:cs="Calibri"/>
                <w:color w:val="000000"/>
                <w:sz w:val="16"/>
                <w:lang w:val="en-GB" w:eastAsia="en-GB"/>
              </w:rPr>
              <w:t>4</w:t>
            </w:r>
          </w:p>
        </w:tc>
        <w:tc>
          <w:tcPr>
            <w:tcW w:w="1190" w:type="dxa"/>
            <w:hideMark/>
          </w:tcPr>
          <w:p w14:paraId="460C67FD" w14:textId="034DA4E2"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{"citationID":"BhG8log2","properties":{"formattedCitation":"(Grantham et al., 2010)","plainCitation":"(Grantham et al., 2010)","noteIndex":0},"citationItems":[{"id":1860,"uris":["http://zotero.org/users/2311545/items/ZB4TEDSJ"],"uri":["http://zotero.org/users/2311545/items/ZB4TEDSJ"],"itemData":{"id":1860,"type":"article-journal","abstract":"1. In Mediterranean and other water-stressed climates, water management is critical to the conservation of freshwater ecosystems. To secure and maintain water allocations for the environment, integrated water management approaches are needed that consider ecosystem flow requirements, patterns of human water demands and the temporal and spatial dynamics of water availability. 2. Human settlements in Mediterranean climates have constructed water storage and conveyance projects at a scale and level of complexity far exceeding those in other, less seasonal climates. As a result, multiple ecological stressors associated with natural periods of flooding and drying are compounded by anthropogenic impacts resulting from water infrastructure development. 3. Despite substantial investments in freshwater ecosystem conservation, particularly in California, U.S.A., success has been limited because the scales at which river management and restoration are implemented are often discordant with the temporal and spatial scales at which ecosystem processes operate. Often, there is also strong social and political resistance to restricting water allocation to existing consumptive uses for environmental protection purposes. Furthermore, institutions rarely have the capacity to develop and implement integrated management programmes needed for freshwater ecosystem conservation. 4. We propose an integrated framework for streamflow management that explicitly considers the temporal and spatial dynamics of water supply and needs of both human and natural systems. This approach makes it possible to assess the effects of alternative management strategies to human water security and ecosystem conditions and facilitates integrated decision-making by water management institutions. 5. We illustrate the framework by applying a GIS-based hydrologic model in a Mediterranean-climate watershed in Sonoma County, California, U.S.A. The model is designed to assess the hydrologic impacts of multiple water users distributed throughout a stream network. We analyse the effects of vineyard water management on environmental flows to (i) evaluate streamflow impacts from small storage ponds designed to meet human water demands and reduce summer diversions, (ii) prioritise the placement of storage ponds to meet human water needs while optimising environmental flow benefits and (iii) examine the environmental and social consequences of flow management policies designed to regulate the timing of diversions to protect ecosystem functions. 6. Thematic implications: spatially explicit models that represent anthropogenic stressors (e.g. water diversions) and environmental flow needs are required to address persistent and growing threats to freshwater biodiversity. A coupled human-natural system approach to water management is particularly useful in Mediterranean climates, characterised by severe competition for water resources and high spatial and temporal variability in flow regimes. However, lessons learned from our analyses are applicable to other highly seasonal systems and those that are expected to have increased precipitation variability resulting from climate change.","container-title":"Freshwater Biology","DOI":"10.1111/j.1365-2427.2009.02379.x","ISSN":"0046-5070","journalAbbreviation":"Freshw. Biol.","language":"English","note":"WOS:000273687100011","page":"188-204","source":"Web of Science","title":"Climatic influences and anthropogenic stressors: an integrated framework for streamflow management in Mediterranean-climate California, USA","title-short":"Climatic influences and anthropogenic stressors","volume":"55","author":[{"family":"Grantham","given":"Theodore E."},{"family":"Merenlender","given":"Adina M."},{"family":"Resh","given":"Vincent H."}],"issued":{"date-parts":[["2010",1]]}}}],"schema":"https://github.com/citation-style-language/schema/raw/master/csl-citation.json"}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(Grantham et al., 2010)</w:t>
            </w:r>
            <w:r>
              <w:rPr>
                <w:rFonts w:ascii="Calibri" w:eastAsia="Times New Roman" w:hAnsi="Calibri" w:cs="Calibri"/>
                <w:color w:val="000000"/>
                <w:sz w:val="16"/>
                <w:lang w:val="en-GB" w:eastAsia="en-GB"/>
              </w:rPr>
              <w:fldChar w:fldCharType="end"/>
            </w:r>
          </w:p>
        </w:tc>
        <w:tc>
          <w:tcPr>
            <w:tcW w:w="859" w:type="dxa"/>
          </w:tcPr>
          <w:p w14:paraId="1D2DA649" w14:textId="04944559"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1710" w:type="dxa"/>
          </w:tcPr>
          <w:p w14:paraId="437151FA" w14:textId="6B61ACC3"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431" w:type="dxa"/>
          </w:tcPr>
          <w:p w14:paraId="17952116" w14:textId="6AD2BD73"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137" w:type="dxa"/>
          </w:tcPr>
          <w:p w14:paraId="4373D6C2" w14:textId="02943E4A"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65F01C8D" w14:textId="12681FDF"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59</w:t>
            </w:r>
          </w:p>
        </w:tc>
        <w:tc>
          <w:tcPr>
            <w:tcW w:w="1203" w:type="dxa"/>
          </w:tcPr>
          <w:p w14:paraId="744FBD15" w14:textId="5CBC7D53"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{"citationID":"Nbb46B7z","properties":{"formattedCitation":"(Caravia et al., 2017)","plainCitation":"(Caravia et al., 2017)","noteIndex":0},"citationItems":[{"id":2507,"uris":["http://zotero.org/users/2311545/items/HT7JRYZX"],"uri":["http://zotero.org/users/2311545/items/HT7JRYZX"],"itemData":{"id":2507,"type":"article-journal","abstract":"Background and Aim: High temperature stress has been linked to detrimental effects on berry composition during ripening. This study aimed to assess the impact of an evaporative cooling system located inside the grapevine canopy to mitigate extreme temperature effects on grape berry composition during ripening.\nMethods and Results: During three seasons (2012 to 2015), an intra-canopy sprinkler system at the bunch zone was tested on Cabernet Sauvignon vines. The system cyclically sprayed (20 s/10 min) for an air temperature above 38°C, cooling the air inside the canopy by 3 to 5°C. This is in agreement with an air cooling simulation model. The relative humidity in the canopy also increased in the sprinkler-cooled canopy. No differences were detected in TSS, although sugar per berry was signiﬁcantly higher in treated vines because of increased berry mass. There was a tendency for higher anthocyanins and phenolic substances per berry in cooled berries measured from two seasons and higher concentration of anthocyanins in wine from cooled fruit measured only in one season. We deﬁne indices that can be used to assess the efﬁciency of sprinkler cooling and to demonstrate the high efﬁciency of intra-canopy sprinklers compared to other systems.\nConclusion: Despite cooling operating only over a small duration of the ripening period, the increased berry mass indicates that high temperature, even for a short period, has a profound effect on berry growth. Other berry compositional properties and wine, however, were not impacted.","container-title":"Australian Journal of Grape and Wine Research","DOI":"10.1111/ajgw.12255","ISSN":"13227130","issue":"1","journalAbbreviation":"Australian Journal of Grape and Wine Research","language":"en","page":"48-57","source":"DOI.org (Crossref)","title":"Application of sprinkler cooling within the bunch zone during ripening of Cabernet Sauvignon berries to reduce the impact of high temperature: Sprinkler cooling of Cabernet Sauvignon","title-short":"Application of sprinkler cooling within the bunch zone during ripening of Cabernet Sauvignon berries to reduce the impact of high temperature","volume":"23","author":[{"family":"Caravia","given":"L."},{"family":"Pagay","given":"V."},{"family":"Collins","given":"C."},{"family":"Tyerman","given":"S.D."}],"issued":{"date-parts":[["2017",2]]}}}],"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(Caravia et al., 2017)</w:t>
            </w:r>
            <w:r>
              <w:rPr>
                <w:rFonts w:ascii="Calibri" w:eastAsia="Times New Roman" w:hAnsi="Calibri" w:cs="Calibri"/>
                <w:color w:val="000000"/>
                <w:sz w:val="16"/>
                <w:lang w:val="en-GB" w:eastAsia="en-GB"/>
              </w:rPr>
              <w:fldChar w:fldCharType="end"/>
            </w:r>
          </w:p>
        </w:tc>
        <w:tc>
          <w:tcPr>
            <w:tcW w:w="1269" w:type="dxa"/>
          </w:tcPr>
          <w:p w14:paraId="26C6FCA4" w14:textId="3522B9BF"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943" w:type="dxa"/>
          </w:tcPr>
          <w:p w14:paraId="09BD09D7" w14:textId="5D0BBFB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21D10137" w14:textId="7156F6BC"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24183CB6" w14:textId="30447260"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459B1177" w14:textId="50DDD746"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5E7CD4D0" w14:textId="77777777" w:rsidR="00537A56" w:rsidRPr="00EF0654" w:rsidRDefault="00537A56" w:rsidP="00537A56">
            <w:pPr>
              <w:spacing w:before="0" w:after="0"/>
              <w:rPr>
                <w:rFonts w:ascii="Calibri" w:eastAsia="Times New Roman" w:hAnsi="Calibri" w:cs="Calibri"/>
                <w:color w:val="000000"/>
                <w:sz w:val="16"/>
                <w:lang w:val="en-GB" w:eastAsia="en-GB"/>
              </w:rPr>
            </w:pPr>
            <w:r w:rsidRPr="00EF0654">
              <w:rPr>
                <w:rFonts w:ascii="Calibri" w:eastAsia="Times New Roman" w:hAnsi="Calibri" w:cs="Calibri"/>
                <w:color w:val="000000"/>
                <w:sz w:val="16"/>
                <w:lang w:val="en-GB" w:eastAsia="en-GB"/>
              </w:rPr>
              <w:t>5</w:t>
            </w:r>
          </w:p>
        </w:tc>
        <w:tc>
          <w:tcPr>
            <w:tcW w:w="1190" w:type="dxa"/>
            <w:hideMark/>
          </w:tcPr>
          <w:p w14:paraId="0A5563F4" w14:textId="239E635E"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{"citationID":"VBJ9Ft6R","properties":{"formattedCitation":"(Bardsley et al., 2018)","plainCitation":"(Bardsley et al., 2018)","noteIndex":0},"citationItems":[{"id":2318,"uris":["http://zotero.org/users/2311545/items/VS82S6KI"],"uri":["http://zotero.org/users/2311545/items/VS82S6KI"],"itemData":{"id":2318,"type":"article-journal","abstract":"The adaptation of agricultural systems to climate change remains one of humanity's greatest challenges. Regions with complex, knowledge-intensive farming practices have many components that can be adjusted to increase systemic resilience. An argument for the importance of evolutionary adaptation pathways is developed with a case-study of the viticultural region of the McLaren Vale in South Australia. In a series of walk-and-talk interviews, farmers describe their business risks and the opportunities to adapt. Their responses suggest a sophisticated ecological understanding facilitated by their life-experiences, learning networks and relationships with governance, research and marketing organisations. In particular, a new exploitation of agrobiodiversity is generating on-farm resilience by spreading the risks of production and providing opportunities for the region to better respond to changing environmental and market conditions. Individual farmers have developed unique climate change adaptation pathways, but effective cooperation has also enabled the evolution of a regional adaptation cluster. Regions such as the McLaren Vale with a path dependence of innovation could have a cultural heritage that supports attempts at adaptation, which will in turn make them vital first-movers in the search for effective responses to climate change risk.","container-title":"Journal of Rural Studies","DOI":"10.1016/j.jrurstud.2018.08.015","ISSN":"0743-0167","journalAbbreviation":"Journal of Rural Studies","page":"24-33","source":"ScienceDirect","title":"Regional path dependence and climate change adaptation: A case study from the McLaren Vale, South Australia","title-short":"Regional path dependence and climate change adaptation","volume":"63","author":[{"family":"Bardsley","given":"Douglas K."},{"family":"Palazzo","given":"Elisa"},{"family":"Pütz","given":"Marco"}],"issued":{"date-parts":[["2018",10,1]]}}}],"schema":"https://github.com/citation-style-language/schema/raw/master/csl-citation.json"}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(Bardsley et al., 2018)</w:t>
            </w:r>
            <w:r>
              <w:rPr>
                <w:rFonts w:ascii="Calibri" w:eastAsia="Times New Roman" w:hAnsi="Calibri" w:cs="Calibri"/>
                <w:color w:val="000000"/>
                <w:sz w:val="16"/>
                <w:lang w:val="en-GB" w:eastAsia="en-GB"/>
              </w:rPr>
              <w:fldChar w:fldCharType="end"/>
            </w:r>
          </w:p>
        </w:tc>
        <w:tc>
          <w:tcPr>
            <w:tcW w:w="859" w:type="dxa"/>
          </w:tcPr>
          <w:p w14:paraId="6B6C14CA" w14:textId="4735133D"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1710" w:type="dxa"/>
          </w:tcPr>
          <w:p w14:paraId="010FC2B1" w14:textId="7B50F24B"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 LT4, ST1, ST2, ST3</w:t>
            </w:r>
          </w:p>
        </w:tc>
        <w:tc>
          <w:tcPr>
            <w:tcW w:w="1431" w:type="dxa"/>
          </w:tcPr>
          <w:p w14:paraId="0E16A3EE" w14:textId="31BAC270"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 / Farm</w:t>
            </w:r>
          </w:p>
        </w:tc>
        <w:tc>
          <w:tcPr>
            <w:tcW w:w="1137" w:type="dxa"/>
          </w:tcPr>
          <w:p w14:paraId="5486B70A" w14:textId="0C2645F2"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349BF9D2" w14:textId="0077F5A4"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60</w:t>
            </w:r>
          </w:p>
        </w:tc>
        <w:tc>
          <w:tcPr>
            <w:tcW w:w="1203" w:type="dxa"/>
          </w:tcPr>
          <w:p w14:paraId="068D7715" w14:textId="76D77A7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{"citationID":"tMIQj97Z","properties":{"formattedCitation":"(Carvalho et al., 2017)","plainCitation":"(Carvalho et al., 2017)","noteIndex":0},"citationItems":[{"id":2567,"uris":["http://zotero.org/users/2311545/items/CS4N9G2Q"],"uri":["http://zotero.org/users/2311545/items/CS4N9G2Q"],"itemData":{"id":2567,"type":"article-journal","abstract":"Widespread agricultural losses attributed to drought, often combined with high temperatures frequently occur in the field simultaneously, namely in Mediterranean climate areas, where the existing scenarios for climate change indicate an increase in the frequency of heat waves and severe drought events in summer. Grapevine (Vitis vinifera L.) is the most cultivated fruit species in the world and the most valuable one and is a traditional Mediterranean species. Currently, viticulture must adjust to impending climate changes that are already pushing vine-growers towards the use of ancient and resilient varieties. Portugal is very rich in grapevine biodiversity, however, currently, 90 % of the total producing area is planted with only 16 varieties. There is a pressing need to understand the existing genetic diversity and the physiological potential of the varieties/genotypes available to be able to respond to climate changes. With the above scenario in mind, an assembly of sixty five DEGs(differentially expresses genes) previously identified as responsive to abiotic stresses in two well studied genotypes, ‘Touriga Nacional’ and ‘Trincadeira’, was designed to scan the gene expression of leaf samples from ten traditional Portuguese varieties growing in two regions with distinct environmental conditions. Forty-five of those DEGs proved to be associated to “abiotic stress” and were chosen to build a custom qPCR array to identify uncharacterized genotypes as sensitive or tolerant to abiotic stress. According to the experimental set-up behind the array design these DEGs can also be used as indicators of the main abiotic stress that the plant is subjected and responding to (drought, heat or excess light).","container-title":"Frontiers in Plant Science","DOI":"10.3389/fpls.2017.01835","ISSN":"1664-462X","journalAbbreviation":"Front. Plant Sci.","language":"English","source":"Frontiers","title":"Design of a Custom RT-qPCR Array for Assignment of Abiotic Stress Tolerance in Traditional Portuguese Grapevine Varieties","URL":"https://www.frontiersin.org/articles/10.3389/fpls.2017.01835/full?report=reader","volume":"8","author":[{"family":"Carvalho","given":"Luísa C."},{"family":"Silva","given":"Marília"},{"family":"Coito","given":"João L."},{"family":"Rocheta","given":"Margarida P."},{"family":"Amâncio","given":"Sara"}],"accessed":{"date-parts":[["2019",7,16]]},"issued":{"date-parts":[["2017"]]}}}],"schema":"https://github.com/citation-style-language/schema/raw/master/csl-citation.json"}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(Carvalho et al., 2017)</w:t>
            </w:r>
            <w:r>
              <w:rPr>
                <w:rFonts w:ascii="Calibri" w:eastAsia="Times New Roman" w:hAnsi="Calibri" w:cs="Calibri"/>
                <w:color w:val="000000"/>
                <w:sz w:val="16"/>
                <w:lang w:val="en-GB" w:eastAsia="en-GB"/>
              </w:rPr>
              <w:fldChar w:fldCharType="end"/>
            </w:r>
          </w:p>
        </w:tc>
        <w:tc>
          <w:tcPr>
            <w:tcW w:w="1269" w:type="dxa"/>
          </w:tcPr>
          <w:p w14:paraId="62DAFEAC" w14:textId="103CAB75"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943" w:type="dxa"/>
          </w:tcPr>
          <w:p w14:paraId="1319A247" w14:textId="3AD6F0A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625" w:type="dxa"/>
          </w:tcPr>
          <w:p w14:paraId="27C3EB43" w14:textId="59004CA8"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69988B5E" w14:textId="7B89BCDE"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5B8E8811" w14:textId="1C27876B"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68F9D65F" w14:textId="77777777" w:rsidR="00537A56" w:rsidRPr="00EF0654" w:rsidRDefault="00537A56" w:rsidP="00537A56">
            <w:pPr>
              <w:spacing w:before="0" w:after="0"/>
              <w:rPr>
                <w:rFonts w:ascii="Calibri" w:eastAsia="Times New Roman" w:hAnsi="Calibri" w:cs="Calibri"/>
                <w:color w:val="000000"/>
                <w:sz w:val="16"/>
                <w:lang w:val="en-GB" w:eastAsia="en-GB"/>
              </w:rPr>
            </w:pPr>
            <w:r w:rsidRPr="00EF0654">
              <w:rPr>
                <w:rFonts w:ascii="Calibri" w:eastAsia="Times New Roman" w:hAnsi="Calibri" w:cs="Calibri"/>
                <w:color w:val="000000"/>
                <w:sz w:val="16"/>
                <w:lang w:val="en-GB" w:eastAsia="en-GB"/>
              </w:rPr>
              <w:t>6</w:t>
            </w:r>
          </w:p>
        </w:tc>
        <w:tc>
          <w:tcPr>
            <w:tcW w:w="1190" w:type="dxa"/>
            <w:hideMark/>
          </w:tcPr>
          <w:p w14:paraId="08023152" w14:textId="0C0F15C4"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{"citationID":"eAa5vWHX","properties":{"formattedCitation":"(Kapur et al., 2007)","plainCitation":"(Kapur et al., 2007)","noteIndex":0},"citationItems":[{"id":2413,"uris":["http://zotero.org/users/2311545/items/VYTDS3KI"],"uri":["http://zotero.org/users/2311545/items/VYTDS3KI"],"itemData":{"id":2413,"type":"article-journal","abstract":"This study investigates the impact of the expected climate changes in the Apulia region (Southern Italy) for the next 100 years on the climatic water balance variations, climatic classifications and crop water requirements. The overall results indicated that an increase of temperature, in the range between 1.3 and 2.5°C, is expected in the next 100 years. The reference evapotranspiration (ETo) variations would follow a similar trend; as averaged over the whole region, the ETo increase would be about 15.4%. The precipitation should not change significantly on yearly basis, although, a slight decrease in summer months and a slight increase during the winter season are foreseen. The climatic water deficit (CWD) is largely caused by ETo increase, and it would increase over the whole Apulia region in average for more than 200 mm. According to Thornthwaite and Mather climate classification (1957), the moisture index will decrease in the future, with decrease of humid areas and increase of aridity zones. The net irrigation requirements (NIR), calculated for ten major crops in the Apulia region, would increase significantly in the future. By the end of the 21st Century, the foreseen increase of NIR, in respect to actual situation, is the greatest for olive tree (65%), wheat (61%), grapevine (49%), and citrus (48%) and it is slightly lower for maize (35%), sorghum (34%), sunflower (33%), tomato (31%), and winter and spring sugar beet (both 27%).","container-title":"Italian Journal of Agronomy","DOI":"10.4081/ija.2007.365","ISSN":"2039-6805, 1125-4718","issue":"4","journalAbbreviation":"Ital J Agronomy","language":"en","page":"365","source":"DOI.org (Crossref)","title":"Prediction of Climatic Change for the Next 100 Years in the Apulia Region, Southern Italy","volume":"2","author":[{"family":"Kapur","given":"Burcak"},{"family":"Steduto","given":"Pasquale"},{"family":"Todorovic","given":"Mladen"}],"issued":{"date-parts":[["2007",12,16]]}}}],"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(Kapur et al., 2007)</w:t>
            </w:r>
            <w:r>
              <w:rPr>
                <w:rFonts w:ascii="Calibri" w:eastAsia="Times New Roman" w:hAnsi="Calibri" w:cs="Calibri"/>
                <w:color w:val="000000"/>
                <w:sz w:val="16"/>
                <w:lang w:val="en-GB" w:eastAsia="en-GB"/>
              </w:rPr>
              <w:fldChar w:fldCharType="end"/>
            </w:r>
          </w:p>
        </w:tc>
        <w:tc>
          <w:tcPr>
            <w:tcW w:w="859" w:type="dxa"/>
          </w:tcPr>
          <w:p w14:paraId="72352E35" w14:textId="5A2FF5EF"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7DD3497C" w14:textId="2C6678CD"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431" w:type="dxa"/>
          </w:tcPr>
          <w:p w14:paraId="0E319B67" w14:textId="64C21E9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 / Region</w:t>
            </w:r>
          </w:p>
        </w:tc>
        <w:tc>
          <w:tcPr>
            <w:tcW w:w="1137" w:type="dxa"/>
          </w:tcPr>
          <w:p w14:paraId="6F6B7519" w14:textId="33561D13"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496F7C7F" w14:textId="6EE3FCC3"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61</w:t>
            </w:r>
          </w:p>
        </w:tc>
        <w:tc>
          <w:tcPr>
            <w:tcW w:w="1203" w:type="dxa"/>
          </w:tcPr>
          <w:p w14:paraId="2926FF49" w14:textId="4AF6991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{"citationID":"DiBBKVyq","properties":{"formattedCitation":"(Mir\\uc0\\u225{}s-Avalos et al., 2016)","plainCitation":"(Mirás-Avalos et al., 2016)","noteIndex":0},"citationItems":[{"id":2647,"uris":["http://zotero.org/users/2311545/items/P5IWMAJX"],"uri":["http://zotero.org/users/2311545/items/P5IWMAJX"],"itemData":{"id":2647,"type":"article-journal","abstract":"Aims: Vine-growers worldwide are concerned about climate change effects on grape yield and quality. Drip irrigation systems are increasingly being installed even in humid regions such as Galicia (NW Spain). In this context, a field experiment was carried out over three seasons (2012-2014) on white Vitis vinifera L. cv. ‘Albariño’ to assess the effects of deficit irrigation on vine physiology, yield and must and wine composition.","container-title":"OENO One","DOI":"10.20870/oeno-one.2016.50.4.63","ISSN":"2494-1271","issue":"4","journalAbbreviation":"OENO One","language":"en","source":"DOI.org (Crossref)","title":"Irrigation effects on the performance of grapevine (Vitis vinifera L.) cv. ‘Albariño’ under the humid climate of Galicia","URL":"http://oeno-one.eu/article/view/63","volume":"50","author":[{"family":"Mirás-Avalos","given":"José Manuel"},{"family":"Trigo-Córdoba","given":"Emiliano"},{"family":"Bouzas-Cid","given":"Yolanda"},{"family":"Orriols-Fernández","given":"Ignacio"}],"accessed":{"date-parts":[["2019",7,29]]},"issued":{"date-parts":[["2016",12,21]]}}}],"schema":"https://github.com/citation-style-language/schema/raw/master/csl-citation.json"} </w:instrText>
            </w:r>
            <w:r>
              <w:rPr>
                <w:rFonts w:ascii="Calibri" w:eastAsia="Times New Roman" w:hAnsi="Calibri" w:cs="Calibri"/>
                <w:color w:val="000000"/>
                <w:sz w:val="16"/>
                <w:lang w:val="fr-FR" w:eastAsia="en-GB"/>
              </w:rPr>
              <w:fldChar w:fldCharType="separate"/>
            </w:r>
            <w:r w:rsidRPr="00CE1C4A">
              <w:rPr>
                <w:rFonts w:ascii="Calibri" w:hAnsi="Calibri" w:cs="Times New Roman"/>
                <w:sz w:val="16"/>
                <w:szCs w:val="24"/>
              </w:rPr>
              <w:t>(Mirás-Avalos et al., 2016)</w:t>
            </w:r>
            <w:r>
              <w:rPr>
                <w:rFonts w:ascii="Calibri" w:eastAsia="Times New Roman" w:hAnsi="Calibri" w:cs="Calibri"/>
                <w:color w:val="000000"/>
                <w:sz w:val="16"/>
                <w:lang w:val="fr-FR" w:eastAsia="en-GB"/>
              </w:rPr>
              <w:fldChar w:fldCharType="end"/>
            </w:r>
          </w:p>
        </w:tc>
        <w:tc>
          <w:tcPr>
            <w:tcW w:w="1269" w:type="dxa"/>
          </w:tcPr>
          <w:p w14:paraId="048C0AF8" w14:textId="028A5D88"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31DFE521" w14:textId="0668FBAF"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0A051398" w14:textId="79E7368E"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3382C76C" w14:textId="3624EC15"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6496ADB1" w14:textId="3B2952E0"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606DE34" w14:textId="77777777" w:rsidR="00537A56" w:rsidRPr="00EF0654" w:rsidRDefault="00537A56" w:rsidP="00537A56">
            <w:pPr>
              <w:spacing w:before="0" w:after="0"/>
              <w:rPr>
                <w:rFonts w:ascii="Calibri" w:eastAsia="Times New Roman" w:hAnsi="Calibri" w:cs="Calibri"/>
                <w:color w:val="000000"/>
                <w:sz w:val="16"/>
                <w:lang w:val="en-GB" w:eastAsia="en-GB"/>
              </w:rPr>
            </w:pPr>
            <w:r w:rsidRPr="00EF0654">
              <w:rPr>
                <w:rFonts w:ascii="Calibri" w:eastAsia="Times New Roman" w:hAnsi="Calibri" w:cs="Calibri"/>
                <w:color w:val="000000"/>
                <w:sz w:val="16"/>
                <w:lang w:val="en-GB" w:eastAsia="en-GB"/>
              </w:rPr>
              <w:t>7</w:t>
            </w:r>
          </w:p>
        </w:tc>
        <w:tc>
          <w:tcPr>
            <w:tcW w:w="1190" w:type="dxa"/>
            <w:hideMark/>
          </w:tcPr>
          <w:p w14:paraId="6BAA9A65" w14:textId="509B9861"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{"citationID":"NmLndt2L","properties":{"formattedCitation":"(Battaglini et al., 2009)","plainCitation":"(Battaglini et al., 2009)","noteIndex":0},"citationItems":[{"id":1848,"uris":["http://zotero.org/users/2311545/items/JHA2U4IF"],"uri":["http://zotero.org/users/2311545/items/JHA2U4IF"],"itemData":{"id":1848,"type":"article-journal","container-title":"Regional Environmental Change","DOI":"10.1007/s10113-008-0053-9","ISSN":"1436-3798, 1436-378X","issue":"2","language":"en","page":"61-73","source":"Crossref","title":"European winegrowers’ perceptions of climate change impact and options for adaptation","volume":"9","author":[{"family":"Battaglini","given":"Antonella"},{"family":"Barbeau","given":"Gerard"},{"family":"Bindi","given":"Marco"},{"family":"Badeck","given":"Franz-W."}],"issued":{"date-parts":[["2009",6]]}}}],"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(Battaglini et al., 2009)</w:t>
            </w:r>
            <w:r>
              <w:rPr>
                <w:rFonts w:ascii="Calibri" w:eastAsia="Times New Roman" w:hAnsi="Calibri" w:cs="Calibri"/>
                <w:color w:val="000000"/>
                <w:sz w:val="16"/>
                <w:lang w:val="en-GB" w:eastAsia="en-GB"/>
              </w:rPr>
              <w:fldChar w:fldCharType="end"/>
            </w:r>
          </w:p>
        </w:tc>
        <w:tc>
          <w:tcPr>
            <w:tcW w:w="859" w:type="dxa"/>
          </w:tcPr>
          <w:p w14:paraId="49CD5827" w14:textId="7CFAA571"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626312FF" w14:textId="7D3A8A02"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LT2</w:t>
            </w:r>
          </w:p>
        </w:tc>
        <w:tc>
          <w:tcPr>
            <w:tcW w:w="1431" w:type="dxa"/>
          </w:tcPr>
          <w:p w14:paraId="0DA0EFAA" w14:textId="061DB51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 / Farm</w:t>
            </w:r>
          </w:p>
        </w:tc>
        <w:tc>
          <w:tcPr>
            <w:tcW w:w="1137" w:type="dxa"/>
          </w:tcPr>
          <w:p w14:paraId="044A901B" w14:textId="09A6294E"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2F07618D" w14:textId="70470FCC"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62</w:t>
            </w:r>
          </w:p>
        </w:tc>
        <w:tc>
          <w:tcPr>
            <w:tcW w:w="1203" w:type="dxa"/>
          </w:tcPr>
          <w:p w14:paraId="50CDEB72" w14:textId="2946B92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{"citationID":"YExBI80Z","properties":{"formattedCitation":"(Cirigliano et al., 2017)","plainCitation":"(Cirigliano et al., 2017)","noteIndex":0},"citationItems":[{"id":2579,"uris":["http://zotero.org/users/2311545/items/5IG2U4LQ"],"uri":["http://zotero.org/users/2311545/items/5IG2U4LQ"],"itemData":{"id":2579,"type":"article-journal","abstract":"P. Cirigliano, M. V. Chiriacò, A. Nuňez, G. Dal Monte, and T. Labagnara. 2017. Combined effect of irrigation and compost application on Montepulciano berry composition in a volcanic environment of Latium region (central Italy). Cien. Inv. Agr. 44(2): 195-206. Montepulciano red grape is cultivated in the northern part of the Latium region, primarily for the production of DOC “Colli Etruschi Viterbesi” structured wines for aging. In Mediterranean areas, viticulture is closely influenced by vine water status. In this context, the practice of irrigation may alleviate water-stress-related reductions in plant development to guarantee grape quality, especially in semi-arid areas. The application of on-farm compost in a vineyard may affect grape quality without negative effects, thereby enhancing environmental sustainability. The aim of this work was to investigate the combined effect of irrigation and compost application on the Montepulciano variety in the volcanic environment of Latium region, thereby improving the polyphenol concentrations in the berries. The trial was conducted during three growing seasons (2011–2013). Irrigation was performed according to the protocol proposed by Ojeda and Saurin (2014). The pre-dawn leaf water potential (ψpd) from July to September was measured weekly for maintaining vine water status in the range between -0.4 and -0.6 Mpa. Irrigation (I) and irrigation plus compost application (IC) were compared to a non-irrigated control (C). Berry weight was not influenced by moderate irrigation, whereas titratable acidity and total soluble solids were negatively correlated to the increment of water dropped. The primary finding was a positive influence on polyphenol contents of the grapes at harvest. Best performance was highlighted in 2012 with 263 liter vine-1 of water supplied. Overall, the sustainable use of water and on-farm compost improved Montepulciano grape quality in this volcanic area, thereby enhancing the adaptation of Mediterranean viticulture to climate change conditions.","container-title":"Ciencia e investigación agraria","DOI":"10.7764/rcia.v44i2.1691","ISSN":"07181620","issue":"2","journalAbbreviation":"Ciencia e investigación agraria","language":"en","page":"195-206","source":"DOI.org (Crossref)","title":"Efecto combinado de la aplicación de riego y compost sobre la composición de la baya Montepulciano en un entorno volcánico de la región de Lacio (Italia central)","volume":"44","author":[{"family":"Cirigliano","given":"Pasquale"},{"family":"Vincenza Chiriacò","given":"Maria"},{"literal":"CMCC – Fondazione Centro Euro-Mediterraneo sui Cambiamenti Climatici"},{"family":"Nunez","given":"Abelardo"},{"literal":"Universidad Autonoma de Chihuahua"},{"family":"Dal Monte","given":"Giovanni"},{"literal":"CREA-CMC Consiglio per la ricerca in agricoltura e l’analisi dell’economia agraria"},{"family":"Labagnara","given":"Tilde"},{"literal":"CREA-VE Consiglio per la ricerca in agricoltura e l’analisi dell’economia agraria"}],"issued":{"date-parts":[["2017",8,30]]}}}],"schema":"https://github.com/citation-style-language/schema/raw/master/csl-citation.json"}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(Cirigliano et al., 2017)</w:t>
            </w:r>
            <w:r>
              <w:rPr>
                <w:rFonts w:ascii="Calibri" w:eastAsia="Times New Roman" w:hAnsi="Calibri" w:cs="Calibri"/>
                <w:color w:val="000000"/>
                <w:sz w:val="16"/>
                <w:lang w:val="en-GB" w:eastAsia="en-GB"/>
              </w:rPr>
              <w:fldChar w:fldCharType="end"/>
            </w:r>
          </w:p>
        </w:tc>
        <w:tc>
          <w:tcPr>
            <w:tcW w:w="1269" w:type="dxa"/>
          </w:tcPr>
          <w:p w14:paraId="5088DD02" w14:textId="1132DC76"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6350D1D1" w14:textId="0B8D8DE2"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p>
        </w:tc>
        <w:tc>
          <w:tcPr>
            <w:tcW w:w="1625" w:type="dxa"/>
          </w:tcPr>
          <w:p w14:paraId="05FE71C5" w14:textId="193A437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3B5D30A5" w14:textId="6B3B29CF"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53C12B79" w14:textId="011FF88C"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3923F83" w14:textId="74C6A561"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8</w:t>
            </w:r>
          </w:p>
        </w:tc>
        <w:tc>
          <w:tcPr>
            <w:tcW w:w="1190" w:type="dxa"/>
            <w:hideMark/>
          </w:tcPr>
          <w:p w14:paraId="0B1026D9" w14:textId="3AAB55EC" w:rsidR="00537A56" w:rsidRPr="005F2CAB"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{"citationID":"6FUPFmug","properties":{"formattedCitation":"(Belliveau et al., 2006)","plainCitation":"(Belliveau et al., 2006)","noteIndex":0},"citationItems":[{"id":2350,"uris":["http://zotero.org/users/2311545/items/M88ZCCC7"],"uri":["http://zotero.org/users/2311545/items/M88ZCCC7"],"itemData":{"id":2350,"type":"article-journal","abstract":"This paper assesses the vulnerability of grape growers and winery operators in the Okanagan Valley, British Columbia to climate variability and change, in the context of other sources of risk. Through interviews and focus groups, producers identiﬁed the climatic and non-climatic risks relevant to them and the strategies employed to manage these risks. The results show that the presence of multiple exposures affects the way in which producers are vulnerable to climate change. Producers are vulnerable to conditions that not only affect crop yield, but also affect their ability to compete in or sell to the market. Their sensitivity to these conditions is inﬂuenced in part by institutional factors such as trade liberalization and a ‘‘markup-free delivery’’ policy. Producers’ ability to adapt or cope with these risks varies depending on such factors as the availability of resources and technology, and access to government programmes. Producers will likely face challenges associated with the supply of water for irrigation due to a combination of climatic changes and changing demographics in the Okanagan Valley, which in turn affect their ability to adapt to climatic conditions. Finally, adaptations made by producers can change the nature of the operation and its vulnerability, demonstrating the dynamic nature of vulnerability.","container-title":"Global Environmental Change","DOI":"10.1016/j.gloenvcha.2006.03.003","ISSN":"09593780","issue":"4","journalAbbreviation":"Global Environmental Change","language":"en","page":"364-378","source":"DOI.org (Crossref)","title":"Multiple exposures and dynamic vulnerability: Evidence from the grape industry in the Okanagan Valley, Canada","title-short":"Multiple exposures and dynamic vulnerability","volume":"16","author":[{"family":"Belliveau","given":"Suzanne"},{"family":"Smit","given":"Barry"},{"family":"Bradshaw","given":"Ben"}],"issued":{"date-parts":[["2006",10]]}}}],"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(Belliveau et al., 2006)</w:t>
            </w:r>
            <w:r>
              <w:rPr>
                <w:rFonts w:ascii="Calibri" w:eastAsia="Times New Roman" w:hAnsi="Calibri" w:cs="Calibri"/>
                <w:color w:val="000000"/>
                <w:sz w:val="16"/>
                <w:lang w:val="en-GB" w:eastAsia="en-GB"/>
              </w:rPr>
              <w:fldChar w:fldCharType="end"/>
            </w:r>
          </w:p>
        </w:tc>
        <w:tc>
          <w:tcPr>
            <w:tcW w:w="859" w:type="dxa"/>
          </w:tcPr>
          <w:p w14:paraId="68FD7CD9" w14:textId="36A9D52A"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Canada</w:t>
            </w:r>
          </w:p>
        </w:tc>
        <w:tc>
          <w:tcPr>
            <w:tcW w:w="1710" w:type="dxa"/>
          </w:tcPr>
          <w:p w14:paraId="64699D1E" w14:textId="65BB9985"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LT4, ST3, LT2</w:t>
            </w:r>
          </w:p>
        </w:tc>
        <w:tc>
          <w:tcPr>
            <w:tcW w:w="1431" w:type="dxa"/>
          </w:tcPr>
          <w:p w14:paraId="78D25F8F" w14:textId="3CB932C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48174D0B" w14:textId="468B3D89"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3CEF9391" w14:textId="3619B457"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63</w:t>
            </w:r>
          </w:p>
        </w:tc>
        <w:tc>
          <w:tcPr>
            <w:tcW w:w="1203" w:type="dxa"/>
          </w:tcPr>
          <w:p w14:paraId="3369279D" w14:textId="7548E8ED"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{"citationID":"1Xw2YpYF","properties":{"formattedCitation":"(Medrano et al., 2015)","plainCitation":"(Medrano et al., 2015)","noteIndex":0},"citationItems":[{"id":1498,"uris":["http://zotero.org/users/2311545/items/MPT6QFXU"],"uri":["http://zotero.org/users/2311545/items/MPT6QFXU"],"itemData":{"id":1498,"type":"article-journal","container-title":"Agronomy for Sustainable Development","DOI":"10.1007/s13593-014-0280-z","ISSN":"1774-0746, 1773-0155","issue":"2","language":"en","page":"499-517","source":"Crossref","title":"Improving water use efficiency of vineyards in semi-arid regions. A review","volume":"35","author":[{"family":"Medrano","given":"Hipólito"},{"family":"Tomás","given":"Magdalena"},{"family":"Martorell","given":"Sebastiá"},{"family":"Escalona","given":"José-Mariano"},{"family":"Pou","given":"Alicia"},{"family":"Fuentes","given":"Sigfredo"},{"family":"Flexas","given":"Jaume"},{"family":"Bota","given":"Josefina"}],"issued":{"date-parts":[["2015",4]]}}}],"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(Medrano et al., 2015)</w:t>
            </w:r>
            <w:r>
              <w:rPr>
                <w:rFonts w:ascii="Calibri" w:eastAsia="Times New Roman" w:hAnsi="Calibri" w:cs="Calibri"/>
                <w:color w:val="000000"/>
                <w:sz w:val="16"/>
                <w:lang w:val="en-GB" w:eastAsia="en-GB"/>
              </w:rPr>
              <w:fldChar w:fldCharType="end"/>
            </w:r>
          </w:p>
        </w:tc>
        <w:tc>
          <w:tcPr>
            <w:tcW w:w="1269" w:type="dxa"/>
          </w:tcPr>
          <w:p w14:paraId="0EE0A02F" w14:textId="67405B3B"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1F8F03E4" w14:textId="2D9381A0"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p>
        </w:tc>
        <w:tc>
          <w:tcPr>
            <w:tcW w:w="1625" w:type="dxa"/>
          </w:tcPr>
          <w:p w14:paraId="1B486315" w14:textId="091CBA8C"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428EB4BA" w14:textId="2E2D367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497E5D01" w14:textId="77B8214E"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34ADADE7" w14:textId="78ED4475"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9</w:t>
            </w:r>
          </w:p>
        </w:tc>
        <w:tc>
          <w:tcPr>
            <w:tcW w:w="1190" w:type="dxa"/>
            <w:hideMark/>
          </w:tcPr>
          <w:p w14:paraId="2FC32D2B" w14:textId="5197F5B1"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{"citationID":"5CnKgkYj","properties":{"formattedCitation":"(Diffenbaugh et al., 2011)","plainCitation":"(Diffenbaugh et al., 2011)","noteIndex":0},"citationItems":[{"id":2671,"uris":["http://zotero.org/users/2311545/items/JYBYGMFT"],"uri":["http://zotero.org/users/2311545/items/JYBYGMFT"],"itemData":{"id":2671,"type":"article-journal","abstract":"Design and implementation of effective climate change adaptation activities requires quantitative assessment of the impacts that are likely to occur without adaptation, as well as the fraction of impact that can be avoided through each activity. Here we present a quantitative framework inspired by the greenhouse gas stabilization wedges of Pacala and Socolow. In our proposed framework, the damage avoided by each adaptation activity creates an ‘adaptation wedge’ relative to the loss that would occur without that adaptation activity. We use premium winegrape suitability in the western United States as an illustrative case study, focusing on the near-term period that covers the years 2000–39. We ﬁnd that the projected warming over this period results in the loss of suitable winegrape area throughout much of California, including most counties in the high-value North Coast and Central Coast regions. However, in quantifying adaptation wedges for individual high-value counties, we ﬁnd that a large adaptation wedge can be captured by increasing the severe heat tolerance, including elimination of the 50% loss projected by the end of the 2030–9 period in the North Coast region, and reduction of the projected loss in the Central Coast region from 30% to less than 15%. Increased severe heat tolerance can capture an even larger adaptation wedge in the Paciﬁc Northwest, including conversion of a projected loss of more than 30% in the Columbia Valley region of Washington to a projected gain of more than 150%. We also ﬁnd that warming projected over the near-term decades has the potential to alter the quality of winegrapes produced in the western US, and we discuss potential actions that could create adaptation wedges given these potential changes in quality. While the present effort represents an initial exploration of one aspect of one industry, the climate adaptation wedge framework could be used to quantitatively evaluate the opportunities and limits of climate adaptation within and across a broad range of natural and human systems.","container-title":"Environmental Research Letters","DOI":"10.1088/1748-9326/6/2/024024","ISSN":"1748-9326","issue":"2","journalAbbreviation":"Environ. Res. Lett.","language":"en","page":"024024","source":"DOI.org (Crossref)","title":"Climate adaptation wedges: a case study of premium wine in the western United States","title-short":"Climate adaptation wedges","volume":"6","author":[{"family":"Diffenbaugh","given":"Noah S"},{"family":"White","given":"Michael A"},{"family":"Jones","given":"Gregory V"},{"family":"Ashfaq","given":"Moetasim"}],"issued":{"date-parts":[["2011",4,1]]}}}],"schema":"https://github.com/citation-style-language/schema/raw/master/csl-citation.json"}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(Diffenbaugh et al., 2011)</w:t>
            </w:r>
            <w:r>
              <w:rPr>
                <w:rFonts w:ascii="Calibri" w:eastAsia="Times New Roman" w:hAnsi="Calibri" w:cs="Calibri"/>
                <w:color w:val="000000"/>
                <w:sz w:val="16"/>
                <w:lang w:val="en-GB" w:eastAsia="en-GB"/>
              </w:rPr>
              <w:fldChar w:fldCharType="end"/>
            </w:r>
          </w:p>
        </w:tc>
        <w:tc>
          <w:tcPr>
            <w:tcW w:w="859" w:type="dxa"/>
          </w:tcPr>
          <w:p w14:paraId="51BA3108" w14:textId="2C638280"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1710" w:type="dxa"/>
          </w:tcPr>
          <w:p w14:paraId="7A01974C" w14:textId="5FAB827F"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LT2</w:t>
            </w:r>
          </w:p>
        </w:tc>
        <w:tc>
          <w:tcPr>
            <w:tcW w:w="1431" w:type="dxa"/>
          </w:tcPr>
          <w:p w14:paraId="1FF085A9" w14:textId="27DF07EB"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137" w:type="dxa"/>
          </w:tcPr>
          <w:p w14:paraId="58B44CCD" w14:textId="66C488B2"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7D0D6B56" w14:textId="4ABAFCC5"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64</w:t>
            </w:r>
          </w:p>
        </w:tc>
        <w:tc>
          <w:tcPr>
            <w:tcW w:w="1203" w:type="dxa"/>
          </w:tcPr>
          <w:p w14:paraId="758CE738" w14:textId="51B6F4D4"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{"citationID":"iRbKxCak","properties":{"formattedCitation":"(Georgopoulou et al., 2017)","plainCitation":"(Georgopoulou et al., 2017)","noteIndex":0},"citationItems":[{"id":2721,"uris":["http://zotero.org/users/2311545/items/Z5HZ3W27"],"uri":["http://zotero.org/users/2311545/items/Z5HZ3W27"],"itemData":{"id":2721,"type":"article-journal","abstract":"The paper presents a quantitative assessment of mid-term (2021–2050) climate change impacts on and potential adaptation options for selected crops in Greece that are of importance in terms of their share in national agricultural production and gross value added. Central points in the assessment are the monetary evaluation of impacts and the cost-benefit analysis of adaptation options. To address local variability in current and future climate conditions, analysis is spatially disaggregated into geographical regions using as an input downscaled results from climatic models. For some crops (cereals, vegetables, pulses, grapevines), changes in future agricultural yields are assessed by means of agronomic simulation models, while for the rest crops changes are assessed through regression models. The expected effects on crop yields of a number of potential adaptation options are also investigated through the same models, and the costs and benefits of these options are also quantitatively assessed. The findings indicate that climate change may create winners and losers depending on their agricultural activity and location, while adaptation can mitigate adverse effects of climate change under cost-effective terms.","container-title":"Climate Risk Management","DOI":"10.1016/j.crm.2017.02.002","ISSN":"2212-0963","journalAbbreviation":"Climate Risk Management","page":"164-182","source":"ScienceDirect","title":"Climate change impacts and adaptation options for the Greek agriculture in 2021–2050: A monetary assessment","title-short":"Climate change impacts and adaptation options for the Greek agriculture in 2021–2050","volume":"16","author":[{"family":"Georgopoulou","given":"E."},{"family":"Mirasgedis","given":"S."},{"family":"Sarafidis","given":"Y."},{"family":"Vitaliotou","given":"M."},{"family":"Lalas","given":"D. P."},{"family":"Theloudis","given":"I."},{"family":"Giannoulaki","given":"K. -D."},{"family":"Dimopoulos","given":"D."},{"family":"Zavras","given":"V."}],"issued":{"date-parts":[["2017",1,1]]}}}],"schema":"https://github.com/citation-style-language/schema/raw/master/csl-citation.json"}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(Georgopoulou et al., 2017)</w:t>
            </w:r>
            <w:r>
              <w:rPr>
                <w:rFonts w:ascii="Calibri" w:eastAsia="Times New Roman" w:hAnsi="Calibri" w:cs="Calibri"/>
                <w:color w:val="000000"/>
                <w:sz w:val="16"/>
                <w:lang w:val="en-GB" w:eastAsia="en-GB"/>
              </w:rPr>
              <w:fldChar w:fldCharType="end"/>
            </w:r>
          </w:p>
        </w:tc>
        <w:tc>
          <w:tcPr>
            <w:tcW w:w="1269" w:type="dxa"/>
          </w:tcPr>
          <w:p w14:paraId="4492324D" w14:textId="2AF8D86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Greece</w:t>
            </w:r>
          </w:p>
        </w:tc>
        <w:tc>
          <w:tcPr>
            <w:tcW w:w="943" w:type="dxa"/>
          </w:tcPr>
          <w:p w14:paraId="0B1A716C" w14:textId="5A6DE25F"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p>
        </w:tc>
        <w:tc>
          <w:tcPr>
            <w:tcW w:w="1625" w:type="dxa"/>
          </w:tcPr>
          <w:p w14:paraId="08C975E0" w14:textId="72DB528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Farm/Region</w:t>
            </w:r>
          </w:p>
        </w:tc>
        <w:tc>
          <w:tcPr>
            <w:tcW w:w="1341" w:type="dxa"/>
          </w:tcPr>
          <w:p w14:paraId="6DE29B8E" w14:textId="62F9623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r>
      <w:tr w:rsidR="00537A56" w:rsidRPr="00EF0654" w14:paraId="0E579BB1" w14:textId="297677EB"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FC2C981" w14:textId="09DDBE35"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10</w:t>
            </w:r>
          </w:p>
        </w:tc>
        <w:tc>
          <w:tcPr>
            <w:tcW w:w="1190" w:type="dxa"/>
            <w:hideMark/>
          </w:tcPr>
          <w:p w14:paraId="5F359243" w14:textId="2A712184"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{"citationID":"cXTCbvvS","properties":{"formattedCitation":"(Carvalho et al., 2018)","plainCitation":"(Carvalho et al., 2018)","noteIndex":0},"citationItems":[{"id":2375,"uris":["http://zotero.org/users/2311545/items/VN7XSYPW"],"uri":["http://zotero.org/users/2311545/items/VN7XSYPW"],"itemData":{"id":2375,"type":"article-journal","abstract":"Extensive agricultural losses are attributed to heat, often combined with drought. These abiotic stresses occur in the field simultaneously, namely in areas with Mediterranean climate, where grapevine traditionally grows. The available scenarios for climate change suggest an increase in the frequency of heat waves and severe drought events in summer, also affecting the South of Portugal. In this work we monitored several productionrelated parameters and evaluated the state of the oxidative stress response apparatus of two grapevine varieties, Touriga Nacional (TN) and Trincadeira (TR), with and without irrigation, during three field seasons (2010 to 2012). Overall, results point to a high correlation of most yield and stress-associated parameters with the specific characteristics of each variety and to each season rather than the irrigation treatments. In the season with the driest winter, 2012, the lack of irrigation significantly affected yield in TR, while in the two other seasons the impact of the irrigation regime was much lower. In 2012, the yield of TN was affected by environmental conditions of the previous season. The irrigation treatments significantly affected berry size rather than quality.","container-title":"Ciência e Técnica Vitivinícola","DOI":"10.1051/ctv/20183301001","ISSN":"2416-3953","issue":"1","journalAbbreviation":"Ciência Téc. Vitiv.","language":"en","page":"1-14","source":"DOI.org (Crossref)","title":"Physiological and agronomical responses to environmental fluctuations of two Portuguese grapevine varieties during three field seasons","volume":"33","author":[{"family":"Carvalho","given":"Luísa C."},{"family":"Coito","given":"João L."},{"family":"Gonçalves","given":"Elsa F."},{"family":"Lopes","given":"Carlos"},{"family":"Amâncio","given":"Sara"}],"issued":{"date-parts":[["2018"]]}}}],"schema":"https://github.com/citation-style-language/schema/raw/master/csl-citation.json"}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(Carvalho et al., 2018)</w:t>
            </w:r>
            <w:r>
              <w:rPr>
                <w:rFonts w:ascii="Calibri" w:eastAsia="Times New Roman" w:hAnsi="Calibri" w:cs="Calibri"/>
                <w:color w:val="000000"/>
                <w:sz w:val="16"/>
                <w:lang w:val="en-GB" w:eastAsia="en-GB"/>
              </w:rPr>
              <w:fldChar w:fldCharType="end"/>
            </w:r>
          </w:p>
        </w:tc>
        <w:tc>
          <w:tcPr>
            <w:tcW w:w="859" w:type="dxa"/>
          </w:tcPr>
          <w:p w14:paraId="346C5171" w14:textId="009244F7"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1710" w:type="dxa"/>
          </w:tcPr>
          <w:p w14:paraId="32E49E57" w14:textId="6EF7D326"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LT2</w:t>
            </w:r>
          </w:p>
        </w:tc>
        <w:tc>
          <w:tcPr>
            <w:tcW w:w="1431" w:type="dxa"/>
          </w:tcPr>
          <w:p w14:paraId="00501C24" w14:textId="323F783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66672EB1" w14:textId="1CBD079B"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3926B0EC" w14:textId="6B37B772"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65</w:t>
            </w:r>
          </w:p>
        </w:tc>
        <w:tc>
          <w:tcPr>
            <w:tcW w:w="1203" w:type="dxa"/>
          </w:tcPr>
          <w:p w14:paraId="45CF6EF0" w14:textId="7081FC20"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{"citationID":"HLhtF5wE","properties":{"formattedCitation":"(Santesteban et al., 2017)","plainCitation":"(Santesteban et al., 2017)","noteIndex":0},"citationItems":[{"id":3108,"uris":["http://zotero.org/users/2311545/items/XFKKQ3TY"],"uri":["http://zotero.org/users/2311545/items/XFKKQ3TY"],"itemData":{"id":3108,"type":"article-journal","container-title":"OENO One","DOI":"10.20870/oeno-one.2017.51.2.1583","ISSN":"2494-1271","issue":"2","language":"en","note":"number: 2","page":"191-203","source":"oeno-one.eu","title":"Severe trimming and enhanced competition of laterals as a tool to delay ripening in Tempranillo vineyards under semiarid conditions","volume":"51","author":[{"family":"Santesteban","given":"Luis Gonzaga"},{"family":"Miranda","given":"Carlos"},{"family":"Urrestarazu","given":"Jorge"},{"family":"Loidi","given":"Maite"},{"family":"Royo","given":"José Bernardo"}],"issued":{"date-parts":[["2017",5,15]]}}}],"schema":"https://github.com/citation-style-language/schema/raw/master/csl-citation.json"}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(Santesteban et al., 2017)</w:t>
            </w:r>
            <w:r>
              <w:rPr>
                <w:rFonts w:ascii="Calibri" w:eastAsia="Times New Roman" w:hAnsi="Calibri" w:cs="Calibri"/>
                <w:color w:val="000000"/>
                <w:sz w:val="16"/>
                <w:lang w:val="en-GB" w:eastAsia="en-GB"/>
              </w:rPr>
              <w:fldChar w:fldCharType="end"/>
            </w:r>
          </w:p>
        </w:tc>
        <w:tc>
          <w:tcPr>
            <w:tcW w:w="1269" w:type="dxa"/>
          </w:tcPr>
          <w:p w14:paraId="229BB6B2" w14:textId="2792A576"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4C8F91B3" w14:textId="37A07B01"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ST2</w:t>
            </w:r>
          </w:p>
        </w:tc>
        <w:tc>
          <w:tcPr>
            <w:tcW w:w="1625" w:type="dxa"/>
          </w:tcPr>
          <w:p w14:paraId="44771B51" w14:textId="62149D7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40E34A69" w14:textId="4BEA1727"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1330AD34" w14:textId="6AAA8864"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51FC80AF" w14:textId="3E152419"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11</w:t>
            </w:r>
          </w:p>
        </w:tc>
        <w:tc>
          <w:tcPr>
            <w:tcW w:w="1190" w:type="dxa"/>
            <w:hideMark/>
          </w:tcPr>
          <w:p w14:paraId="0FDB2FEE" w14:textId="1402BBCE"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{"citationID":"ExKggiKl","properties":{"formattedCitation":"(Bernardo et al., 2018)","plainCitation":"(Bernardo et al., 2018)","noteIndex":0},"citationItems":[{"id":1755,"uris":["http://zotero.org/users/2311545/items/NRG9B2EV"],"uri":["http://zotero.org/users/2311545/items/NRG9B2EV"],"itemData":{"id":1755,"type":"article-journal","abstract":"Foreseen climate change points to shifts in agricultural production patterns worldwide, which may impact ecosystems directly, as well as the economic and cultural contexts of the wine industry. Moreover, the combined effects of environmental threats (light, temperature, and water relations) at different scales are expected to impair natural grapevine mechanisms, decreasing yield and the quality of grapes. Hence, the interaction between several factors, such as climate, terroir features, grapevine stress responses, site-specific spatial-temporal variability, and the management practices applied, which represents and effective challenge for sustainable Mediterranean viticulture, allowed researchers to develop adaptive strategies to cope with environmental stresses. Here, we review the effects of abiotic stresses on Mediterranean-like climate viticulture and the impacts of summer stress on grapevine growth, yield, and quality potential, as well as the subsequent plant responses and the available adaptation strategies for winegrowers and researchers. Our main findings are as follows: (1) environmental stresses can trigger dynamic responses in grapevines, comprising photosynthesis, phenology, hormonal balance, berry composition, and the antioxidant machinery; (2) field research methodologies, laboratory techniques, and precision viticulture are essential tools to evaluate grapevine performance and the potential quality for wine production; and (3) advances in the existing adaptation strategies are vital to maintain sustainability and regional wine identity in a changing climate. Also, these topics suggest that rational and focused management of grapevines may enlighten grapevine summer stress responses and improve the resilience of agro-ecosystems under harsh conditions. Despite the challenge of developing different strategic responses, winegrowers should clearly define their objectives, so applied research can provide rational technical support for the decision making process towards sustainable viticulture.","container-title":"Agronomy for Sustainable Development","DOI":"10.1007/s13593-018-0544-0","ISSN":"1774-0746, 1773-0155","issue":"6","language":"en","source":"Crossref","title":"Grapevine abiotic stress assessment and search for sustainable adaptation strategies in Mediterranean-like climates. A review","URL":"http://link.springer.com/10.1007/s13593-018-0544-0","volume":"38","author":[{"family":"Bernardo","given":"Sara"},{"family":"Dinis","given":"Lia-Tânia"},{"family":"Machado","given":"Nelson"},{"family":"Moutinho-Pereira","given":"José"}],"accessed":{"date-parts":[["2018",12,6]]},"issued":{"date-parts":[["2018",12]]}}}],"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(Bernardo et al., 2018)</w:t>
            </w:r>
            <w:r>
              <w:rPr>
                <w:rFonts w:ascii="Calibri" w:eastAsia="Times New Roman" w:hAnsi="Calibri" w:cs="Calibri"/>
                <w:color w:val="000000"/>
                <w:sz w:val="16"/>
                <w:lang w:val="en-GB" w:eastAsia="en-GB"/>
              </w:rPr>
              <w:fldChar w:fldCharType="end"/>
            </w:r>
          </w:p>
        </w:tc>
        <w:tc>
          <w:tcPr>
            <w:tcW w:w="859" w:type="dxa"/>
          </w:tcPr>
          <w:p w14:paraId="6D58E23A" w14:textId="066C70C1"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1710" w:type="dxa"/>
          </w:tcPr>
          <w:p w14:paraId="6C4C0159" w14:textId="3A7D209C"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LT3, ST3, ST2, ST1, LT1, LT2</w:t>
            </w:r>
          </w:p>
        </w:tc>
        <w:tc>
          <w:tcPr>
            <w:tcW w:w="1431" w:type="dxa"/>
          </w:tcPr>
          <w:p w14:paraId="6874E625" w14:textId="47F4D35E"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3817838D" w14:textId="1AD99137"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c>
          <w:tcPr>
            <w:tcW w:w="460" w:type="dxa"/>
          </w:tcPr>
          <w:p w14:paraId="609A412C" w14:textId="5F98FB18"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66</w:t>
            </w:r>
          </w:p>
        </w:tc>
        <w:tc>
          <w:tcPr>
            <w:tcW w:w="1203" w:type="dxa"/>
          </w:tcPr>
          <w:p w14:paraId="43AEE903" w14:textId="4FB44442"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{"citationID":"ArSS98Tz","properties":{"formattedCitation":"(Mart\\uc0\\u237{}nez-L\\uc0\\u252{}scher et al., 2017)","plainCitation":"(Martínez-Lüscher et al., 2017)","noteIndex":0},"citationItems":[{"id":1439,"uris":["http://zotero.org/users/2311545/items/8PZRZGNX"],"uri":["http://zotero.org/users/2311545/items/8PZRZGNX"],"itemData":{"id":1439,"type":"article-journal","abstract":"The incidence of solar radiation on red-skinned grapes can promote the synthesis of ﬂavonoids desirable for wine production, but elevated temperature may impair their accumulation. We performed a shade cloth trial covering the fruit zone (from pepper-corn size to maturity) with four polyethylene 1 m curtains with diﬀerent optical properties (20% shading factor Pearl colored and 40% shading factor Aluminet, Blue, and Black colored) and a Control with no cover. Cluster temperature was 3.7 °C lower on the Southwest side in Black-40% clusters during the warmest part of the day compared to Control. Results indicated a lower berry weight under the Aluminet-40%. Berries under the nets often had signiﬁcantly lower pH and higher TA than Control, but only the Black-40% were signiﬁcant at harvest. Black-40% had higher values of anthocyanins than Control toward the last weeks of development. Berry skin ﬂavonol and anthocyanin composition and concentration were measured by C18 reversed-phased HPLC; and proanthocyanidin isolates were characterized by acid catalysis in the presence of excess phloroglucinol followed by reversed-phase HPLC. Proanthocyanidins and ﬂavonol contents were lower in Black-40% before veraison and the ﬁrst part of ripening, respectively. However, their contents in Control decreased toward the end of ripening to a point where any net was diﬀerent from Control. Anthocyanin and ﬂavonol proﬁles were richer in 3′, 4′, 5′ hydroxylated forms. Proanthocyanidin chain length was not aﬀected while small changes were observed in the proportion of terminal catechin/ epicatechin and in seed galloylation in response to treatments. Results show that shade cloths may eﬃciently palliate temperature spikes, especially the last weeks before harvest, while transmitting enough radiation into the fruit zone to achieve a better grape composition compared to uncovered grapes.","container-title":"Journal of Agricultural and Food Chemistry","DOI":"10.1021/acs.jafc.7b04163","ISSN":"0021-8561, 1520-5118","issue":"49","language":"en","page":"10693-10702","source":"Crossref","title":"Partial Solar Radiation Exclusion with Color Shade Nets Reduces the Degradation of Organic Acids and Flavonoids of Grape Berry ( &lt;i&gt;Vitis vinifera&lt;/i&gt; L.)","volume":"65","author":[{"family":"Martínez-Lüscher","given":"Johann"},{"family":"Chen","given":"Christopher Cody Lee"},{"family":"Brillante","given":"Luca"},{"family":"Kurtural","given":"Sahap Kaan"}],"issued":{"date-parts":[["2017",12,13]]}}}],"schema":"https://github.com/citation-style-language/schema/raw/master/csl-citation.json"}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cs="Times New Roman"/>
                <w:sz w:val="16"/>
                <w:szCs w:val="24"/>
              </w:rPr>
              <w:t>(Martínez-Lüscher et al., 2017)</w:t>
            </w:r>
            <w:r>
              <w:rPr>
                <w:rFonts w:ascii="Calibri" w:eastAsia="Times New Roman" w:hAnsi="Calibri" w:cs="Calibri"/>
                <w:color w:val="000000"/>
                <w:sz w:val="16"/>
                <w:lang w:val="en-GB" w:eastAsia="en-GB"/>
              </w:rPr>
              <w:fldChar w:fldCharType="end"/>
            </w:r>
          </w:p>
        </w:tc>
        <w:tc>
          <w:tcPr>
            <w:tcW w:w="1269" w:type="dxa"/>
          </w:tcPr>
          <w:p w14:paraId="41B7DDC5" w14:textId="3FE262A1"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26BFE17E" w14:textId="4ABCA2A1"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LT3</w:t>
            </w:r>
          </w:p>
        </w:tc>
        <w:tc>
          <w:tcPr>
            <w:tcW w:w="1625" w:type="dxa"/>
          </w:tcPr>
          <w:p w14:paraId="7F17D3C4" w14:textId="39C42A64"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2B3F53E6" w14:textId="359B11B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05129196" w14:textId="378263CA"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4D716D9F" w14:textId="5C176A25"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12</w:t>
            </w:r>
          </w:p>
        </w:tc>
        <w:tc>
          <w:tcPr>
            <w:tcW w:w="1190" w:type="dxa"/>
            <w:hideMark/>
          </w:tcPr>
          <w:p w14:paraId="46256535" w14:textId="6B6442E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{"citationID":"xVXXcUST","properties":{"formattedCitation":"(Duchene et al., 2012)","plainCitation":"(Duchene et al., 2012)","noteIndex":0},"citationItems":[{"id":2672,"uris":["http://zotero.org/users/2311545/items/WPPLGHMI"],"uri":["http://zotero.org/users/2311545/items/WPPLGHMI"],"itemData":{"id":2672,"type":"article-journal","abstract":"The genetic determinism of developmental stages in grapevine was studied in the progeny of a cross between grapevine cultivars Riesling and Gewurztraminer by combining ecophysiological modelling, genetic analysis and data mining of the grapevine whole genome sequence. The dates of three phenological stages, budbreak, flowering and veraison, were recorded during four successive years for 120 genotypes in the vineyard. The phenotypic data analysed were the duration of three periods expressed in thermal time (degree-days): 15 February to budbreak (Bud), budbreak to flowering (Flo) and flowering to veraison (Ver). Parental and consensus genetic maps were built using 153 microsatellite markers on 188 individuals. Six independent quantitative trait loci (QTLs) were detected for the three phases. They were located on chromosomes 4 and 19 for Bud, chromosomes 7 and 14 for Flo and chromosomes 16 and 18 for Ver. Interactions were detected between loci and also between alleles at the same locus. Using the available grapevine whole-genome sequences, candidate genes underlying the QTLs were identified. VvFT, on chromosome 7, and a CONSTANS-like gene, on chromosome 14, were found to colocalise with the QTLs for flowering time. Genes related to the abscisic acid response and to sugar metabolism were detected within the confidence intervals of QTLs for veraison time. Their possible roles in the developmental process are discussed. These results raise new hypotheses for a better understanding of the physiological processes governing grapevine phenology and provide a framework for breeding new varieties adapted to the future predicted climatic conditions.","container-title":"Theoretical and Applied Genetics","DOI":"10.1007/s00122-011-1734-1","ISSN":"0040-5752","issue":"4","journalAbbreviation":"Theor. Appl. Genet.","language":"English","note":"WOS:000300245100002","page":"623-635","source":"Web of Science","title":"Towards the adaptation of grapevine varieties to climate change: QTLs and candidate genes for developmental stages","title-short":"Towards the adaptation of grapevine varieties to climate change","volume":"124","author":[{"family":"Duchene","given":"Eric"},{"family":"Butterlin","given":"Gisele"},{"family":"Dumas","given":"Vincent"},{"family":"Merdinoglu","given":"Didier"}],"issued":{"date-parts":[["2012",3]]}}}],"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(Duchene et al., 2012)</w:t>
            </w:r>
            <w:r>
              <w:rPr>
                <w:rFonts w:ascii="Calibri" w:eastAsia="Times New Roman" w:hAnsi="Calibri" w:cs="Calibri"/>
                <w:color w:val="000000"/>
                <w:sz w:val="16"/>
                <w:lang w:val="en-GB" w:eastAsia="en-GB"/>
              </w:rPr>
              <w:fldChar w:fldCharType="end"/>
            </w:r>
          </w:p>
        </w:tc>
        <w:tc>
          <w:tcPr>
            <w:tcW w:w="859" w:type="dxa"/>
          </w:tcPr>
          <w:p w14:paraId="3EFC6F8B" w14:textId="092E585C"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1710" w:type="dxa"/>
          </w:tcPr>
          <w:p w14:paraId="404ABBA8" w14:textId="05EBB7F2"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19F8A4B3" w14:textId="165D85C2"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231E7546" w14:textId="27A49E88"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0F055BDA" w14:textId="0B116B14"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67</w:t>
            </w:r>
          </w:p>
        </w:tc>
        <w:tc>
          <w:tcPr>
            <w:tcW w:w="1203" w:type="dxa"/>
          </w:tcPr>
          <w:p w14:paraId="0708993B" w14:textId="40DFB30A"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{"citationID":"B7mxcOX3","properties":{"formattedCitation":"(Mir\\uc0\\u225{}s-Avalos et al., 2018)","plainCitation":"(Mirás-Avalos et al., 2018)","noteIndex":0},"citationItems":[{"id":1500,"uris":["http://zotero.org/users/2311545/items/3DRZZPWU"],"uri":["http://zotero.org/users/2311545/items/3DRZZPWU"],"itemData":{"id":1500,"type":"article-journal","abstract":"A carbon balance model (VitiSim) was used for assessing the eﬀects of vine water status and diﬀerent climate scenarios on the dry matter production and partitioning of ‘Tempranillo’ grapevines (Vitis vinifera L.) grown in two diﬀerent Spanish regions. Inputs included weather daily variables, stem water potential measurements and vineyard system data. Partitioning is based on the supply and demand balance using relative sink strength coeﬃcients when carbon supply is lower than organ demands. A new routine to consider the eﬀect of vine water status on photosynthesis rate was implemented in the model. Experimental data from two Spanish locations, several seasons (2007–2011) and well-watered and water-stressed vines were used for validating the model. A sensitivity analysis showed that model outputs are greatly inﬂuenced by those inputs linked to light interception. Simulated dry matter productions were realistic even though in general the amounts were underestimated. VitiSim was able to reproduce the eﬀect of water stress on dry matter production observed in the ﬁeld. Then, the model was used to estimate vine dry mass in diﬀerent locations within Spain and worldwide under the standard current meteorological condition and under two climate change scenarios. Results were in accordance with those commonly found in ﬁeld studies. Hence, this model appears useful to estimate vine dry matter potential from few easily available inputs and to simulate the eﬀects of deﬁcit irrigation strategies on grape yield. Further routines must be implemented to enhance VitiSim predictive capabilities and reliability.","container-title":"Scientia Horticulturae","DOI":"10.1016/j.scienta.2018.06.065","ISSN":"03044238","language":"en","page":"561-571","source":"Crossref","title":"Modeling grapevine performance with ‘VitiSim’, a weather-based carbon balance model: Water status and climate change scenarios","title-short":"Modeling grapevine performance with ‘VitiSim’, a weather-based carbon balance model","volume":"240","author":[{"family":"Mirás-Avalos","given":"José Manuel"},{"family":"Uriarte","given":"David"},{"family":"Lakso","given":"Alan N."},{"family":"Intrigliolo","given":"Diego S."}],"issued":{"date-parts":[["2018",10]]}}}],"schema":"https://github.com/citation-style-language/schema/raw/master/csl-citation.json"}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cs="Times New Roman"/>
                <w:sz w:val="16"/>
                <w:szCs w:val="24"/>
              </w:rPr>
              <w:t>(Mirás-Avalos et al., 2018)</w:t>
            </w:r>
            <w:r>
              <w:rPr>
                <w:rFonts w:ascii="Calibri" w:eastAsia="Times New Roman" w:hAnsi="Calibri" w:cs="Calibri"/>
                <w:color w:val="000000"/>
                <w:sz w:val="16"/>
                <w:lang w:val="en-GB" w:eastAsia="en-GB"/>
              </w:rPr>
              <w:fldChar w:fldCharType="end"/>
            </w:r>
          </w:p>
        </w:tc>
        <w:tc>
          <w:tcPr>
            <w:tcW w:w="1269" w:type="dxa"/>
          </w:tcPr>
          <w:p w14:paraId="7C40650C" w14:textId="6AEE8E41"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1F2F3C59" w14:textId="45C39BE4"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121F09A2" w14:textId="3383FD1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 / Field</w:t>
            </w:r>
          </w:p>
        </w:tc>
        <w:tc>
          <w:tcPr>
            <w:tcW w:w="1341" w:type="dxa"/>
          </w:tcPr>
          <w:p w14:paraId="203B0FEE" w14:textId="69906ED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r>
      <w:tr w:rsidR="00537A56" w:rsidRPr="00EF0654" w14:paraId="2A6F117A" w14:textId="14DEE53F"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3467D5A6" w14:textId="1174D34C"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13</w:t>
            </w:r>
          </w:p>
        </w:tc>
        <w:tc>
          <w:tcPr>
            <w:tcW w:w="1190" w:type="dxa"/>
            <w:hideMark/>
          </w:tcPr>
          <w:p w14:paraId="4989335B" w14:textId="6540CFBD"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{"citationID":"CpbLLbh2","properties":{"formattedCitation":"(Nicholas and Durham, 2012)","plainCitation":"(Nicholas and Durham, 2012)","noteIndex":0},"citationItems":[{"id":1821,"uris":["http://zotero.org/users/2311545/items/TK886YT8"],"uri":["http://zotero.org/users/2311545/items/TK886YT8"],"itemData":{"id":1821,"type":"article-journal","abstract":"The wine industry is increasingly recognized as especially vulnerable to climate change due to the climate sensitivity of both winegrape yields and quality, making it an important model system for the agricultural impacts of global changes. However, agricultural production is strongly inﬂuenced by the management decisions of growers, including their practices to modify the microclimate experienced by the growing crop; these adaptations have not been studied at the vineyard level, where managers on the ground are on the front lines of responding to global change.","container-title":"Global Environmental Change","DOI":"10.1016/j.gloenvcha.2012.01.001","ISSN":"09593780","issue":"2","language":"en","page":"483-494","source":"Crossref","title":"Farm-scale adaptation and vulnerability to environmental stresses: Insights from winegrowing in Northern California","title-short":"Farm-scale adaptation and vulnerability to environmental stresses","volume":"22","author":[{"family":"Nicholas","given":"Kimberly A."},{"family":"Durham","given":"William H."}],"issued":{"date-parts":[["2012",5]]}}}],"schema":"https://github.com/citation-style-language/schema/raw/master/csl-citation.json"}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(Nicholas and Durham, 2012)</w:t>
            </w:r>
            <w:r>
              <w:rPr>
                <w:rFonts w:ascii="Calibri" w:eastAsia="Times New Roman" w:hAnsi="Calibri" w:cs="Calibri"/>
                <w:color w:val="000000"/>
                <w:sz w:val="16"/>
                <w:lang w:val="en-GB" w:eastAsia="en-GB"/>
              </w:rPr>
              <w:fldChar w:fldCharType="end"/>
            </w:r>
          </w:p>
        </w:tc>
        <w:tc>
          <w:tcPr>
            <w:tcW w:w="859" w:type="dxa"/>
          </w:tcPr>
          <w:p w14:paraId="18A6798C" w14:textId="520081E4"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1710" w:type="dxa"/>
          </w:tcPr>
          <w:p w14:paraId="48B25CC7" w14:textId="754FFCE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LT2, ST3, LT3, ST1</w:t>
            </w:r>
          </w:p>
        </w:tc>
        <w:tc>
          <w:tcPr>
            <w:tcW w:w="1431" w:type="dxa"/>
          </w:tcPr>
          <w:p w14:paraId="27703B41" w14:textId="1CE11754"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407986C3" w14:textId="7162A00B"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5C9FBE25" w14:textId="3BBD3D8B"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68</w:t>
            </w:r>
          </w:p>
        </w:tc>
        <w:tc>
          <w:tcPr>
            <w:tcW w:w="1203" w:type="dxa"/>
          </w:tcPr>
          <w:p w14:paraId="28E96E31" w14:textId="5D5A568B"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{"citationID":"YrP4wMGK","properties":{"formattedCitation":"(Neethling et al., 2017)","plainCitation":"(Neethling et al., 2017)","noteIndex":0},"citationItems":[{"id":1931,"uris":["http://zotero.org/users/2311545/items/FKC5HFGX"],"uri":["http://zotero.org/users/2311545/items/FKC5HFGX"],"itemData":{"id":1931,"type":"article-journal","abstract":"Adaptation to climate change is a major challenge facing the viticulture sector. Temporally, adaptation strategies and policies have to address potential impacts in both the short- and long term, whereas spatially, place-based and context-specific adaptations are essential. To help inform decision-making on climate change adaptation, this study adopted a bottom-up approach to assess local climate vulnerability and winegrowers’ adaptive processes in two regulated wine-producing areas in the Anjou-Saumur wine growing sub-region, France. The data used for this study were collected through individual semi-structured interviews with 30 winegrowers. With a focus on wine quality, climate-related exposure, and sensitivity were dependent on many contextual factors (e.g., northern geographical position, wine regulatory frameworks, local environmental features) interacting with the regional oceanic climate. Climate and other non-climate-related variables brought about important changes in winegrowers’ management practices, varying in time and space. This ongoing process in decision-making enhanced winegrowers’ adaptive responses, which were primarily reactive (e.g., harvesting, winemaking) or anticipatory (e.g., canopy and soil management) to short-term climate conditions. Winegrowers described changing trends in climateand grapevine (Vitis) -related variables, with the latter attributed to regional climate changes and evolving management practices. Regarding future climate trends, winegrowers’ displayed great uncertainty, placing the most urgent adaptation priority on short-term strategies, while changing grapevine varieties and using irrigation were identified as last resort strategies. The study concluded by discussing the implications of these findings in the context of climate change adaptation in viticulture.","container-title":"Mitigation and Adaptation Strategies for Global Change","DOI":"10.1007/s11027-015-9698-0","ISSN":"1381-2386, 1573-1596","issue":"5","language":"en","page":"777-803","source":"Crossref","title":"Assessing local climate vulnerability and winegrowers’ adaptive processes in the context of climate change","volume":"22","author":[{"family":"Neethling","given":"Etienne"},{"family":"Petitjean","given":"Théo"},{"family":"Quénol","given":"Hervé"},{"family":"Barbeau","given":"Gérard"}],"issued":{"date-parts":[["2017",6]]}}}],"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(Neethling et al., 2017)</w:t>
            </w:r>
            <w:r>
              <w:rPr>
                <w:rFonts w:ascii="Calibri" w:eastAsia="Times New Roman" w:hAnsi="Calibri" w:cs="Calibri"/>
                <w:color w:val="000000"/>
                <w:sz w:val="16"/>
                <w:lang w:val="en-GB" w:eastAsia="en-GB"/>
              </w:rPr>
              <w:fldChar w:fldCharType="end"/>
            </w:r>
          </w:p>
        </w:tc>
        <w:tc>
          <w:tcPr>
            <w:tcW w:w="1269" w:type="dxa"/>
          </w:tcPr>
          <w:p w14:paraId="158073EC" w14:textId="5CD456A9"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943" w:type="dxa"/>
          </w:tcPr>
          <w:p w14:paraId="741F0C6A" w14:textId="4D717AC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 ST2, ST1, LT2</w:t>
            </w:r>
          </w:p>
        </w:tc>
        <w:tc>
          <w:tcPr>
            <w:tcW w:w="1625" w:type="dxa"/>
          </w:tcPr>
          <w:p w14:paraId="514DD82D" w14:textId="2274F8C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 / Farm</w:t>
            </w:r>
          </w:p>
        </w:tc>
        <w:tc>
          <w:tcPr>
            <w:tcW w:w="1341" w:type="dxa"/>
          </w:tcPr>
          <w:p w14:paraId="460D55D0" w14:textId="7C791EF1"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r>
      <w:tr w:rsidR="00537A56" w:rsidRPr="00EF0654" w14:paraId="700E5EAC" w14:textId="08A1E1AF"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1FE2CB2" w14:textId="7B50377B"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lastRenderedPageBreak/>
              <w:t>14</w:t>
            </w:r>
          </w:p>
        </w:tc>
        <w:tc>
          <w:tcPr>
            <w:tcW w:w="1190" w:type="dxa"/>
            <w:hideMark/>
          </w:tcPr>
          <w:p w14:paraId="5D02B35C" w14:textId="785538A3" w:rsidR="00537A56" w:rsidRPr="006A4D7E"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{"citationID":"UBgju22g","properties":{"formattedCitation":"(Pieri et al., 2012)","plainCitation":"(Pieri et al., 2012)","noteIndex":0},"citationItems":[{"id":1991,"uris":["http://zotero.org/users/2311545/items/UNS2ZI4E"],"uri":["http://zotero.org/users/2311545/items/UNS2ZI4E"],"itemData":{"id":1991,"type":"article-journal","abstract":"Climate change in viticulture-oriented regions of France is expected to significantly increase temperatures and decrease rainfall. Therefore, phenology, physiological processes, vine water status and grape maturation conditions might all be modified thoroughly, with important consequences on wine production. Coupling ecophysiological models of vineyard function to regionalized outputs of global climate models is the only available way to forecast the impact of climate change on viticulture. Within the Climator project, this approach was developed by using a vine water balance model (BHV) at several locations in France, with 3 vine cultivars (‘Chardonnay’, ‘Merlot’ and ‘Grenache’), two planting densities (high and low density), 3 soils (low to high water reserve) and two management practices (rain fed/ irrigation). Uncertainties in impact results were assessed from comparing different simulated climate series up to the year 2100.","container-title":"Acta Horticulturae","DOI":"10.17660/ActaHortic.2012.931.2","ISSN":"0567-7572, 2406-6168","issue":"931","language":"en","page":"29-37","source":"Crossref","title":"CLIMATE CHANGE IMPACT ON FRENCH VINEYARDS AS PREDICTED BY MODELS","author":[{"family":"Pieri","given":"P."},{"family":"Lebon","given":"E."},{"family":"Brisson","given":"N."}],"issued":{"date-parts":[["2012",3]]}}}],"schema":"https://github.com/citation-style-language/schema/raw/master/csl-citation.json"}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(Pieri et al., 2012)</w:t>
            </w:r>
            <w:r>
              <w:rPr>
                <w:rFonts w:ascii="Calibri" w:eastAsia="Times New Roman" w:hAnsi="Calibri" w:cs="Calibri"/>
                <w:color w:val="000000"/>
                <w:sz w:val="16"/>
                <w:lang w:val="en-GB" w:eastAsia="en-GB"/>
              </w:rPr>
              <w:fldChar w:fldCharType="end"/>
            </w:r>
          </w:p>
        </w:tc>
        <w:tc>
          <w:tcPr>
            <w:tcW w:w="859" w:type="dxa"/>
          </w:tcPr>
          <w:p w14:paraId="0116D631" w14:textId="7883F8CC"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1710" w:type="dxa"/>
          </w:tcPr>
          <w:p w14:paraId="366C7260" w14:textId="4591AFEC"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 LT3, LT1, ST1</w:t>
            </w:r>
          </w:p>
        </w:tc>
        <w:tc>
          <w:tcPr>
            <w:tcW w:w="1431" w:type="dxa"/>
          </w:tcPr>
          <w:p w14:paraId="2014D3BC" w14:textId="0248BFAC"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06FB4157" w14:textId="6FA2C1A0"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1798CDC5" w14:textId="1AB026C4"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69</w:t>
            </w:r>
          </w:p>
        </w:tc>
        <w:tc>
          <w:tcPr>
            <w:tcW w:w="1203" w:type="dxa"/>
          </w:tcPr>
          <w:p w14:paraId="7478BBB3" w14:textId="4E2EF934"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{"citationID":"vrQ4OMBV","properties":{"formattedCitation":"(Mosedale et al., 2016)","plainCitation":"(Mosedale et al., 2016)","noteIndex":0},"citationItems":[{"id":2191,"uris":["http://zotero.org/users/2311545/items/KE8ZPPRF"],"uri":["http://zotero.org/users/2311545/items/KE8ZPPRF"],"itemData":{"id":2191,"type":"article-journal","abstract":"The cultivation of grapevines for winemaking, known as viticulture, is widely cited as a climate-sensitive agricultural system that has been used as an indicator of both historic and contemporary climate change. Numerous studies have questioned the viability of major viticulture regions under future climate projections. We review the methods used to study the impacts of climate change on viticulture in the light of what is known about the effects of climate and weather on the yields and quality of vineyard harvests. Many potential impacts of climate change on viticulture, particularly those associated with a change in climate variability or seasonal weather patterns, are rarely captured. Key biophysical characteristics of viticulture are often unaccounted for, including the variability of grapevine phenology and the exploitation of microclimatic niches that permit successful cultivation under suboptimal macroclimatic conditions. We consider how these same biophysical characteristics permit a variety of strategies by which viticulture can adapt to changing climatic conditions. The ability to realize these strategies, however, is affected by uneven exposure to risks across the winemaking sector, and the evolving capacity for decision-making within and across organizational boundaries. The role grape provenance plays in shaping perceptions of wine value and quality illustrates how conflicts of interest influence decisions about adaptive strategies within the industry. We conclude by considering what lessons can be taken from viticulture for studies of climate change impacts and the capacity for adaptation in other agricultural and natural systems.","container-title":"Global Change Biology","DOI":"10.1111/gcb.13406","ISSN":"1365-2486","issue":"11","language":"en","page":"3814-3828","source":"Wiley Online Library","title":"Climate change impacts and adaptive strategies: lessons from the grapevine","title-short":"Climate change impacts and adaptive strategies","volume":"22","author":[{"family":"Mosedale","given":"Jonathan R."},{"family":"Abernethy","given":"Kirsten E."},{"family":"Smart","given":"Richard E."},{"family":"Wilson","given":"Robert J."},{"family":"Maclean","given":"Ilya M. D."}],"issued":{"date-parts":[["2016"]]}}}],"schema":"https://github.com/citation-style-language/schema/raw/master/csl-citation.json"}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(Mosedale et al., 2016)</w:t>
            </w:r>
            <w:r>
              <w:rPr>
                <w:rFonts w:ascii="Calibri" w:eastAsia="Times New Roman" w:hAnsi="Calibri" w:cs="Calibri"/>
                <w:color w:val="000000"/>
                <w:sz w:val="16"/>
                <w:lang w:val="en-GB" w:eastAsia="en-GB"/>
              </w:rPr>
              <w:fldChar w:fldCharType="end"/>
            </w:r>
          </w:p>
        </w:tc>
        <w:tc>
          <w:tcPr>
            <w:tcW w:w="1269" w:type="dxa"/>
          </w:tcPr>
          <w:p w14:paraId="23B26BB2" w14:textId="590D85C2"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UK</w:t>
            </w:r>
          </w:p>
        </w:tc>
        <w:tc>
          <w:tcPr>
            <w:tcW w:w="943" w:type="dxa"/>
          </w:tcPr>
          <w:p w14:paraId="49D92497" w14:textId="7BEBE4B8"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LT2, LT3, LT4, ST1, ST2, ST3</w:t>
            </w:r>
          </w:p>
        </w:tc>
        <w:tc>
          <w:tcPr>
            <w:tcW w:w="1625" w:type="dxa"/>
          </w:tcPr>
          <w:p w14:paraId="517B260C" w14:textId="591E9375"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Plant/Region</w:t>
            </w:r>
          </w:p>
        </w:tc>
        <w:tc>
          <w:tcPr>
            <w:tcW w:w="1341" w:type="dxa"/>
          </w:tcPr>
          <w:p w14:paraId="455BB73D" w14:textId="050BE39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7D829019" w14:textId="6A916FA2"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7252E830" w14:textId="29BDF901"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15</w:t>
            </w:r>
          </w:p>
        </w:tc>
        <w:tc>
          <w:tcPr>
            <w:tcW w:w="1190" w:type="dxa"/>
            <w:hideMark/>
          </w:tcPr>
          <w:p w14:paraId="00806192" w14:textId="5AE2E866" w:rsidR="00537A56" w:rsidRPr="005F2CAB"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{"citationID":"TICGhWbG","properties":{"formattedCitation":"(Hannah et al., 2013)","plainCitation":"(Hannah et al., 2013)","noteIndex":0},"citationItems":[{"id":1368,"uris":["http://zotero.org/users/2311545/items/9FTRA75M"],"uri":["http://zotero.org/users/2311545/items/9FTRA75M"],"itemData":{"id":1368,"type":"article-journal","container-title":"Proceedings of the National Academy of Sciences","issue":"17","page":"6907–6912","source":"Google Scholar","title":"Climate change, wine, and conservation","volume":"110","author":[{"family":"Hannah","given":"Lee"},{"family":"Roehrdanz","given":"Patrick R."},{"family":"Ikegami","given":"Makihiko"},{"family":"Shepard","given":"Anderson V."},{"family":"Shaw","given":"M. Rebecca"},{"family":"Tabor","given":"Gary"},{"family":"Zhi","given":"Lu"},{"family":"Marquet","given":"Pablo A."},{"family":"Hijmans","given":"Robert J."}],"issued":{"date-parts":[["2013"]]}}}],"schema":"https://github.com/citation-style-language/schema/raw/master/csl-citation.json"}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(Hannah et al., 2013)</w:t>
            </w:r>
            <w:r>
              <w:rPr>
                <w:rFonts w:ascii="Calibri" w:eastAsia="Times New Roman" w:hAnsi="Calibri" w:cs="Calibri"/>
                <w:color w:val="000000"/>
                <w:sz w:val="16"/>
                <w:lang w:val="en-GB" w:eastAsia="en-GB"/>
              </w:rPr>
              <w:fldChar w:fldCharType="end"/>
            </w:r>
          </w:p>
        </w:tc>
        <w:tc>
          <w:tcPr>
            <w:tcW w:w="859" w:type="dxa"/>
          </w:tcPr>
          <w:p w14:paraId="4B973E58" w14:textId="79ECAEE1"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1710" w:type="dxa"/>
          </w:tcPr>
          <w:p w14:paraId="58390CAB" w14:textId="6423C707"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w:t>
            </w:r>
          </w:p>
        </w:tc>
        <w:tc>
          <w:tcPr>
            <w:tcW w:w="1431" w:type="dxa"/>
          </w:tcPr>
          <w:p w14:paraId="09D90D9A" w14:textId="3BEDC7E8"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 / Region</w:t>
            </w:r>
          </w:p>
        </w:tc>
        <w:tc>
          <w:tcPr>
            <w:tcW w:w="1137" w:type="dxa"/>
          </w:tcPr>
          <w:p w14:paraId="3C8D0264" w14:textId="51EB0C3D"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07FC185C" w14:textId="44F2D09E"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70</w:t>
            </w:r>
          </w:p>
        </w:tc>
        <w:tc>
          <w:tcPr>
            <w:tcW w:w="1203" w:type="dxa"/>
          </w:tcPr>
          <w:p w14:paraId="7C31DDBF" w14:textId="34A860B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{"citationID":"zC1Mh5Bk","properties":{"formattedCitation":"(Paciello et al., 2017)","plainCitation":"(Paciello et al., 2017)","noteIndex":0},"citationItems":[{"id":3199,"uris":["http://zotero.org/users/2311545/items/BYBEW266"],"uri":["http://zotero.org/users/2311545/items/BYBEW266"],"itemData":{"id":3199,"type":"article-journal","abstract":"BACKGROUND: The present paper details a new technique based on spraying nebulized water on vine canopy to counteract the negative impact of the current wave of hot summers with temperatures above 30 °C which usually determine a negative effects on vine yield, grape composition and wine quality.","container-title":"Journal of the Science of Food and Agriculture","DOI":"10.1002/jsfa.7860","ISSN":"00225142","issue":"4","journalAbbreviation":"J. Sci. Food Agric.","language":"en","page":"1267-1275","source":"DOI.org (Crossref)","title":"Nebulized water cooling of the canopy affects leaf temperature, berry composition and wine quality of Sauvignon blanc: Nebulized water cooling of the canopy affects wine quality of Sauvignon blanc","title-short":"Nebulized water cooling of the canopy affects leaf temperature, berry composition and wine quality of Sauvignon blanc","volume":"97","author":[{"family":"Paciello","given":"Pericle"},{"family":"Mencarelli","given":"Fabio"},{"family":"Palliotti","given":"Alberto"},{"family":"Ceccantoni","given":"Brunella"},{"family":"Thibon","given":"Cécile"},{"family":"Darriet","given":"Philippe"},{"family":"Pasquini","given":"Massimiliano"},{"family":"Bellincontro","given":"Andrea"}],"issued":{"date-parts":[["2017",3]]}}}],"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(Paciello et al., 2017)</w:t>
            </w:r>
            <w:r>
              <w:rPr>
                <w:rFonts w:ascii="Calibri" w:eastAsia="Times New Roman" w:hAnsi="Calibri" w:cs="Calibri"/>
                <w:color w:val="000000"/>
                <w:sz w:val="16"/>
                <w:lang w:val="en-GB" w:eastAsia="en-GB"/>
              </w:rPr>
              <w:fldChar w:fldCharType="end"/>
            </w:r>
          </w:p>
        </w:tc>
        <w:tc>
          <w:tcPr>
            <w:tcW w:w="1269" w:type="dxa"/>
          </w:tcPr>
          <w:p w14:paraId="65FFD663" w14:textId="76D140AF"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60D0C480" w14:textId="0EDA411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5B95B104" w14:textId="23DC8AB1"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687476D6" w14:textId="5EC174B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5FEE62E6" w14:textId="56FFD98A"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14DF1595" w14:textId="46E499ED"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16</w:t>
            </w:r>
          </w:p>
        </w:tc>
        <w:tc>
          <w:tcPr>
            <w:tcW w:w="1190" w:type="dxa"/>
            <w:hideMark/>
          </w:tcPr>
          <w:p w14:paraId="6AD510E0" w14:textId="15C40736"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{"citationID":"uE6OVPoN","properties":{"formattedCitation":"(Milla\\uc0\\u8208{}Tapia et al., 2013)","plainCitation":"(Milla‐Tapia et al., 2013)","noteIndex":0},"citationItems":[{"id":2773,"uris":["http://zotero.org/users/2311545/items/Z66Q5SU9"],"uri":["http://zotero.org/users/2311545/items/Z66Q5SU9"],"itemData":{"id":2773,"type":"article-journal","abstract":"Background and Aims Grapevine introduction into South America occurred after Spanish colonisation during the 16th century. In Chile, some vines were established in small villages and oases along the Atacama Desert. Considering that these plants have survived harsh environmental conditions, we explored and collected naturalised vines from 18°34′LS (close to the Peruvian border) to 31°53′LS, in order to understand their genetic nature and preserve this germplasm. Methods and Results Over 150 grapevine accessions were collected and characterised using 11 Simple Sequence Repeats (SSR) markers, to determine the genetic diversity and to propose a population structuring. SSR diversity was high, with observed heterozygosity (Ho = 0.87) greater than expected heterozygosity (He = 0.70). Three discrete genetic groups were identified, which did not show any association with geographical distribution. Groups 1 (G1) and G3 had a higher level of genetic diversity and also an important level of heterozygosity. Conclusions The gene pool of naturalised grapevines from the Atacama Desert had a significant genetic diversity and exhibited an important level of heterozygote excess. Clustering of this diversity suggested that this naturalised grapevine germplasm would represent a novel source of allelic variants. Significance of the Study Naturalised and admixed genotypes are potential sources of new alleles, and are a unique source of diversity for grapevine breeding cultivars and/or rootstocks better adapted to the prospect of climate change.","container-title":"Australian Journal of Grape and Wine Research","DOI":"10.1111/ajgw.12020","ISSN":"1755-0238","issue":"2","language":"en","page":"299-310","source":"Wiley Online Library","title":"Naturalised grapevines collected from arid regions in Northern Chile exhibit a high level of genetic diversity","volume":"19","author":[{"family":"Milla‐Tapia","given":"A."},{"family":"Gómez","given":"S."},{"family":"Moncada","given":"X."},{"family":"León","given":"P."},{"family":"Ibacache","given":"A."},{"family":"Rosas","given":"M."},{"family":"Carrasco","given":"B."},{"family":"Hinrichsen","given":"P."},{"family":"Zurita‐Silva","given":"A."}],"issued":{"date-parts":[["2013"]]}}}],"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cs="Times New Roman"/>
                <w:sz w:val="16"/>
                <w:szCs w:val="24"/>
              </w:rPr>
              <w:t>(Milla‐Tapia et al., 2013)</w:t>
            </w:r>
            <w:r>
              <w:rPr>
                <w:rFonts w:ascii="Calibri" w:eastAsia="Times New Roman" w:hAnsi="Calibri" w:cs="Calibri"/>
                <w:color w:val="000000"/>
                <w:sz w:val="16"/>
                <w:lang w:val="en-GB" w:eastAsia="en-GB"/>
              </w:rPr>
              <w:fldChar w:fldCharType="end"/>
            </w:r>
          </w:p>
        </w:tc>
        <w:tc>
          <w:tcPr>
            <w:tcW w:w="859" w:type="dxa"/>
          </w:tcPr>
          <w:p w14:paraId="186B081F" w14:textId="07FDE8D9"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Chile</w:t>
            </w:r>
          </w:p>
        </w:tc>
        <w:tc>
          <w:tcPr>
            <w:tcW w:w="1710" w:type="dxa"/>
          </w:tcPr>
          <w:p w14:paraId="0734F41C" w14:textId="043FA35E"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740C3C82" w14:textId="2C1ADF62"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38279EAD" w14:textId="41415667"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2E52DC6A" w14:textId="7FA69E00"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71</w:t>
            </w:r>
          </w:p>
        </w:tc>
        <w:tc>
          <w:tcPr>
            <w:tcW w:w="1203" w:type="dxa"/>
          </w:tcPr>
          <w:p w14:paraId="5B34B128" w14:textId="4A7844B6"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{"citationID":"tcFkX9GL","properties":{"formattedCitation":"(Pagliarani et al., 2017)","plainCitation":"(Pagliarani et al., 2017)","noteIndex":0},"citationItems":[{"id":3203,"uris":["http://zotero.org/users/2311545/items/GBU3DGXY"],"uri":["http://zotero.org/users/2311545/items/GBU3DGXY"],"itemData":{"id":3203,"type":"article-journal","abstract":"Grapevine (Vitis vinifera) is routinely grafted, and rootstocks inducing drought tolerance represent a source for adapting vineyards to climate change in temperate areas. Our goal was to investigate drought stress effects on microRNA (miRNA) abundance in a drought-resistant grapevine rootstock, M4 (Vitis vinifera × Vitis berlandieri), compared with a commercial cultivar, Cabernet Sauvignon, using their autografts and reciprocal grafts. RNA extracted from roots and leaves of droughted and irrigated plants of different graft combinations was used to prepare cDNA libraries for small RNA sequencing and to analyze miRNAs by quantitative real-time polymerase chain reaction (RT-qPCR). Measurements of leaf water potential, leaf gas exchange, and root hydraulic conductance attested that, under irrigation, M4 reduced water loss in comparison with cultivar Cabernet Sauvignon mostly through nonhydraulic, root-specific mechanisms. Under drought, stomatal conductance decreased at similar levels in the two genotypes. Small RNA sequencing allowed the identification of 70 conserved miRNAs and the prediction of 28 novel miRNAs. Different accumulation trends of miRNAs, observed upon drought and in different genotypes and organs, were confirmed by RT-qPCR Corresponding target transcripts, predicted in silico and validated by RT-qPCR, often showed opposite expression profiles than the related miRNAs. Drought effects on miRNA abundance differed between the two genotypes. Furthermore, the concentration of drought-responsive miRNAs in each genotype was affected by reciprocal grafting, suggesting either the movement of signals inducing miRNA expression in the graft partner or, possibly, miRNA transport between scion and rootstock. These results open new perspectives in the selection of rootstocks for improving grapevine adaptation to drought.","container-title":"Plant Physiology","DOI":"10.1104/pp.16.01119","ISSN":"1532-2548","issue":"4","journalAbbreviation":"Plant Physiol","language":"eng","note":"PMID: 28235889\nPMCID: PMC5373040","page":"2180-2195","source":"PubMed","title":"The Accumulation of miRNAs Differentially Modulated by Drought Stress Is Affected by Grafting in Grapevine","volume":"173","author":[{"family":"Pagliarani","given":"Chiara"},{"family":"Vitali","given":"Marco"},{"family":"Ferrero","given":"Manuela"},{"family":"Vitulo","given":"Nicola"},{"family":"Incarbone","given":"Marco"},{"family":"Lovisolo","given":"Claudio"},{"family":"Valle","given":"Giorgio"},{"family":"Schubert","given":"Andrea"}],"issued":{"date-parts":[["2017"]]}}}],"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(Pagliarani et al., 2017)</w:t>
            </w:r>
            <w:r>
              <w:rPr>
                <w:rFonts w:ascii="Calibri" w:eastAsia="Times New Roman" w:hAnsi="Calibri" w:cs="Calibri"/>
                <w:color w:val="000000"/>
                <w:sz w:val="16"/>
                <w:lang w:val="en-GB" w:eastAsia="en-GB"/>
              </w:rPr>
              <w:fldChar w:fldCharType="end"/>
            </w:r>
          </w:p>
        </w:tc>
        <w:tc>
          <w:tcPr>
            <w:tcW w:w="1269" w:type="dxa"/>
          </w:tcPr>
          <w:p w14:paraId="3230BC94" w14:textId="54AB7847"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19EEEBBC" w14:textId="22D0754C"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625" w:type="dxa"/>
          </w:tcPr>
          <w:p w14:paraId="6B5876DC" w14:textId="6BB5730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30496F41" w14:textId="2B0B1815"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3F154B31" w14:textId="0C3DEE94"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5754F5BC" w14:textId="55844DDA"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17</w:t>
            </w:r>
          </w:p>
        </w:tc>
        <w:tc>
          <w:tcPr>
            <w:tcW w:w="1190" w:type="dxa"/>
            <w:hideMark/>
          </w:tcPr>
          <w:p w14:paraId="249B0517" w14:textId="0F6965F3"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{"citationID":"lA5G3ewT","properties":{"formattedCitation":"(Palliotti et al., 2013)","plainCitation":"(Palliotti et al., 2013)","noteIndex":0},"citationItems":[{"id":2795,"uris":["http://zotero.org/users/2311545/items/I6ZZTD5X"],"uri":["http://zotero.org/users/2311545/items/I6ZZTD5X"],"itemData":{"id":2795,"type":"article-journal","abstract":"The effectiveness of a postveraison application of the film-forming antitranspirant Vapor Gard (VG, a.i. di-1-p-menthene) was investigated as a technique to delay grape ripening and reduce sugar accumulation in the berry. The study was carried out over the 2010–2011 seasons in a nonirrigated vineyard of cv. Sangiovese in central Italy. Vapor Gard was applied at 2% concentration to the upper two-thirds of the canopy (most functional leaves) and it significantly lowered leaf assimilation and transpiration rates and increased intrinsic water use efficiency. The Fv/ Fm ratio was not modified, emphasizing that photoinhibition did not occur at the photosystem II complex, whereas the reduction of pool size of plastoquinone matched well with reduced CO2 fixation found in VG-treated vines. In both years VG treatment reduced the pace of sugar accumulation in the berry as compared to control vines, scoring a -1.2 Brix at harvest and wine alcohol content at -1% without compromising the recovery of concentrations of carbohydrates and total nitrogen in canes and roots. Concurrently, organic acids, pH, and phenolic richness of grapes and wines were unaffected, whereas there was a decrease in anthocyanin content in the berry (-19% compared to control vines) and in the wine (-15% compared to control vines). The application of VG at postveraison above the cluster zone is an effective, simple, and viable technique to hinder berry sugaring and obtain less alcoholic wines. To be effective the spraying should be performed at ~14 to 15 Brix, making sure that the lower leaf epidermis is fully wetted by the chemical.","container-title":"American Journal of Enology and Viticulture","DOI":"10.5344/ajev.2013.13015","ISSN":"0002-9254","issue":"3","journalAbbreviation":"Am. J. Enol. Vitic.","language":"en","page":"378-385","source":"DOI.org (Crossref)","title":"Postveraison Application of Antitranspirant Di-1- &lt;i&gt;p&lt;/i&gt; -Menthene to Control Sugar Accumulation in Sangiovese Grapevines","volume":"64","author":[{"family":"Palliotti","given":"Alberto"},{"family":"Panara","given":"Francesco"},{"family":"Famiani","given":"Franco"},{"family":"Sabbatini","given":"Paolo"},{"family":"Howell","given":"G. Stanley"},{"family":"Silvestroni","given":"Oriana"},{"family":"Poni","given":"Stefano"}],"issued":{"date-parts":[["2013",9]]}}}],"schema":"https://github.com/citation-style-language/schema/raw/master/csl-citation.json"}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(Palliotti et al., 2013)</w:t>
            </w:r>
            <w:r>
              <w:rPr>
                <w:rFonts w:ascii="Calibri" w:eastAsia="Times New Roman" w:hAnsi="Calibri" w:cs="Calibri"/>
                <w:color w:val="000000"/>
                <w:sz w:val="16"/>
                <w:lang w:val="en-GB" w:eastAsia="en-GB"/>
              </w:rPr>
              <w:fldChar w:fldCharType="end"/>
            </w:r>
          </w:p>
        </w:tc>
        <w:tc>
          <w:tcPr>
            <w:tcW w:w="859" w:type="dxa"/>
          </w:tcPr>
          <w:p w14:paraId="2C2F8791" w14:textId="32DA9118"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3DC24534" w14:textId="5D233EDD"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431" w:type="dxa"/>
          </w:tcPr>
          <w:p w14:paraId="2E41C4AE" w14:textId="1DF883C0"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6F2C1298" w14:textId="029C89E2"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680FAE73" w14:textId="0FEF681D"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72</w:t>
            </w:r>
          </w:p>
        </w:tc>
        <w:tc>
          <w:tcPr>
            <w:tcW w:w="1203" w:type="dxa"/>
          </w:tcPr>
          <w:p w14:paraId="5395EB10" w14:textId="3475856C"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{"citationID":"2Up2OHqK","properties":{"formattedCitation":"(Petrie et al., 2017)","plainCitation":"(Petrie et al., 2017)","noteIndex":0},"citationItems":[{"id":2329,"uris":["http://zotero.org/users/2311545/items/9NDCN3XW"],"uri":["http://zotero.org/users/2311545/items/9NDCN3XW"],"itemData":{"id":2329,"type":"article-journal","abstract":"Background and Aims The shift in phenological development is the most conspicuous biological effect of climate change in vineyards worldwide. Associated with the advancement in maturity there has been a compression of the harvest period that places significant pressure on vineyard and winery infrastructure. Our aims were to test the feasibility of using delayed pruning as a tool to delay ripening and decompress maturity, to establish how much pruning can be delayed before compromising yield, and to compare the response of Cabernet Sauvignon and Shiraz. Methods and Results Five pruning dates (from winter up to 3 weeks after budburst) were applied in a commercial vineyard, and we monitored phenology, fruit maturation, and measured yield and its components. The maturation, as determined by sugar concentration, was delayed by up to 3 weeks in Shiraz and by 2 weeks in Cabernet Sauvignon. The yield response varied between pruning dates. The Shiraz vines pruned at the latest phenological stage (E-L 15) recorded a reduction in yield of over 50%; the yield of the other treatments ranged from a 24% reduction to a 55% increase relative to that of the Control. Conclusion Maturity was delayed with mostly neutral or positive effects on fruit composition. Significance of the Study Delayed pruning offers a real and cost-effective tool to allow the Australian wine industry to adapt to climate change by delaying ripening and decompressing harvest.","container-title":"Australian Journal of Grape and Wine Research","DOI":"10.1111/ajgw.12303","ISSN":"1755-0238","issue":"3","language":"en","page":"378-389","source":"Wiley Online Library","title":"Pruning after budburst to delay and spread grape maturity","volume":"23","author":[{"family":"Petrie","given":"P. R."},{"family":"Brooke","given":"S. J."},{"family":"Moran","given":"M. A."},{"family":"Sadras","given":"V. O."}],"issued":{"date-parts":[["2017"]]}}}],"schema":"https://github.com/citation-style-language/schema/raw/master/csl-citation.json"}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(Petrie et al., 2017)</w:t>
            </w:r>
            <w:r>
              <w:rPr>
                <w:rFonts w:ascii="Calibri" w:eastAsia="Times New Roman" w:hAnsi="Calibri" w:cs="Calibri"/>
                <w:color w:val="000000"/>
                <w:sz w:val="16"/>
                <w:lang w:val="en-GB" w:eastAsia="en-GB"/>
              </w:rPr>
              <w:fldChar w:fldCharType="end"/>
            </w:r>
          </w:p>
        </w:tc>
        <w:tc>
          <w:tcPr>
            <w:tcW w:w="1269" w:type="dxa"/>
          </w:tcPr>
          <w:p w14:paraId="4CA1A4E6" w14:textId="51321BA0"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943" w:type="dxa"/>
          </w:tcPr>
          <w:p w14:paraId="1FD11C7E" w14:textId="12BF36AF"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625" w:type="dxa"/>
          </w:tcPr>
          <w:p w14:paraId="6F32DADA" w14:textId="7040756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3EF64EB3" w14:textId="73E4E1C8"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7B28B3B7" w14:textId="0A3605F1"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2EF27F07" w14:textId="5AB4EDE0"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18</w:t>
            </w:r>
          </w:p>
        </w:tc>
        <w:tc>
          <w:tcPr>
            <w:tcW w:w="1190" w:type="dxa"/>
            <w:hideMark/>
          </w:tcPr>
          <w:p w14:paraId="22837CA6" w14:textId="219DF5B5"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{"citationID":"8MTIzDjF","properties":{"formattedCitation":"(Raymond and Spoehr, 2013)","plainCitation":"(Raymond and Spoehr, 2013)","noteIndex":0},"citationItems":[{"id":2786,"uris":["http://zotero.org/users/2311545/items/UNR9RAHZ"],"uri":["http://zotero.org/users/2311545/items/UNR9RAHZ"],"itemData":{"id":2786,"type":"article-journal","abstract":"This study examined how the terms used to describe climate change influence landholder acceptability judgements and attitudes toward climate change at the local scale. Telephone surveys were conducted with landholders from viticultural (n = 97) or cereal growing (n = 195) backgrounds in rural South Australia. A variety of descriptive and inferential statistics were used to examine the influence of human-induced climate change and winter/spring drying trend terms on adaptation responses and uncertainties surrounding climate change science. We found that the terms used to describe climate change leads to significant differences in adaptation response and levels of scepticism surrounding climate change in rural populations. For example, those respondents who accepted human induced climate change as a reality were significantly more likely to invest in technologies to sow crops earlier or increase the amount of water stored or harvested on their properties than respondents who accepted the winter/spring drying trend as a reality. The results have implications for the targeting of climate change science messages to both rural landholders and communities of practice involved in climate change adaptation planning and implementation.","container-title":"Journal of Environmental Management","DOI":"10.1016/j.jenvman.2012.11.003","ISSN":"0301-4797","journalAbbreviation":"Journal of Environmental Management","page":"69-77","source":"ScienceDirect","title":"The acceptability of climate change in agricultural communities: Comparing responses across variability and change","title-short":"The acceptability of climate change in agricultural communities","volume":"115","author":[{"family":"Raymond","given":"Christopher M."},{"family":"Spoehr","given":"John"}],"issued":{"date-parts":[["2013",1,30]]}}}],"schema":"https://github.com/citation-style-language/schema/raw/master/csl-citation.json"}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(Raymond and Spoehr, 2013)</w:t>
            </w:r>
            <w:r>
              <w:rPr>
                <w:rFonts w:ascii="Calibri" w:eastAsia="Times New Roman" w:hAnsi="Calibri" w:cs="Calibri"/>
                <w:color w:val="000000"/>
                <w:sz w:val="16"/>
                <w:lang w:val="en-GB" w:eastAsia="en-GB"/>
              </w:rPr>
              <w:fldChar w:fldCharType="end"/>
            </w:r>
          </w:p>
        </w:tc>
        <w:tc>
          <w:tcPr>
            <w:tcW w:w="859" w:type="dxa"/>
          </w:tcPr>
          <w:p w14:paraId="17C4523A" w14:textId="05FD0B68"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1710" w:type="dxa"/>
          </w:tcPr>
          <w:p w14:paraId="665A2589" w14:textId="36709301"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ST2, ST1, LT2</w:t>
            </w:r>
          </w:p>
        </w:tc>
        <w:tc>
          <w:tcPr>
            <w:tcW w:w="1431" w:type="dxa"/>
          </w:tcPr>
          <w:p w14:paraId="58F475B3" w14:textId="61E32BB9"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05E10120" w14:textId="4A625C1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09FACFC6" w14:textId="7A747740"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73</w:t>
            </w:r>
          </w:p>
        </w:tc>
        <w:tc>
          <w:tcPr>
            <w:tcW w:w="1203" w:type="dxa"/>
          </w:tcPr>
          <w:p w14:paraId="5B40702B" w14:textId="3168D64F"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{"citationID":"5zzQmfcJ","properties":{"formattedCitation":"(Ronco et al., 2017)","plainCitation":"(Ronco et al., 2017)","noteIndex":0},"citationItems":[{"id":2419,"uris":["http://zotero.org/users/2311545/items/TH3LAIMW"],"uri":["http://zotero.org/users/2311545/items/TH3LAIMW"],"itemData":{"id":2419,"type":"article-journal","abstract":"In several regions, but especially in semi-arid areas, raising frequency, duration and intensity of drought events, mainly driven by climate change dynamics, are expected to dramatically reduce the current stocks of freshwater resources, limiting crop development and yield especially where agriculture largely depends on irrigation. The achievement of an affordable and sustainable equilibrium between available water resources and irrigation demand is essentially related to the planning and implementation of evidence-based adaptation strategies and actions. The present study proposed a state-of-the art conceptual framework and computational methodology to assess the potential water scarcity risk, due to changes in climate trends and variability, on irrigated croplands. The model has been tested over the irrigated agriculture of Puglia Region, a semi-arid territory with the largest agricultural production in Southern Italy. The methodology, based on the Regional Risk Assessment (RRA) approach, has been applied within a scenario-based hazard framework. Regional climate projections, under alternative greenhouse gas concentration scenarios (RCP4.5 and RCP8.5) and for two different timeframes, 2021–2050 and 2041–2070 compared to the baseline 1976–2005 period, have been used to drive hydrological simulations of river inflow to the most important reservoirs serving irrigation purposes in Puglia. The novelty of the proposed RRA-based approach does not simply rely on the concept of risk as combination of hazard, exposure and vulnerability, but rather elaborates detailed (scientific and conceptual) framing and computational description of these factors, to produce risk spatial pattern maps and related statistics distinguishing the most critical areas (risk hot spots).. The application supported the identification of the most affected areas (i.e. Capitanata Reclamation Consortia under RCP8.5 2041–2070 scenario), crops (fruit trees and vineyards), and, finally, the vulnerability pattern of irrigation systems and networks. The implemented assessment singled out future perspectives of water scarcity risk levels for irrigated agriculture by the administrative extent where individual bodies are in charge of the coordination of public and private irrigation activities (i.e. Reclamation Consortia). Based on the outcomes of the proposed methodology, tailored and knowledge-based adaptation strategies and related actions can be developed, to reduce the risk at both agronomic level (i.e. preferring crops with low vulnerability score, as olive groves) and at structural level (i.e. differentiating the water stocks and supplies and reducing losses and inefficiencies).","container-title":"Advances in Water Resources","DOI":"10.1016/j.advwatres.2017.08.003","ISSN":"0309-1708","journalAbbreviation":"Advances in Water Resources","page":"562-578","source":"ScienceDirect","title":"A risk assessment framework for irrigated agriculture under climate change","volume":"110","author":[{"family":"Ronco","given":"P."},{"family":"Zennaro","given":"F."},{"family":"Torresan","given":"S."},{"family":"Critto","given":"A."},{"family":"Santini","given":"M."},{"family":"Trabucco","given":"A."},{"family":"Zollo","given":"A. L."},{"family":"Galluccio","given":"G."},{"family":"Marcomini","given":"A."}],"issued":{"date-parts":[["2017",12,1]]}}}],"schema":"https://github.com/citation-style-language/schema/raw/master/csl-citation.json"}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(Ronco et al., 2017)</w:t>
            </w:r>
            <w:r>
              <w:rPr>
                <w:rFonts w:ascii="Calibri" w:eastAsia="Times New Roman" w:hAnsi="Calibri" w:cs="Calibri"/>
                <w:color w:val="000000"/>
                <w:sz w:val="16"/>
                <w:lang w:val="en-GB" w:eastAsia="en-GB"/>
              </w:rPr>
              <w:fldChar w:fldCharType="end"/>
            </w:r>
          </w:p>
        </w:tc>
        <w:tc>
          <w:tcPr>
            <w:tcW w:w="1269" w:type="dxa"/>
          </w:tcPr>
          <w:p w14:paraId="60EB075C" w14:textId="0A5AAF2E"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6701407D" w14:textId="703FF6C6"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40761514" w14:textId="7798E08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341" w:type="dxa"/>
          </w:tcPr>
          <w:p w14:paraId="558EAB04" w14:textId="3EEAE44D"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r>
      <w:tr w:rsidR="00537A56" w:rsidRPr="00EF0654" w14:paraId="6E950BE0" w14:textId="5D43A8B2"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638374E1" w14:textId="52E19B10"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19</w:t>
            </w:r>
          </w:p>
        </w:tc>
        <w:tc>
          <w:tcPr>
            <w:tcW w:w="1190" w:type="dxa"/>
            <w:hideMark/>
          </w:tcPr>
          <w:p w14:paraId="236D1266" w14:textId="08B9E36F"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{"citationID":"wovRy34Z","properties":{"formattedCitation":"(Stoll et al., 2013)","plainCitation":"(Stoll et al., 2013)","noteIndex":0},"citationItems":[{"id":3116,"uris":["http://zotero.org/users/2311545/items/Q7UKG7SJ"],"uri":["http://zotero.org/users/2311545/items/Q7UKG7SJ"],"itemData":{"id":3116,"type":"article-journal","container-title":"Acta Horticulturae","DOI":"10.17660/ActaHortic.2013.978.34","ISSN":"0567-7572, 2406-6168","issue":"978","journalAbbreviation":"Acta Hortic.","page":"293-299","source":"DOI.org (Crossref)","title":"IMPACT OF VARIOUS LEAF AREA MODIFICATIONS ON BERRY MATURATION IN VITIS VINIFERA L. 'RIESLING'","author":[{"family":"Stoll","given":"M."},{"family":"Bischoff-Schaefer","given":"M."},{"family":"Lafontaine","given":"M."},{"family":"Tittmann","given":"S."},{"family":"Henschke","given":"J."}],"issued":{"date-parts":[["2013",3]]}}}],"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(Stoll et al., 2013)</w:t>
            </w:r>
            <w:r>
              <w:rPr>
                <w:rFonts w:ascii="Calibri" w:eastAsia="Times New Roman" w:hAnsi="Calibri" w:cs="Calibri"/>
                <w:color w:val="000000"/>
                <w:sz w:val="16"/>
                <w:lang w:val="en-GB" w:eastAsia="en-GB"/>
              </w:rPr>
              <w:fldChar w:fldCharType="end"/>
            </w:r>
          </w:p>
        </w:tc>
        <w:tc>
          <w:tcPr>
            <w:tcW w:w="859" w:type="dxa"/>
          </w:tcPr>
          <w:p w14:paraId="66032750" w14:textId="57AB4569"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Germany</w:t>
            </w:r>
          </w:p>
        </w:tc>
        <w:tc>
          <w:tcPr>
            <w:tcW w:w="1710" w:type="dxa"/>
          </w:tcPr>
          <w:p w14:paraId="73F58BF9" w14:textId="61932BC6"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431" w:type="dxa"/>
          </w:tcPr>
          <w:p w14:paraId="7898D904" w14:textId="63114347"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04113E98" w14:textId="3A74F3DF"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38684E47" w14:textId="60CD1479"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74</w:t>
            </w:r>
          </w:p>
        </w:tc>
        <w:tc>
          <w:tcPr>
            <w:tcW w:w="1203" w:type="dxa"/>
          </w:tcPr>
          <w:p w14:paraId="1A36A541" w14:textId="7DD9FF7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{"citationID":"7lVovIdc","properties":{"formattedCitation":"(Sacchelli et al., 2016)","plainCitation":"(Sacchelli et al., 2016)","noteIndex":0},"citationItems":[{"id":1981,"uris":["http://zotero.org/users/2311545/items/PX3NSTRX"],"uri":["http://zotero.org/users/2311545/items/PX3NSTRX"],"itemData":{"id":1981,"type":"article-journal","abstract":"The paper analyses the evolution and potential future trend of research debate related to climate change impacts on the wine chain. A particular emphasis was given to the evaluation of sustainability in the examined literature. From a methodological point of view, sets of text analysis techniques were combined for the investigation of those selected scientific papers. Results highlight that the detailed and in-depth examination of the subject is quite recent. Furthermore, the analysis of climate change on wine production sustainability is primarily focused on the environmental aspects and not to the socio-economic ones. Lastly, future potential research issues and aims for the examined topic were suggested.","container-title":"Agriculture and Agricultural Science Procedia","DOI":"10.1016/j.aaspro.2016.02.090","ISSN":"22107843","language":"en","page":"167-175","source":"Crossref","title":"Climate Change, Wine and Sustainability: A Quantitative Discourse Analysis of the International Scientific Literature","title-short":"Climate Change, Wine and Sustainability","volume":"8","author":[{"family":"Sacchelli","given":"Sandro"},{"family":"Fabbrizzi","given":"Sara"},{"family":"Menghini","given":"Silvio"}],"issued":{"date-parts":[["2016"]]}}}],"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(Sacchelli et al., 2016)</w:t>
            </w:r>
            <w:r>
              <w:rPr>
                <w:rFonts w:ascii="Calibri" w:eastAsia="Times New Roman" w:hAnsi="Calibri" w:cs="Calibri"/>
                <w:color w:val="000000"/>
                <w:sz w:val="16"/>
                <w:lang w:val="en-GB" w:eastAsia="en-GB"/>
              </w:rPr>
              <w:fldChar w:fldCharType="end"/>
            </w:r>
          </w:p>
        </w:tc>
        <w:tc>
          <w:tcPr>
            <w:tcW w:w="1269" w:type="dxa"/>
          </w:tcPr>
          <w:p w14:paraId="3E110D5B" w14:textId="53FF3A52"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34A62A5E" w14:textId="338630F6"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LT3, LT2, LT4</w:t>
            </w:r>
          </w:p>
        </w:tc>
        <w:tc>
          <w:tcPr>
            <w:tcW w:w="1625" w:type="dxa"/>
          </w:tcPr>
          <w:p w14:paraId="3D2C6768" w14:textId="16E0476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341" w:type="dxa"/>
          </w:tcPr>
          <w:p w14:paraId="07AB9241" w14:textId="351F52B8"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r>
      <w:tr w:rsidR="00537A56" w:rsidRPr="00EF0654" w14:paraId="6469897D" w14:textId="5C167611"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66F57A2C" w14:textId="2890656B"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20</w:t>
            </w:r>
          </w:p>
        </w:tc>
        <w:tc>
          <w:tcPr>
            <w:tcW w:w="1190" w:type="dxa"/>
            <w:hideMark/>
          </w:tcPr>
          <w:p w14:paraId="6E8EA7C4" w14:textId="2A64F491" w:rsidR="00537A56" w:rsidRPr="005F2CAB"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fr-FR"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{"citationID":"wb9hjH1X","properties":{"formattedCitation":"(Attia et al., 2014)","plainCitation":"(Attia et al., 2014)","noteIndex":0},"citationItems":[{"id":2480,"uris":["http://zotero.org/users/2311545/items/JRP2XRHM"],"uri":["http://zotero.org/users/2311545/items/JRP2XRHM"],"itemData":{"id":2480,"type":"article-journal","container-title":"OENO One","DOI":"10.20870/oeno-one.2014.48.4.1691","ISSN":"2494-1271","issue":"4","journalAbbreviation":"1","language":"en","page":"237-245","source":"oeno-one.eu","title":"Foliar application of processed calcite particles improves leaf photosynthesis of potted &lt;em&gt;Vitis vinifera&lt;/em&gt; L. (var. ‘Cot’) grown under water deficit","volume":"48","author":[{"family":"Attia","given":"Faouzi"},{"family":"Martinez","given":"Laurent"},{"family":"Lamaze","given":"Thierry"}],"issued":{"date-parts":[["2014",12,31]]}}}],"schema":"https://github.com/citation-style-language/schema/raw/master/csl-citation.json"} </w:instrText>
            </w:r>
            <w:r>
              <w:rPr>
                <w:rFonts w:ascii="Calibri" w:eastAsia="Times New Roman" w:hAnsi="Calibri" w:cs="Calibri"/>
                <w:color w:val="000000"/>
                <w:sz w:val="16"/>
                <w:lang w:val="fr-FR" w:eastAsia="en-GB"/>
              </w:rPr>
              <w:fldChar w:fldCharType="separate"/>
            </w:r>
            <w:r w:rsidRPr="006A4D7E">
              <w:rPr>
                <w:rFonts w:ascii="Calibri" w:hAnsi="Calibri"/>
                <w:sz w:val="16"/>
              </w:rPr>
              <w:t>(Attia et al., 2014)</w:t>
            </w:r>
            <w:r>
              <w:rPr>
                <w:rFonts w:ascii="Calibri" w:eastAsia="Times New Roman" w:hAnsi="Calibri" w:cs="Calibri"/>
                <w:color w:val="000000"/>
                <w:sz w:val="16"/>
                <w:lang w:val="fr-FR" w:eastAsia="en-GB"/>
              </w:rPr>
              <w:fldChar w:fldCharType="end"/>
            </w:r>
          </w:p>
        </w:tc>
        <w:tc>
          <w:tcPr>
            <w:tcW w:w="859" w:type="dxa"/>
          </w:tcPr>
          <w:p w14:paraId="2DC6ECD5" w14:textId="6092A290"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1710" w:type="dxa"/>
          </w:tcPr>
          <w:p w14:paraId="7BA2648E" w14:textId="220826D8" w:rsidR="00537A56" w:rsidRPr="005F2CAB"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fr-FR" w:eastAsia="en-GB"/>
              </w:rPr>
            </w:pPr>
            <w:r>
              <w:rPr>
                <w:rFonts w:ascii="Calibri" w:eastAsia="Times New Roman" w:hAnsi="Calibri" w:cs="Calibri"/>
                <w:color w:val="000000"/>
                <w:sz w:val="16"/>
                <w:lang w:val="fr-FR" w:eastAsia="en-GB"/>
              </w:rPr>
              <w:t>ST3</w:t>
            </w:r>
          </w:p>
        </w:tc>
        <w:tc>
          <w:tcPr>
            <w:tcW w:w="1431" w:type="dxa"/>
          </w:tcPr>
          <w:p w14:paraId="634611E0" w14:textId="284EEA4A"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6AC6CF34" w14:textId="33BC7DFD"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6B694E86" w14:textId="432AC952"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75</w:t>
            </w:r>
          </w:p>
        </w:tc>
        <w:tc>
          <w:tcPr>
            <w:tcW w:w="1203" w:type="dxa"/>
          </w:tcPr>
          <w:p w14:paraId="4DE9C735" w14:textId="79C0C31C"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{"citationID":"wVMo5O2y","properties":{"formattedCitation":"(Tissot et al., 2017)","plainCitation":"(Tissot et al., 2017)","noteIndex":0},"citationItems":[{"id":2695,"uris":["http://zotero.org/users/2311545/items/G8U6GW7T"],"uri":["http://zotero.org/users/2311545/items/G8U6GW7T"],"itemData":{"id":2695,"type":"article-journal","abstract":"This paper focuses on simulating environmental impacts on grapevine behavioral dynamics and vineyard management strategies. The methodology presented uses technology from geomatics object oriented databases and spatio-temporal data models. Our approach has two principle objectives, first, to simulate grapevine phenology and grape ripening under spatial and temporal environmental conditions and constraints and secondly, to simulate viticultural practices and adaptation strategies under various constraints (environmental, economical, socio-technical). The approach is based on a responsive agent-based structure where environmental conditions and constraints are considered as a set of forcing data (biophysical, socio-economic and regulatory data) that influences the modelled activities. The experiment was conducted in the regulated wine producing appellation Grand Cru \"Quarts de Chaume\", situated in the middle Loire Valley, France. All of the methodology, from the implementation of the knowledge database to the analysis of the first simulation, is presented in this paper.","container-title":"International Journal of Agricultural and Environmental Information Systems","DOI":"10.4018/IJAEIS.2017070101","ISSN":"1947-3192","issue":"3","journalAbbreviation":"Int. J. Agric. Environ. Inf. Syst.","language":"English","note":"WOS:000417448900001","page":"1-20","source":"Web of Science","title":"Modeling Environmental Impacts on Viticultural Ecosystems: A First Case Study in a Regulated Wine Producing Area","title-short":"Modeling Environmental Impacts on Viticultural Ecosystems","volume":"8","author":[{"family":"Tissot","given":"Cyril"},{"family":"Neethling","given":"Etienne"},{"family":"Rouan","given":"Mathias"},{"family":"Barbeau","given":"Gerard"},{"family":"Quenol","given":"Herve"},{"family":"Le Coq","given":"Celine"}],"issued":{"date-parts":[["2017",9]]}}}],"schema":"https://github.com/citation-style-language/schema/raw/master/csl-citation.json"}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(Tissot et al., 2017)</w:t>
            </w:r>
            <w:r>
              <w:rPr>
                <w:rFonts w:ascii="Calibri" w:eastAsia="Times New Roman" w:hAnsi="Calibri" w:cs="Calibri"/>
                <w:color w:val="000000"/>
                <w:sz w:val="16"/>
                <w:lang w:val="en-GB" w:eastAsia="en-GB"/>
              </w:rPr>
              <w:fldChar w:fldCharType="end"/>
            </w:r>
          </w:p>
        </w:tc>
        <w:tc>
          <w:tcPr>
            <w:tcW w:w="1269" w:type="dxa"/>
          </w:tcPr>
          <w:p w14:paraId="67E4C235" w14:textId="016D47FD"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943" w:type="dxa"/>
          </w:tcPr>
          <w:p w14:paraId="4BA6D753" w14:textId="2F3A3A8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w:t>
            </w:r>
          </w:p>
        </w:tc>
        <w:tc>
          <w:tcPr>
            <w:tcW w:w="1625" w:type="dxa"/>
          </w:tcPr>
          <w:p w14:paraId="550EC09D" w14:textId="600E5C8A"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Plant/Field/Region</w:t>
            </w:r>
          </w:p>
        </w:tc>
        <w:tc>
          <w:tcPr>
            <w:tcW w:w="1341" w:type="dxa"/>
          </w:tcPr>
          <w:p w14:paraId="64BC5BB1" w14:textId="2200FAB8"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r>
      <w:tr w:rsidR="00537A56" w:rsidRPr="00B01831" w14:paraId="13A68B24" w14:textId="29167642"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3FCC6138" w14:textId="4312AA7C"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21</w:t>
            </w:r>
          </w:p>
        </w:tc>
        <w:tc>
          <w:tcPr>
            <w:tcW w:w="1190" w:type="dxa"/>
            <w:hideMark/>
          </w:tcPr>
          <w:p w14:paraId="713D20F4" w14:textId="11F53E28" w:rsidR="00537A56" w:rsidRPr="006A4D7E"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{"citationID":"L70PHei0","properties":{"formattedCitation":"(Clingeleffer, 2010)","plainCitation":"(Clingeleffer, 2010)","noteIndex":0},"citationItems":[{"id":2324,"uris":["http://zotero.org/users/2311545/items/IHY2SPRB"],"uri":["http://zotero.org/users/2311545/items/IHY2SPRB"],"itemData":{"id":2324,"type":"article-journal","abstract":"Seasonal fluctuations in yield, grape composition and wine attributes, largely driven by variable climatic conditions, are major challenges for the wine industry aiming to meet consumer expectations for consistent supply, wine style and product quality. This paper will address known causes for this variability and identify management techniques, together with their limitations, that offer potential to modulate these responses. Results will be presented from research studies, conducted over a number of seasons, which link vineyard management practices with fruit composition and wine assessments. They show that there is potential to develop integrated systems to stabilise yield, fruit composition and wine quality attributes across seasons. These techniques include lighter pruning, deficit irrigation techniques and adoption of low-moderate vigour rootstocks which lead to reduced shoot vigour and the development of open canopies and small bunches with small berries, with enhanced colour, phenolics and sensory appeal; application of mechanical and chemical crop thinning techniques for yield stabilisation and promotion of early ripeness, colour and flavour development. However, the results also show that variability between seasons in many cases is much larger than can be achieved by modifying management practices. Hence, opportunities to use management practices to completely reduce the seasonal variability, particularly with respect to grape composition and wine attributes, factors largely affected by climatic conditions during berry development, may be limited. There exists significant potential in the longer term to use new varieties and rootstocks better adapted to variable and changing climatic conditions. It can be concluded that vineyard practices can be modified to stabilise yield, grape composition and wine attributes to varying degrees and hence, minimise the impact of variability in climatic conditions from season to season. In the longer term, the adoption of new varieties together with new rootstocks adapted to higher temperatures and limited water supply will assist the wine industry to cope with impacts of climate variability and change and address ever changing consumer expectations. A total systems approach to vineyard management offers potential to modulate seasonal fluctuations in yield, grape composition and wine quality attributes with significant benefit for an industry.","container-title":"Australian Journal of Grape and Wine Research","DOI":"10.1111/j.1755-0238.2009.00075.x","ISSN":"1755-0238","issue":"s1","language":"en","page":"25-32","source":"Wiley Online Library","title":"Plant management research: status and what it can offer to address challenges and limitations","title-short":"Plant management research","volume":"16","author":[{"family":"Clingeleffer","given":"P. R."}],"issued":{"date-parts":[["2010"]]}}}],"schema":"https://github.com/citation-style-language/schema/raw/master/csl-citation.json"}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(Clingeleffer, 2010)</w:t>
            </w:r>
            <w:r>
              <w:rPr>
                <w:rFonts w:ascii="Calibri" w:eastAsia="Times New Roman" w:hAnsi="Calibri" w:cs="Calibri"/>
                <w:color w:val="000000"/>
                <w:sz w:val="16"/>
                <w:lang w:val="en-GB" w:eastAsia="en-GB"/>
              </w:rPr>
              <w:fldChar w:fldCharType="end"/>
            </w:r>
          </w:p>
        </w:tc>
        <w:tc>
          <w:tcPr>
            <w:tcW w:w="859" w:type="dxa"/>
          </w:tcPr>
          <w:p w14:paraId="012D3114" w14:textId="74734AD9" w:rsidR="00537A56" w:rsidRPr="006A4D7E"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1710" w:type="dxa"/>
          </w:tcPr>
          <w:p w14:paraId="1C83A87A" w14:textId="43788258" w:rsidR="00537A56" w:rsidRPr="006A4D7E"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6A4D7E">
              <w:rPr>
                <w:rFonts w:ascii="Calibri" w:eastAsia="Times New Roman" w:hAnsi="Calibri" w:cs="Calibri"/>
                <w:color w:val="000000"/>
                <w:sz w:val="16"/>
                <w:lang w:val="en-GB" w:eastAsia="en-GB"/>
              </w:rPr>
              <w:t>LT3, ST1, LT2, ST3</w:t>
            </w:r>
          </w:p>
        </w:tc>
        <w:tc>
          <w:tcPr>
            <w:tcW w:w="1431" w:type="dxa"/>
          </w:tcPr>
          <w:p w14:paraId="3F74AD54" w14:textId="767ED725"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1255F6F4" w14:textId="613A33C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c>
          <w:tcPr>
            <w:tcW w:w="460" w:type="dxa"/>
          </w:tcPr>
          <w:p w14:paraId="22449652" w14:textId="3F9102FB"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76</w:t>
            </w:r>
          </w:p>
        </w:tc>
        <w:tc>
          <w:tcPr>
            <w:tcW w:w="1203" w:type="dxa"/>
          </w:tcPr>
          <w:p w14:paraId="48C1DFA7" w14:textId="653B2A8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{"citationID":"y4cp7HoF","properties":{"formattedCitation":"(Palliotti et al., 2014)","plainCitation":"(Palliotti et al., 2014)","noteIndex":0},"citationItems":[{"id":1337,"uris":["http://zotero.org/users/2311545/items/7Q9MB86X"],"uri":["http://zotero.org/users/2311545/items/7Q9MB86X"],"itemData":{"id":1337,"type":"article-journal","container-title":"Scientia Horticulturae","DOI":"10.1016/j.scienta.2014.07.039","ISSN":"03044238","language":"en","page":"43-54","source":"Crossref","title":"Changes in vineyard establishment and canopy management urged by earlier climate-related grape ripening: A review","title-short":"Changes in vineyard establishment and canopy management urged by earlier climate-related grape ripening","volume":"178","author":[{"family":"Palliotti","given":"Alberto"},{"family":"Tombesi","given":"Sergio"},{"family":"Silvestroni","given":"Oriana"},{"family":"Lanari","given":"Vania"},{"family":"Gatti","given":"Matteo"},{"family":"Poni","given":"Stefano"}],"issued":{"date-parts":[["2014",10]]}}}],"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(Palliotti et al., 2014)</w:t>
            </w:r>
            <w:r>
              <w:rPr>
                <w:rFonts w:ascii="Calibri" w:eastAsia="Times New Roman" w:hAnsi="Calibri" w:cs="Calibri"/>
                <w:color w:val="000000"/>
                <w:sz w:val="16"/>
                <w:lang w:val="en-GB" w:eastAsia="en-GB"/>
              </w:rPr>
              <w:fldChar w:fldCharType="end"/>
            </w:r>
          </w:p>
        </w:tc>
        <w:tc>
          <w:tcPr>
            <w:tcW w:w="1269" w:type="dxa"/>
          </w:tcPr>
          <w:p w14:paraId="3D7965AA" w14:textId="586F7379"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314B266D" w14:textId="4DFB51AE"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 LT3</w:t>
            </w:r>
          </w:p>
        </w:tc>
        <w:tc>
          <w:tcPr>
            <w:tcW w:w="1625" w:type="dxa"/>
          </w:tcPr>
          <w:p w14:paraId="4D865A2E" w14:textId="6D706331"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Plant/Region</w:t>
            </w:r>
          </w:p>
        </w:tc>
        <w:tc>
          <w:tcPr>
            <w:tcW w:w="1341" w:type="dxa"/>
          </w:tcPr>
          <w:p w14:paraId="5DC39D76" w14:textId="0B9A341B"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5574A801" w14:textId="347CAFC1"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7734A57D" w14:textId="1DC75A3E"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22</w:t>
            </w:r>
          </w:p>
        </w:tc>
        <w:tc>
          <w:tcPr>
            <w:tcW w:w="1190" w:type="dxa"/>
            <w:hideMark/>
          </w:tcPr>
          <w:p w14:paraId="3A1E5108" w14:textId="00BBF575"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{"citationID":"g9rwEhaJ","properties":{"formattedCitation":"(Baronti et al., 2014)","plainCitation":"(Baronti et al., 2014)","noteIndex":0},"citationItems":[{"id":2291,"uris":["http://zotero.org/users/2311545/items/J5Y4L9SZ"],"uri":["http://zotero.org/users/2311545/items/J5Y4L9SZ"],"itemData":{"id":2291,"type":"article-journal","abstract":"Soil water status plays an important role in growth-yield and grape quality of Vitis vinifera (L.). In some cases, periods of moderate water stress have been indicated to exert a positive effect on the quality of grape production. However, prolonged water stress may have a strong negative affect grapevine photosynthesis and grape yield, especially in dry Mediterranean environments. Biochar is a co-product of a thermochemical conversion of biomass that is recognized to be a beneficial soil amendment, which when incorporated into the soil increases soil water retention. We investigated the effect of two rates of biochar application (22 and 44tonha−1) on plant water relations of V. vinifera in a field experiment in central Italy. Biochar obtained from the carbonization of orchard pruning waste was applied to the soil over two consecutive growing seasons. The treatments did not show a significant increase in soil hydrophobicity. Moreover, soil analysis and ecophysiological measurements indicated a substantial relative increases in available soil water content compared to control soils (from 3.2% to 45% in the 22 and 44tonha−1 application rates, respectively) and in leaf water potential (24–37%) during droughts.","container-title":"European Journal of Agronomy","DOI":"10.1016/j.eja.2013.11.003","ISSN":"1161-0301","journalAbbreviation":"European Journal of Agronomy","page":"38-44","source":"ScienceDirect","title":"Impact of biochar application on plant water relations in Vitis vinifera (L.)","volume":"53","author":[{"family":"Baronti","given":"S."},{"family":"Vaccari","given":"F. P."},{"family":"Miglietta","given":"F."},{"family":"Calzolari","given":"C."},{"family":"Lugato","given":"E."},{"family":"Orlandini","given":"S."},{"family":"Pini","given":"R."},{"family":"Zulian","given":"C."},{"family":"Genesio","given":"L."}],"issued":{"date-parts":[["2014",2,1]]}}}],"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(Baronti et al., 2014)</w:t>
            </w:r>
            <w:r>
              <w:rPr>
                <w:rFonts w:ascii="Calibri" w:eastAsia="Times New Roman" w:hAnsi="Calibri" w:cs="Calibri"/>
                <w:color w:val="000000"/>
                <w:sz w:val="16"/>
                <w:lang w:val="en-GB" w:eastAsia="en-GB"/>
              </w:rPr>
              <w:fldChar w:fldCharType="end"/>
            </w:r>
          </w:p>
        </w:tc>
        <w:tc>
          <w:tcPr>
            <w:tcW w:w="859" w:type="dxa"/>
          </w:tcPr>
          <w:p w14:paraId="1F1C34BD" w14:textId="060B4D30"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01C9E499" w14:textId="3DC08E34"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ST2</w:t>
            </w:r>
          </w:p>
        </w:tc>
        <w:tc>
          <w:tcPr>
            <w:tcW w:w="1431" w:type="dxa"/>
          </w:tcPr>
          <w:p w14:paraId="40A9781F" w14:textId="7B10A478"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33A3B9A1" w14:textId="10E1C745"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1FF9F2BA" w14:textId="188CA3D5"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77</w:t>
            </w:r>
          </w:p>
        </w:tc>
        <w:tc>
          <w:tcPr>
            <w:tcW w:w="1203" w:type="dxa"/>
          </w:tcPr>
          <w:p w14:paraId="3ADB19F1" w14:textId="3050D2EA"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{"citationID":"6fxfNJzQ","properties":{"formattedCitation":"(Tomaz et al., 2017)","plainCitation":"(Tomaz et al., 2017)","noteIndex":0},"citationItems":[{"id":2344,"uris":["http://zotero.org/users/2311545/items/S9YVYQ3F"],"uri":["http://zotero.org/users/2311545/items/S9YVYQ3F"],"itemData":{"id":2344,"type":"article-journal","abstract":"As a result of its physiological characteristics, vine’s yield and quality responses are greatly affected by water availability in the soil. Knowledge about water uptake of grapevines in pedoclimatic conditions of high water availability is essential when considering the increasing use of irrigation in a previously rainfed crop. We studied the water uptake of irrigated grapevines under different soil covers. The study was carried out over 2 years in southern Portugal, a Mediterranean climate region, in ‘Aragonez’ grapevines planted in Vertisols. A cover crop was sown in half the area while maintaining the permanent resident vegetation in the remaining area. Five levels of annual irrigation supply were applied: 200, 150, 100 and 50 mm, and no irrigation. Soil moisture was monitored every 2 or 3 weeks, and weekly after the start of irrigation. Results show that water uptake in the interrows did not cease after the beginning of irrigation. Water uptake by the vines occurred to depths of approximately 3 m, hence 7.5 times greater than the cover crop root system depth. Results suggest that over time, the presence of the cover crop forces the vine root system, mainly its thinner roots, to seek water in increasingly deeper soil compartments. Copyright © 2017 John Wiley &amp; Sons, Ltd.","container-title":"Irrigation and Drainage","DOI":"10.1002/ird.2115","ISSN":"15310353","issue":"3","journalAbbreviation":"Irrig. and Drain.","language":"en","page":"387-395","source":"DOI.org (Crossref)","title":"Influence of cover cropping on water uptake dynamics in an irrigated Mediterranean vineyard: Cover Cropping and Water Uptake Dynamics","title-short":"Influence of cover cropping on water uptake dynamics in an irrigated Mediterranean vineyard","volume":"66","author":[{"family":"Tomaz","given":"A."},{"family":"Pacheco","given":"C.A."},{"family":"Coleto Martinez","given":"J.M."}],"issued":{"date-parts":[["2017",7]]}}}],"schema":"https://github.com/citation-style-language/schema/raw/master/csl-citation.json"}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(Tomaz et al., 2017)</w:t>
            </w:r>
            <w:r>
              <w:rPr>
                <w:rFonts w:ascii="Calibri" w:eastAsia="Times New Roman" w:hAnsi="Calibri" w:cs="Calibri"/>
                <w:color w:val="000000"/>
                <w:sz w:val="16"/>
                <w:lang w:val="en-GB" w:eastAsia="en-GB"/>
              </w:rPr>
              <w:fldChar w:fldCharType="end"/>
            </w:r>
          </w:p>
        </w:tc>
        <w:tc>
          <w:tcPr>
            <w:tcW w:w="1269" w:type="dxa"/>
          </w:tcPr>
          <w:p w14:paraId="66ECF722" w14:textId="46ADDC7F"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943" w:type="dxa"/>
          </w:tcPr>
          <w:p w14:paraId="53503CE4" w14:textId="753E025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ST2</w:t>
            </w:r>
          </w:p>
        </w:tc>
        <w:tc>
          <w:tcPr>
            <w:tcW w:w="1625" w:type="dxa"/>
          </w:tcPr>
          <w:p w14:paraId="14AFE00D" w14:textId="5C2A300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2E6F4A91" w14:textId="59820184"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490D95AF" w14:textId="7E8C7324"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775E15FC" w14:textId="78F2A67F"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23</w:t>
            </w:r>
          </w:p>
        </w:tc>
        <w:tc>
          <w:tcPr>
            <w:tcW w:w="1190" w:type="dxa"/>
            <w:hideMark/>
          </w:tcPr>
          <w:p w14:paraId="601F7DBB" w14:textId="0131D6ED"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{"citationID":"Z4zRcyi3","properties":{"formattedCitation":"(Fuhrer et al., 2014)","plainCitation":"(Fuhrer et al., 2014)","noteIndex":0},"citationItems":[{"id":2710,"uris":["http://zotero.org/users/2311545/items/7FEBWDME"],"uri":["http://zotero.org/users/2311545/items/7FEBWDME"],"itemData":{"id":2710,"type":"article-journal","abstract":"Coping with climate change in agriculture requires knowledge of trends in agro-climatic conditions with a focus at the smaller scales where decisions are taken. As part of the EU FP7 ACQWA project, the situation was analyzed for agriculture in the case of the Swiss Rhone catchment (Valais) where cultivation of permanent crops (orchards and vineyards) and livestock production are the most important agro-economic activities. The aim of this study was to use daily data from four downscaled and bias corrected transient climate change scenarios to analyze changes in water and temperature related indices over the period 1951–2050 for three locations (Aigle, Sion, Montana) that are representative of different production zones in the catchment. The results indicate that most relevant implications are caused by projected changes in temperature and not in precipitation. They indicate an extension of the thermal growing season with potentially positive effects on pasture and livestock production, most pronounced at the mountain site (Montana), but a trend towards increasing risks of frost in permanent crops and in heat stress for livestock at the valley bottom (Aigle, Sion). The increase in water requirement for irrigation in 2021–2050 relative to 1981–2009 is moderate (4–16%, depending on location). However, in years with low amounts of snow and rain, in small catchments with a nival regime, reduced water supply by rivers could restrict the surface area of grassland that can be irrigated, particularly during springtime. It is concluded that coping with heat-related risks may be most needed at the lower cropland and pasture sites while water-related issues would become more relevant in more elevated locations where pasture-based livestock production is the dominant type of agricultural land use.","container-title":"Science of The Total Environment","DOI":"10.1016/j.scitotenv.2013.06.038","ISSN":"0048-9697","journalAbbreviation":"Science of The Total Environment","page":"1232-1241","source":"ScienceDirect","title":"Implications of climate change scenarios for agriculture in alpine regions — A case study in the Swiss Rhone catchment","volume":"493","author":[{"family":"Fuhrer","given":"J."},{"family":"Smith","given":"P."},{"family":"Gobiet","given":"A."}],"issued":{"date-parts":[["2014",9,15]]}}}],"schema":"https://github.com/citation-style-language/schema/raw/master/csl-citation.json"} </w:instrText>
            </w:r>
            <w:r>
              <w:rPr>
                <w:rFonts w:ascii="Calibri" w:eastAsia="Times New Roman" w:hAnsi="Calibri" w:cs="Calibri"/>
                <w:color w:val="000000"/>
                <w:sz w:val="16"/>
                <w:lang w:val="en-GB" w:eastAsia="en-GB"/>
              </w:rPr>
              <w:fldChar w:fldCharType="separate"/>
            </w:r>
            <w:r w:rsidRPr="006A4D7E">
              <w:rPr>
                <w:rFonts w:ascii="Calibri" w:hAnsi="Calibri"/>
                <w:sz w:val="16"/>
              </w:rPr>
              <w:t>(Fuhrer et al., 2014)</w:t>
            </w:r>
            <w:r>
              <w:rPr>
                <w:rFonts w:ascii="Calibri" w:eastAsia="Times New Roman" w:hAnsi="Calibri" w:cs="Calibri"/>
                <w:color w:val="000000"/>
                <w:sz w:val="16"/>
                <w:lang w:val="en-GB" w:eastAsia="en-GB"/>
              </w:rPr>
              <w:fldChar w:fldCharType="end"/>
            </w:r>
          </w:p>
        </w:tc>
        <w:tc>
          <w:tcPr>
            <w:tcW w:w="859" w:type="dxa"/>
          </w:tcPr>
          <w:p w14:paraId="1E966DA9" w14:textId="7A9CE2B5"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Suisse</w:t>
            </w:r>
          </w:p>
        </w:tc>
        <w:tc>
          <w:tcPr>
            <w:tcW w:w="1710" w:type="dxa"/>
          </w:tcPr>
          <w:p w14:paraId="519F0A8B" w14:textId="181FFF6B"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431" w:type="dxa"/>
          </w:tcPr>
          <w:p w14:paraId="75460298" w14:textId="48827D83"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137" w:type="dxa"/>
          </w:tcPr>
          <w:p w14:paraId="6649E0BF" w14:textId="40A6515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329203FC" w14:textId="2F563E8A"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78</w:t>
            </w:r>
          </w:p>
        </w:tc>
        <w:tc>
          <w:tcPr>
            <w:tcW w:w="1203" w:type="dxa"/>
          </w:tcPr>
          <w:p w14:paraId="5D6A5CC0" w14:textId="527E7818"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{"citationID":"GVIlexwO","properties":{"formattedCitation":"(Torres et al., 2017)","plainCitation":"(Torres et al., 2017)","noteIndex":0},"citationItems":[{"id":2807,"uris":["http://zotero.org/users/2311545/items/DZERB8VY"],"uri":["http://zotero.org/users/2311545/items/DZERB8VY"],"itemData":{"id":2807,"type":"article-journal","abstract":"Throughout the southern Mediterranean regions of Europe, projected climate warming combined with severe droughts during the growing season may alter grape metabolism, thus modifying the nutritional value of berries and the quality of wines. This study investigated the effects of pre- and post-veraison drought under elevated temperatures on berry skin metabolism of two Tempranillo clones (CL). Experimental assays were performed on fruit-bearing cuttings from CL-1089 and CL-843 of Vitis vinifera (L.) cv. Tempranillo subjected to two temperature regimes (24/14°C or 28/18°C (day/night)) combined with three irrigation regimes during berry ripening: (i) water deficit from fruit set to veraison (early deficit, ED); (ii) water deficit from veraison to maturity (late deficit, LD); and (iii) full irrigation (FI). At 24/14°C, the LD treatment performed better than the ED treatment. Differences were attenuated at 28/18°C and responses were modulated by type of clone. Elevated temperatures induced the accumulation of hexoses and amino acids in berries. ED at 24/14°C reduced anthocyanins and flavonols, which may decrease the antioxidant properties of fruits. In contrast, the levels of these secondary metabolites did not decrease when LD was applied. Our results suggest that the adaptation of grapevines for climate change might be plausible with the optimization of timing of water deficit and the appropriate selection of clones.","container-title":"Journal of Food Composition and Analysis","DOI":"10.1016/j.jfca.2017.05.001","ISSN":"0889-1575","journalAbbreviation":"Journal of Food Composition and Analysis","page":"51-62","source":"ScienceDirect","title":"Flavonoid and amino acid profiling on Vitis vinifera L. cv Tempranillo subjected to deficit irrigation under elevated temperatures","volume":"62","author":[{"family":"Torres","given":"Nazareth"},{"family":"Hilbert","given":"Ghislaine"},{"family":"Luquin","given":"Josu"},{"family":"Goicoechea","given":"Nieves"},{"family":"Antolín","given":"M. Carmen"}],"issued":{"date-parts":[["2017",9,1]]}}}],"schema":"https://github.com/citation-style-language/schema/raw/master/csl-citation.json"}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(Torres et al., 2017)</w:t>
            </w:r>
            <w:r>
              <w:rPr>
                <w:rFonts w:ascii="Calibri" w:eastAsia="Times New Roman" w:hAnsi="Calibri" w:cs="Calibri"/>
                <w:color w:val="000000"/>
                <w:sz w:val="16"/>
                <w:lang w:val="en-GB" w:eastAsia="en-GB"/>
              </w:rPr>
              <w:fldChar w:fldCharType="end"/>
            </w:r>
          </w:p>
        </w:tc>
        <w:tc>
          <w:tcPr>
            <w:tcW w:w="1269" w:type="dxa"/>
          </w:tcPr>
          <w:p w14:paraId="27247482" w14:textId="16F0DCE4"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63AA58ED" w14:textId="2BD1B54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LT2</w:t>
            </w:r>
          </w:p>
        </w:tc>
        <w:tc>
          <w:tcPr>
            <w:tcW w:w="1625" w:type="dxa"/>
          </w:tcPr>
          <w:p w14:paraId="56197AD0" w14:textId="0CF1A15E"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6D2A1D71" w14:textId="2CC83DEF"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66E23D88" w14:textId="03B87183"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2934341E" w14:textId="46928502"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24</w:t>
            </w:r>
          </w:p>
        </w:tc>
        <w:tc>
          <w:tcPr>
            <w:tcW w:w="1190" w:type="dxa"/>
            <w:hideMark/>
          </w:tcPr>
          <w:p w14:paraId="2E804E8A" w14:textId="15E9A96D"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{"citationID":"nPCCBG4U","properties":{"formattedCitation":"(Londo and Johnson, 2014)","plainCitation":"(Londo and Johnson, 2014)","noteIndex":0},"citationItems":[{"id":3193,"uris":["http://zotero.org/users/2311545/items/S8RZJ7JD"],"uri":["http://zotero.org/users/2311545/items/S8RZJ7JD"],"itemData":{"id":3193,"type":"article-journal","abstract":"Cultivated grapevine (Vitis vinifera) is one of the most important agricultural fruit crops in the world and grapevines are often grown in environments very different than the Mediterranean climate from where they were domesticated. To meet the environmental demands of varied climate, grapevine breeders often utilize wild grapevine species for adaptive traits, particularly in regard to abiotic stress resistance. In this study, we characterized both the chilling requirement and days to budburst phenotypes in wild grapevine species. Using survival analysis, we examined the effect of varied lengths of low temperature on budburst in 27 different genotypes of grapevine, including seven wild grapevine species, three cultivated grape varieties, and four hybrid varieties. Results of our two-year study demonstrate a wide range in both intraspecific and interspecific variation in these traits. Trends within the data allow us to categorize low and high chill species. Correlated with these categories are fast and slow maximal budburst phenotypes. When compared with geographic distribution of species and genotypes, patterns between northern and southern populations suggest that chilling requirement and budburst rate are adaptive traits.","collection-title":"The Biology of Plant Cold Hardiness: Adaptive Strategies","container-title":"Environmental and Experimental Botany","DOI":"10.1016/j.envexpbot.2013.12.012","ISSN":"0098-8472","journalAbbreviation":"Environmental and Experimental Botany","language":"en","page":"138-147","source":"ScienceDirect","title":"Variation in the chilling requirement and budburst rate of wild Vitis species","volume":"106","author":[{"family":"Londo","given":"Jason P."},{"family":"Johnson","given":"Lynn M."}],"issued":{"date-parts":[["2014",10,1]]}}}],"schema":"https://github.com/citation-style-language/schema/raw/master/csl-citation.json"}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(Londo and Johnson, 2014)</w:t>
            </w:r>
            <w:r>
              <w:rPr>
                <w:rFonts w:ascii="Calibri" w:eastAsia="Times New Roman" w:hAnsi="Calibri" w:cs="Calibri"/>
                <w:color w:val="000000"/>
                <w:sz w:val="16"/>
                <w:lang w:val="en-GB" w:eastAsia="en-GB"/>
              </w:rPr>
              <w:fldChar w:fldCharType="end"/>
            </w:r>
          </w:p>
        </w:tc>
        <w:tc>
          <w:tcPr>
            <w:tcW w:w="859" w:type="dxa"/>
          </w:tcPr>
          <w:p w14:paraId="053A1FE0" w14:textId="6FB22366"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1710" w:type="dxa"/>
          </w:tcPr>
          <w:p w14:paraId="6AE3D680" w14:textId="0BF9B24E"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08A79785" w14:textId="5115F669"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1EFB4F86" w14:textId="478B8E69"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3CF2F3C9" w14:textId="11B34EC8"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79</w:t>
            </w:r>
          </w:p>
        </w:tc>
        <w:tc>
          <w:tcPr>
            <w:tcW w:w="1203" w:type="dxa"/>
          </w:tcPr>
          <w:p w14:paraId="2C894328" w14:textId="34B0252F"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{"citationID":"9E873ySh","properties":{"formattedCitation":"(Bigard et al., 2018)","plainCitation":"(Bigard et al., 2018)","noteIndex":0},"citationItems":[{"id":2498,"uris":["http://zotero.org/users/2311545/items/M3LZI2SZ"],"uri":["http://zotero.org/users/2311545/items/M3LZI2SZ"],"itemData":{"id":2498,"type":"article-journal","abstract":"The wine industry is facing critical issues due to climate changes since production is established on very tight Genotype x Environment interaction bases. While, some cultivation practices may reduce adverse effects of abiotic stresses on the vines, e.g., the use of irrigation to mitigate drought, the deleterious impacts of warming on fruit development are difficult to manage. Elevated temperature alters grapevine fruit growth and composition, with a critical increase of the sugars/organic acids ratio. Select grapes with improved metabolite balances to offset high temperature effects is a valuable option to sustain viticulture. Unfortunately, the lack of knowledge about the genetic diversity for fruit traits impacted by temperature impairs the design of breeding programs. This study aimed to assess the variation in berry volume, main sugars and organic acids amounts in genetic resources. Fruit phenotyping focused on two critical stages of development: the end of green lag phase when organic acidity reaches its maximum, and the ripe stage when sugar unloading and water uptake stop. For that purpose, we studied a panel of 33 genotypes, including 12 grapevine varieties and 21 microvine offspring. To determine the date of sampling for each critical stage, fruit texture and growth were carefully monitored. Analyses at both stages revealed large phenotypic variation for malic and tartaric acids, as well as for sugars and berry size. At ripe stage, fruit fresh weight ranged from 1.04 to 5.25 g and sugar concentration from 751 to 1353 mmol. L-1. The content in orga</w:instrText>
            </w:r>
            <w:r w:rsidRPr="00AD2ABD">
              <w:rPr>
                <w:rFonts w:ascii="Calibri" w:eastAsia="Times New Roman" w:hAnsi="Calibri" w:cs="Calibri"/>
                <w:color w:val="000000"/>
                <w:sz w:val="16"/>
                <w:lang w:val="en-GB" w:eastAsia="en-GB"/>
              </w:rPr>
              <w:instrText xml:space="preserve">nic acids varied both in quantity (from 80 to 361 meq.L-1) and in composition, with malic to tartaric acid ratio ranging from 0.13 to 3.62. At the inter-genotypic level, data showed no link between berry growth and osmoticum accumulation per fruit unit, suggesting that berry water uptake is not dependent only on fruit osmotic potential. Diversity among varieties for berry size, sugar accumulation and malic to tartaric acid ratio could be exploited through cross- breeding. This provides interesting prospects for improving grapevine to mitigate some adverse effects of climate warming on grapevine fruit volume and quality.","container-title":"Frontiers in Plant Science","DOI":"10.3389/fpls.2018.00455","ISSN":"1664-462X","journalAbbreviation":"Front. Plant Sci.","language":"English","note":"WOS:000431132000001","page":"455","source":"Web of Science","title":"Vitis vinifera L. Fruit Diversity to Breed Varieties Anticipating Climate Changes","volume":"9","author":[{"family":"Bigard","given":"Antoine"},{"family":"Berhe","given":"Dargie T."},{"family":"Maoddi","given":"Eleonora"},{"family":"Sire","given":"Yannick"},{"family":"Boursiquot","given":"Jean-Michel"},{"family":"Ojeda","given":"Hernan"},{"family":"Peros","given":"Jean-Pierre"},{"family":"Doligez","given":"Agnes"},{"family":"Romieu","given":"Charles"},{"family":"Torregrosa","given":"Laurent"}],"issued":{"date-parts":[["2018",5,1]]}}}],"schema":"https://github.com/citation-style-language/schema/raw/master/csl-citation.json"} </w:instrText>
            </w:r>
            <w:r>
              <w:rPr>
                <w:rFonts w:ascii="Calibri" w:eastAsia="Times New Roman" w:hAnsi="Calibri" w:cs="Calibri"/>
                <w:color w:val="000000"/>
                <w:sz w:val="16"/>
                <w:lang w:val="fr-FR" w:eastAsia="en-GB"/>
              </w:rPr>
              <w:fldChar w:fldCharType="separate"/>
            </w:r>
            <w:r w:rsidRPr="00AD2ABD">
              <w:rPr>
                <w:rFonts w:ascii="Calibri" w:hAnsi="Calibri"/>
                <w:sz w:val="16"/>
              </w:rPr>
              <w:t>(Bigard et al., 2018)</w:t>
            </w:r>
            <w:r>
              <w:rPr>
                <w:rFonts w:ascii="Calibri" w:eastAsia="Times New Roman" w:hAnsi="Calibri" w:cs="Calibri"/>
                <w:color w:val="000000"/>
                <w:sz w:val="16"/>
                <w:lang w:val="fr-FR" w:eastAsia="en-GB"/>
              </w:rPr>
              <w:fldChar w:fldCharType="end"/>
            </w:r>
          </w:p>
        </w:tc>
        <w:tc>
          <w:tcPr>
            <w:tcW w:w="1269" w:type="dxa"/>
          </w:tcPr>
          <w:p w14:paraId="7028BB74" w14:textId="3156C7C2"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943" w:type="dxa"/>
          </w:tcPr>
          <w:p w14:paraId="5586E703" w14:textId="3C96618A"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625" w:type="dxa"/>
          </w:tcPr>
          <w:p w14:paraId="7571737B" w14:textId="675EC084"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55E77300" w14:textId="390C85FC"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14480965" w14:textId="2B339A9F"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105F81EC" w14:textId="5DD5EB38"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25</w:t>
            </w:r>
          </w:p>
        </w:tc>
        <w:tc>
          <w:tcPr>
            <w:tcW w:w="1190" w:type="dxa"/>
            <w:hideMark/>
          </w:tcPr>
          <w:p w14:paraId="38A9920B" w14:textId="44A7F931"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{"citationID":"2SFNoz6x","properties":{"formattedCitation":"(Costa et al., 2016)","plainCitation":"(Costa et al., 2016)","noteIndex":0},"citationItems":[{"id":1964,"uris":["http://zotero.org/users/2311545/items/NTM4E67N"],"uri":["http://zotero.org/users/2311545/items/NTM4E67N"],"itemData":{"id":1964,"type":"article-journal","abstract":"Water is now considered the most important but vulnerable resource in the Mediterranean region. Nevertheless, irrigation expanded fast in the region (e.g. South Portugal and Spain) to mitigate environmental stress and to guarantee stable grape yield and quality. Sustainable wine production depends on sustainable water use in the wine’s supply chain, from the vine to the bottle. Better understanding of grapevine stress physiology (e.g. water relations, temperature regulation, water use efﬁciency), more robust crop monitoring/phenotyping and implementation of best water management practices will help to mitigate climate effects and will enable signiﬁcant water savings in the vineyard and winery. In this paper, we focused on the major vulnerabilities and opportunities of South European Mediterranean viticulture (e.g. in Portugal and Spain) and present a multi-level strategy (from plant to the consumer) to overcome region’s weaknesses and support strategies for adaptation to water scarcity, promote sustainable water use and minimize the environmental impact of the sector.","container-title":"Agricultural Water Management","DOI":"10.1016/j.agwat.2015.08.021","ISSN":"03783774","language":"en","page":"5-18","source":"Crossref","title":"Modern viticulture in southern Europe: Vulnerabilities and strategies for adaptation to water scarcity","title-short":"Modern viticulture in southern Europe","volume":"164","author":[{"family":"Costa","given":"J.M."},{"family":"Vaz","given":"M."},{"family":"Escalona","given":"J."},{"family":"Egipto","given":"R."},{"family":"Lopes","given":"C."},{"family":"Medrano","given":"H."},{"family":"Chaves","given":"M.M."}],"issued":{"date-parts":[["2016",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(Costa et al., 2016)</w:t>
            </w:r>
            <w:r>
              <w:rPr>
                <w:rFonts w:ascii="Calibri" w:eastAsia="Times New Roman" w:hAnsi="Calibri" w:cs="Calibri"/>
                <w:color w:val="000000"/>
                <w:sz w:val="16"/>
                <w:lang w:val="en-GB" w:eastAsia="en-GB"/>
              </w:rPr>
              <w:fldChar w:fldCharType="end"/>
            </w:r>
          </w:p>
        </w:tc>
        <w:tc>
          <w:tcPr>
            <w:tcW w:w="859" w:type="dxa"/>
          </w:tcPr>
          <w:p w14:paraId="7B15A4D5" w14:textId="200504C1"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1710" w:type="dxa"/>
          </w:tcPr>
          <w:p w14:paraId="063D61C8" w14:textId="21E57712"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ST2</w:t>
            </w:r>
          </w:p>
        </w:tc>
        <w:tc>
          <w:tcPr>
            <w:tcW w:w="1431" w:type="dxa"/>
          </w:tcPr>
          <w:p w14:paraId="7BD436BC" w14:textId="529B0298"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Plant/Field/Region</w:t>
            </w:r>
          </w:p>
        </w:tc>
        <w:tc>
          <w:tcPr>
            <w:tcW w:w="1137" w:type="dxa"/>
          </w:tcPr>
          <w:p w14:paraId="24A538CC" w14:textId="4FE32C22"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c>
          <w:tcPr>
            <w:tcW w:w="460" w:type="dxa"/>
          </w:tcPr>
          <w:p w14:paraId="5E5A5CC2" w14:textId="640FFB6A"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80</w:t>
            </w:r>
          </w:p>
        </w:tc>
        <w:tc>
          <w:tcPr>
            <w:tcW w:w="1203" w:type="dxa"/>
          </w:tcPr>
          <w:p w14:paraId="0690F496" w14:textId="410EFD7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{"citationID":"UuugqRBQ","properties":{"formattedCitation":"(Bonada et al., 2018)","plainCitation":"(Bonada et al., 2018)","noteIndex":0},"citationItems":[{"id":2501,"uris":["http://zotero.org/users/2311545/items/MC867Z25"],"uri":["http://zotero.org/users/2311545/items/MC867Z25"],"itemData":{"id":2501,"type":"article-journal","abstract":"Anticipating vineyard irrigation requirements in future climates is of strategic importance to maintain sustainability and wine regional identity. In the context of worldwide warming and climate-driven shifts in amount and seasonality of rainfall, we investigate the interactive effects of warming and water deficit on Shiraz vine transpiration under the conditions of the Barossa Valley, Australia. Transpiration of Shiraz vines was measured with thermal dissipation sap flow probes in a factorial experiment combining two thermal (heated with open-top chambers and control at ambient temperature) and two water regimes (wet and dry). Increased vapour pressure deficit (VPD) and canopy size in heated vines led to higher transpiration rates in irrigated vines during the first season. However, faster depletion of soil water by highly transpiring vines, followed by insufficient soil water replenishment by rain and irrigation, resulted in a negative feedback on vine transpiration the following season when heated vines were more water stressed than controls. The effect of warming was thus reversed the second season, with higher transpiration under ambient temperature. Therefore, dry soil, we suggest, could over-ride the effect of warming on the other variables driving transpiration (VPD, canopy size, and possibly stomatal conductance). Water scheduling will need to incorporate increased water demand under elevated temperature to maintain grapevine production in the long term.","container-title":"Oeno One","DOI":"10.20870/oeno-one.2018.52.2.2141","ISSN":"2494-1271","issue":"2","journalAbbreviation":"OENE One","language":"English","note":"WOS:000438934600006","source":"Web of Science","title":"Interactive effects of warming and water deficit on Shiraz vine transpiration in the Barossa Valley, Australia","volume":"52","author":[{"family":"Bonada","given":"Marcos"},{"family":"Buesa","given":"Ignacio"},{"family":"Moran","given":"Martin A."},{"family":"Sadras","given":"Victor O."}],"issued":{"date-parts":[["2018"]]}}}],"schema":"https://github.com/citation-style-language/schema/raw/master/csl-citation.json"}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(Bonada et al., 2018)</w:t>
            </w:r>
            <w:r>
              <w:rPr>
                <w:rFonts w:ascii="Calibri" w:eastAsia="Times New Roman" w:hAnsi="Calibri" w:cs="Calibri"/>
                <w:color w:val="000000"/>
                <w:sz w:val="16"/>
                <w:lang w:val="en-GB" w:eastAsia="en-GB"/>
              </w:rPr>
              <w:fldChar w:fldCharType="end"/>
            </w:r>
          </w:p>
        </w:tc>
        <w:tc>
          <w:tcPr>
            <w:tcW w:w="1269" w:type="dxa"/>
          </w:tcPr>
          <w:p w14:paraId="1D1B8157" w14:textId="693A2867"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943" w:type="dxa"/>
          </w:tcPr>
          <w:p w14:paraId="045B4DC1" w14:textId="65AC468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60A3C85B" w14:textId="571F29A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75BF9482" w14:textId="618DCDE6"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7A4898E2" w14:textId="51B13BC2"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2A9D1ED7" w14:textId="4A2501D0"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26</w:t>
            </w:r>
          </w:p>
        </w:tc>
        <w:tc>
          <w:tcPr>
            <w:tcW w:w="1190" w:type="dxa"/>
            <w:hideMark/>
          </w:tcPr>
          <w:p w14:paraId="7FCCE546" w14:textId="1DEBE60C" w:rsidR="00537A56" w:rsidRPr="006A4D7E"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{"citationID":"IshHnfG6","properties":{"formattedCitation":"(Meggio et al., 2014)","plainCitation":"(Meggio et al., 2014)","noteIndex":0},"citationItems":[{"id":2758,"uris":["http://zotero.org/users/2311545/items/YNXTJWXV"],"uri":["http://zotero.org/users/2311545/items/YNXTJWXV"],"itemData":{"id":2758,"type":"article-journal","abstract":"Background and Aims In the light of possible climate change, a crucial aspect for future Mediterranean Europe viticulture is the selection of new rootstocks exhibiting adaptability to drought and salt stress. In this context and considering recent literature, it is fundamental to increase our knowledge of the biochemical and physiological events that characterise stress responses in grapevine roots. In this study, leaf and root responses induced by water stress (WS) and sodium chloride (NaCl) exposure in a new selected genotype, named M4 (Vitis vinifera × V. berlandieri) × V. berlandieri cv. Resseguier n. 1), were compared with those of the commercial rootstock 101.14. Methods and Results The effect of progressive WS and NaCl exposure was studied under controlled environmental conditions on ungrafted plants grown in pots. Shoot growth, plant water status and leaf photosynthetic parameters were measured. The concentration of sugars, amino acids and total proteins, as well as the concentration of the more abundant ions, was determined in both leaf and root organs. The M4 genotype showed greater capacity to maintain photosynthetic activity, to accumulate osmotic compounds as well as to counteract Na and Cl accumulation. Conclusion The M4 genotype exhibited a greater capacity to tolerate both WS and exposure to an increasing concentration of Na and Cl, maintaining photosynthetic activity also under severe stress conditions. The root system appeared to play a central role in sustaining biochemical and physiological responses experienced under these adverse conditions. Significance of the Study This study showed that the tolerance to abiotic stress conditions, such as WS and NaCl exposure, depends on root integrity/functionality, confirming that these aspects must be considered in further selection programs.","container-title":"Australian Journal of Grape and Wine Research","DOI":"10.1111/ajgw.12071","ISSN":"1755-0238","issue":"2","language":"en","page":"310-323","source":"Wiley Online Library","title":"Biochemical and physiological responses of two grapevine rootstock genotypes to drought and salt treatments","volume":"20","author":[{"family":"Meggio","given":"F."},{"family":"Prinsi","given":"B."},{"family":"Negri","given":"A. S."},{"family":"Lorenzo","given":"G. Simone Di"},{"family":"Lucchini","given":"G."},{"family":"Pitacco","given":"A."},{"family":"Failla","given":"O."},{"family":"Scienza","given":"A."},{"family":"Cocucci","given":"M."},{"family":"Espen","given":"L."}],"issued":{"date-parts":[["2014"]]}}}],"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(Meggio et al., 2014)</w:t>
            </w:r>
            <w:r>
              <w:rPr>
                <w:rFonts w:ascii="Calibri" w:eastAsia="Times New Roman" w:hAnsi="Calibri" w:cs="Calibri"/>
                <w:color w:val="000000"/>
                <w:sz w:val="16"/>
                <w:lang w:val="en-GB" w:eastAsia="en-GB"/>
              </w:rPr>
              <w:fldChar w:fldCharType="end"/>
            </w:r>
          </w:p>
        </w:tc>
        <w:tc>
          <w:tcPr>
            <w:tcW w:w="859" w:type="dxa"/>
          </w:tcPr>
          <w:p w14:paraId="1FB30584" w14:textId="7B942DF6"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66A05B3C" w14:textId="08618188"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4566FED4" w14:textId="1FBF6301"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6EA5EF9A" w14:textId="5920F3F5"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239E318E" w14:textId="1663105D"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81</w:t>
            </w:r>
          </w:p>
        </w:tc>
        <w:tc>
          <w:tcPr>
            <w:tcW w:w="1203" w:type="dxa"/>
          </w:tcPr>
          <w:p w14:paraId="6830620A" w14:textId="3DC1EDB3"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{"citationID":"qekZxuXE","properties":{"formattedCitation":"(Poni et al., 2018)","plainCitation":"(Poni et al., 2018)","noteIndex":0},"citationItems":[{"id":2321,"uris":["http://zotero.org/users/2311545/items/IT8CIIQZ"],"uri":["http://zotero.org/users/2311545/items/IT8CIIQZ"],"itemData":{"id":2321,"type":"article-journal","abstract":"Over decades, the concept of grape quality has evolved emphasizing its multidisciplinary nature and that the same “desired quality” might correspond to even strikingly different compositional patterns. The review takes a long journey throughout the multiple factors impinging on grape quality, not excluding also sections devoted to table grapes. It starts with a through survey on the genetic factors influencing grape quality focusing on diversity in different compositional traits (sugar, organic acid, pH, phenolics and aromas) relating to cultivars and clones. Then, most recent knowledge about the effects of soil characteristics, nutrients, light, temperature and water availability, as standalone factors or in interaction, on grape quality are summarized. The more applied section of the review introduces the very much debated yield-quality relationship that, over years, is being interpreted with more flexibility and with greater consensus for an “optimal yield range” that within a given context can anyway reach the desired quality. The impact of the main summer pruning operations (leaf removal, shoot and cluster thinning, shoot trimming) is reviewed and special care taken to highlight most recent contributions with adjusted summer pruning developed to either adapt to climate change issues or to induce specific composition patterns. Review ends with a quick survey on methods nowadays available for fast, non-destructive grape composition assessment.","container-title":"Scientia Horticulturae","DOI":"10.1016/j.scienta.2017.12.035","ISSN":"0304-4238","journalAbbreviation":"Scientia Horticulturae","page":"445-462","source":"ScienceDirect","title":"Grapevine quality: A multiple choice issue","title-short":"Grapevine quality","volume":"234","author":[{"family":"Poni","given":"Stefano"},{"family":"Gatti","given":"Matteo"},{"family":"Palliotti","given":"Alberto"},{"family":"Dai","given":"Zhanwu"},{"family":"Duchêne","given":"Eric"},{"family":"Truong","given":"Thuy-Thanh"},{"family":"Ferrara","given":"Giuseppe"},{"family":"Matarrese","given":"Angela Maria Stella"},{"family":"Gallotta","given":"Alessandra"},{"family":"Bellincontro","given":"Andrea"},{"family":"Mencarelli","given":"Fabio"},{"family":"Tombesi","given":"Sergio"}],"issued":{"date-parts":[["2018",4,14]]}}}],"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(Poni et al., 2018)</w:t>
            </w:r>
            <w:r>
              <w:rPr>
                <w:rFonts w:ascii="Calibri" w:eastAsia="Times New Roman" w:hAnsi="Calibri" w:cs="Calibri"/>
                <w:color w:val="000000"/>
                <w:sz w:val="16"/>
                <w:lang w:val="en-GB" w:eastAsia="en-GB"/>
              </w:rPr>
              <w:fldChar w:fldCharType="end"/>
            </w:r>
          </w:p>
        </w:tc>
        <w:tc>
          <w:tcPr>
            <w:tcW w:w="1269" w:type="dxa"/>
          </w:tcPr>
          <w:p w14:paraId="30F8DF03" w14:textId="772CE9D5"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6B2B8422" w14:textId="433DB295"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625" w:type="dxa"/>
          </w:tcPr>
          <w:p w14:paraId="6567FDDF" w14:textId="57281528"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174E571F" w14:textId="37C08BE1"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0A61BD47" w14:textId="33710B57"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4E1E0A51" w14:textId="61D606FB"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27</w:t>
            </w:r>
          </w:p>
        </w:tc>
        <w:tc>
          <w:tcPr>
            <w:tcW w:w="1190" w:type="dxa"/>
            <w:hideMark/>
          </w:tcPr>
          <w:p w14:paraId="201E577C" w14:textId="77ADAA23" w:rsidR="00537A56" w:rsidRPr="005F2CAB"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{"citationID":"flDUoBRw","properties":{"formattedCitation":"(Pickering et al., 2014)","plainCitation":"(Pickering et al., 2014)","noteIndex":0},"citationItems":[{"id":2801,"uris":["http://zotero.org/users/2311545/items/BGINS9TH"],"uri":["http://zotero.org/users/2311545/items/BGINS9TH"],"itemData":{"id":2801,"type":"article-journal","abstract":"The agricultural sector is sensitive to climate change (CC) and associated extreme weather events, but suffers in Canada from little strategic research and policy on CC adaptation. The wine industry is often considered the ‘canary in the coal mine’ for CC due to the narrow geographic and climatic range required by many grape varieties. Adapting to current and projected CC challenges requires industry stakeholders to determine the risks and benefits of CC and develop a level of adaptive capacity. The objectives of this study were to develop a metric for assessing the adaptive capacity of a grape/wine industry, and apply that tool to the Ontario case. A framework was developed and represented as a three-tiered, hierarchical structure, which included eight operational and strategic determinants (financial, institutional, technological, political, knowledge, perception, social capital, and diversity), and 28 specific indicators. A comprehensive questionnaire was created from this framework consisting of 26 statements to which participants indicated their level of agreement. 42 Ontario wine industry members completed the questionnaire via an on-line survey. Results show that the Ontario wine industry has some adaptive capacity in all the key resources assessed. Perception, diversity and knowledge are the determinants with the greatest capacity, while political and technological are the most limited. Overall, industry stakeholders do not perceive they are at a coping threshold and are interested in learning how to better adapt to the impacts of CC. Results are discussed in the context of opportunities to enhance adaptive capacity in the grape/wine community.","language":"en","page":"7","source":"Zotero","title":"DETERMINING ADAPTIVE CAPACITY TO CLIMATE CHANGE IN THE GRAPE AND WINE INDUSTRY","author":[{"family":"Pickering","given":"Kerrie"},{"family":"Plummer","given":"Ryan"},{"family":"Pickering","given":"Gary"}],"issued":{"date-parts":[["2014"]]}}}],"schema":"https://github.com/citation-style-language/schema/raw/master/csl-citation.json"}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(Pickering et al., 2014)</w:t>
            </w:r>
            <w:r>
              <w:rPr>
                <w:rFonts w:ascii="Calibri" w:eastAsia="Times New Roman" w:hAnsi="Calibri" w:cs="Calibri"/>
                <w:color w:val="000000"/>
                <w:sz w:val="16"/>
                <w:lang w:val="en-GB" w:eastAsia="en-GB"/>
              </w:rPr>
              <w:fldChar w:fldCharType="end"/>
            </w:r>
          </w:p>
        </w:tc>
        <w:tc>
          <w:tcPr>
            <w:tcW w:w="859" w:type="dxa"/>
          </w:tcPr>
          <w:p w14:paraId="1396B0AD" w14:textId="7EB42C00"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Canada</w:t>
            </w:r>
          </w:p>
        </w:tc>
        <w:tc>
          <w:tcPr>
            <w:tcW w:w="1710" w:type="dxa"/>
          </w:tcPr>
          <w:p w14:paraId="0F452829" w14:textId="31E75AE4"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LT4</w:t>
            </w:r>
          </w:p>
        </w:tc>
        <w:tc>
          <w:tcPr>
            <w:tcW w:w="1431" w:type="dxa"/>
          </w:tcPr>
          <w:p w14:paraId="25D2795C" w14:textId="0C45D26A"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Sector</w:t>
            </w:r>
          </w:p>
        </w:tc>
        <w:tc>
          <w:tcPr>
            <w:tcW w:w="1137" w:type="dxa"/>
          </w:tcPr>
          <w:p w14:paraId="0143D833" w14:textId="603BF583"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52A8F85F" w14:textId="3CABBD4F"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82</w:t>
            </w:r>
          </w:p>
        </w:tc>
        <w:tc>
          <w:tcPr>
            <w:tcW w:w="1203" w:type="dxa"/>
          </w:tcPr>
          <w:p w14:paraId="373276FE" w14:textId="04602676"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{"citationID":"zIPLAZGL","properties":{"formattedCitation":"(Chrysargyris et al., 2018)","plainCitation":"(Chrysargyris et al., 2018)","noteIndex":0},"citationItems":[{"id":2430,"uris":["http://zotero.org/users/2311545/items/NYKAGP5R"],"uri":["http://zotero.org/users/2311545/items/NYKAGP5R"],"itemData":{"id":2430,"type":"article-journal","abstract":"The Middle East, the cradle of viticulture and wine production, is gradually but steadily becoming hotter and drier because of climate change (CC). In the current study, we evaluated the effect of tillage and irrigation on yield and quality characteristics of the heat-resistant, indigenous red-grape variety Maratheftiko for one year. Yield increased (two-fold) in vines with irrigation and tillage compared to tillage with no irrigation. The absence of tillage buffered the negative effect of the lack of irrigation on yield. At the veraison stage, leaf stomatal conductance decreased in non-irrigated vines, independently of the application of tillage or not. At veraison, tillage increased (up to 27.5%) phenolics when compared to no tillage in non-irrigated vines. Vines accumulated more N, P, and K and less Mg during the ﬂowering stage compared to veraison. At veraison, irrigation decreased K content in vines subjected to tillage and decreased Mg content in vines subjected to no tillage. Total soluble solids and anthocyanins of berries increased with the absence of irrigation and tillage. Total phenolics increased with tillage in both irrigated and non-irrigated plants. Our results indicate that no tillage systems may be viable as an adaptation strategy in the context of CC.","container-title":"Journal of Water and Climate Change","DOI":"10.2166/wcc.2018.135","ISSN":"2040-2244, 2408-9354","language":"en","source":"DOI.org (Crossref)","title":"Drought stress and soil management practices in grapevines in Cyprus under the threat of climate change","URL":"https://iwaponline.com/jwcc/article/doi/10.2166/wcc.2018.135/62798/Drought-stress-and-soil-management-practices-in","author":[{"family":"Chrysargyris","given":"Antonios"},{"family":"Xylia","given":"Panayiota"},{"family":"Litskas","given":"Vassilis"},{"family":"Mandoulaki","given":"Athanasia"},{"family":"Antoniou","given":"Demetris"},{"family":"Boyias","given":"Timos"},{"family":"Stavrinides","given":"Menelaos"},{"family":"Tzortzakis","given":"Nikos"}],"accessed":{"date-parts":[["2019",6,14]]},"issued":{"date-parts":[["2018",7,23]]}}}],"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(Chrysargyris et al., 2018)</w:t>
            </w:r>
            <w:r>
              <w:rPr>
                <w:rFonts w:ascii="Calibri" w:eastAsia="Times New Roman" w:hAnsi="Calibri" w:cs="Calibri"/>
                <w:color w:val="000000"/>
                <w:sz w:val="16"/>
                <w:lang w:val="en-GB" w:eastAsia="en-GB"/>
              </w:rPr>
              <w:fldChar w:fldCharType="end"/>
            </w:r>
          </w:p>
        </w:tc>
        <w:tc>
          <w:tcPr>
            <w:tcW w:w="1269" w:type="dxa"/>
          </w:tcPr>
          <w:p w14:paraId="788B1850" w14:textId="1113783C"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Cyprus</w:t>
            </w:r>
          </w:p>
        </w:tc>
        <w:tc>
          <w:tcPr>
            <w:tcW w:w="943" w:type="dxa"/>
          </w:tcPr>
          <w:p w14:paraId="5D9F267A" w14:textId="56904A9C"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ST2</w:t>
            </w:r>
          </w:p>
        </w:tc>
        <w:tc>
          <w:tcPr>
            <w:tcW w:w="1625" w:type="dxa"/>
          </w:tcPr>
          <w:p w14:paraId="03881315" w14:textId="3DDC6A66"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12CCE299" w14:textId="4BEAA3FF"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103B7F24" w14:textId="591DC0D3"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62A704FD" w14:textId="03210A91"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28</w:t>
            </w:r>
          </w:p>
        </w:tc>
        <w:tc>
          <w:tcPr>
            <w:tcW w:w="1190" w:type="dxa"/>
            <w:hideMark/>
          </w:tcPr>
          <w:p w14:paraId="45F5C329" w14:textId="08010BE7"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{"citationID":"xDlU4EVe","properties":{"formattedCitation":"(\\uc0\\u536{}erdinescu et al., 2014)","plainCitation":"(Șerdinescu et al., 2014)","noteIndex":0},"citationItems":[{"id":2762,"uris":["http://zotero.org/users/2311545/items/Y3SEPL3N"],"uri":["http://zotero.org/users/2311545/items/Y3SEPL3N"],"itemData":{"id":2762,"type":"article-journal","abstract":"In order to diminish the disturbing effect of climatic changes in viticulture there were studied two agrotechnical factors which have an important impact on water regime in soil and on vine growth, respectively the soil maintenance system and fruit load. In comparison with black furrow (considered as control) there were experimented the total mulching with straws, the partial mulching (between...","container-title":"Scientific Papers - Series B, Horticulture","ISSN":"2285-5653","issue":"No.58","language":"English","page":"201-204","source":"www.cabdirect.org","title":"Influence of soil maintenance systems and fruit load on grapes quality under drought conditions.","author":[{"family":"Șerdinescu","given":"A."},{"family":"Pîrcălabu","given":"L."},{"family":"Fotescu","given":"L."}],"issued":{"date-parts":[["2014"]]}}}],"schema":"https://github.com/citation-style-language/schema/raw/master/csl-citation.json"}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cs="Times New Roman"/>
                <w:sz w:val="16"/>
                <w:szCs w:val="24"/>
              </w:rPr>
              <w:t>(Șerdinescu et al., 2014)</w:t>
            </w:r>
            <w:r>
              <w:rPr>
                <w:rFonts w:ascii="Calibri" w:eastAsia="Times New Roman" w:hAnsi="Calibri" w:cs="Calibri"/>
                <w:color w:val="000000"/>
                <w:sz w:val="16"/>
                <w:lang w:val="en-GB" w:eastAsia="en-GB"/>
              </w:rPr>
              <w:fldChar w:fldCharType="end"/>
            </w:r>
          </w:p>
        </w:tc>
        <w:tc>
          <w:tcPr>
            <w:tcW w:w="859" w:type="dxa"/>
          </w:tcPr>
          <w:p w14:paraId="269A20E2" w14:textId="61090318"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Romania</w:t>
            </w:r>
          </w:p>
        </w:tc>
        <w:tc>
          <w:tcPr>
            <w:tcW w:w="1710" w:type="dxa"/>
          </w:tcPr>
          <w:p w14:paraId="239B0E5F" w14:textId="17049A24"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ST2, ST3</w:t>
            </w:r>
          </w:p>
        </w:tc>
        <w:tc>
          <w:tcPr>
            <w:tcW w:w="1431" w:type="dxa"/>
          </w:tcPr>
          <w:p w14:paraId="3FCC2AB8" w14:textId="6DA5F70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31DED7D1" w14:textId="774697ED"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276DDF11" w14:textId="650D53D5"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83</w:t>
            </w:r>
          </w:p>
        </w:tc>
        <w:tc>
          <w:tcPr>
            <w:tcW w:w="1203" w:type="dxa"/>
          </w:tcPr>
          <w:p w14:paraId="2ADE0B2B" w14:textId="015B1EFE"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{"citationID":"Ist28K85","properties":{"formattedCitation":"(De Micco et al., 2018)","plainCitation":"(De Micco et al., 2018)","noteIndex":0},"citationItems":[{"id":2663,"uris":["http://zotero.org/users/2311545/items/4ITUYAM9"],"uri":["http://zotero.org/users/2311545/items/4ITUYAM9"],"itemData":{"id":2663,"type":"article-journal","abstract":"Projected changes in drought occurrence in the Mediterranean region are raising concerns about the adaptive capability of rainfed crops, such as grapevine, to increasing aridity. Cultivation management, especially the techniques influencing the hydraulic pathway, can play a role in plant adaptation to drought for the consequent changes in wood anatomical functional traits. The aim of this study was to assess the effect of grafting on wood anatomy in tree-ring series of Vitis vinifera L. ‘Piedirosso’ grapevine cultivated in a volcanic area in Southern Italy. Treering anatomy was analysed in vines grown on their own roots or grafted onto 420A rootstock. Results showed that grafted vines had a higher occurrence of wood traits linked with safety of water transport if compared with non-grafted vines. Grafting induced the formation of tree rings with higher incidence of latewood also characterised by narrower and more frequent vessels if compared with non-grafted vines. This study suggested a different regulation of water flow in the grafted and non-grafted vines. Such findings support the analysis of wood anatomy as a tool to drive decisions linked with plant cultivation management. In this specific case, our results encourage to further explore the change from a traditional cultivation with own-rooted grapevines towards grafted models inducing better xylem adaptation to increasing drought.","container-title":"IAWA Journal","DOI":"10.1163/22941932-20170199","ISSN":"0928-1541, 2294-1932","issue":"2","language":"en","page":"145-155","source":"DOI.org (Crossref)","title":"Rootstock effect on tree-ring traits in grapevine under a climate change scenario","volume":"39","author":[{"family":"De Micco","given":"Veronica"},{"family":"Zalloni","given":"Enrica"},{"family":"Battipaglia","given":"Giovanna"},{"family":"Erbaggio","given":"Arturo"},{"family":"Scognamiglio","given":"Pasquale"},{"family":"Caputo","given":"Rosanna"},{"family":"Cirillo","given":"Chiara"}],"issued":{"date-parts":[["2018",6,13]]}}}],"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(De Micco et al., 2018)</w:t>
            </w:r>
            <w:r>
              <w:rPr>
                <w:rFonts w:ascii="Calibri" w:eastAsia="Times New Roman" w:hAnsi="Calibri" w:cs="Calibri"/>
                <w:color w:val="000000"/>
                <w:sz w:val="16"/>
                <w:lang w:val="en-GB" w:eastAsia="en-GB"/>
              </w:rPr>
              <w:fldChar w:fldCharType="end"/>
            </w:r>
          </w:p>
        </w:tc>
        <w:tc>
          <w:tcPr>
            <w:tcW w:w="1269" w:type="dxa"/>
          </w:tcPr>
          <w:p w14:paraId="64707D00" w14:textId="32F83FFC"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6F65A715" w14:textId="0B30A68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625" w:type="dxa"/>
          </w:tcPr>
          <w:p w14:paraId="336DB767" w14:textId="3AD2F83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657B5629" w14:textId="4A89B1A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5D1299B3" w14:textId="47A5583B"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558954F4" w14:textId="6DF2E940"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29</w:t>
            </w:r>
          </w:p>
        </w:tc>
        <w:tc>
          <w:tcPr>
            <w:tcW w:w="1190" w:type="dxa"/>
            <w:hideMark/>
          </w:tcPr>
          <w:p w14:paraId="0BBC5E4E" w14:textId="12A4ADAC"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{"citationID":"TjIcwy3I","properties":{"formattedCitation":"(Dequin et al., 2017)","plainCitation":"(Dequin et al., 2017)","noteIndex":0},"citationItems":[{"id":2667,"uris":["http://zotero.org/users/2311545/items/NEPPRSNT"],"uri":["http://zotero.org/users/2311545/items/NEPPRSNT"],"itemData":{"id":2667,"type":"article-journal","container-title":"OENO One","DOI":"10.20870/oeno-one.2017.51.2.1584","ISSN":"2494-1271","issue":"2","journalAbbreviation":"1","language":"en","page":"205-214","source":"oeno-one.eu","title":"How to adapt winemaking practices to modified grape composition under climate change conditions","volume":"51","author":[{"family":"Dequin","given":"Sylvie"},{"family":"Escudier","given":"Jean-Louis"},{"family":"Bely","given":"Marina"},{"family":"Noble","given":"Jessica"},{"family":"Albertin","given":"Warren"},{"family":"Masneuf-Pomarède","given":"Isabelle"},{"family":"Marullo","given":"Philippe"},{"family":"Salmon","given":"Jean-Michel"},{"family":"Sablayrolles","given":"Jean Marie"}],"issued":{"date-parts":[["2017",5,15]]}}}],"schema":"https://github.com/citation-style-language/schema/raw/master/csl-citation.json"}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(Dequin et al., 2017)</w:t>
            </w:r>
            <w:r>
              <w:rPr>
                <w:rFonts w:ascii="Calibri" w:eastAsia="Times New Roman" w:hAnsi="Calibri" w:cs="Calibri"/>
                <w:color w:val="000000"/>
                <w:sz w:val="16"/>
                <w:lang w:val="en-GB" w:eastAsia="en-GB"/>
              </w:rPr>
              <w:fldChar w:fldCharType="end"/>
            </w:r>
          </w:p>
        </w:tc>
        <w:tc>
          <w:tcPr>
            <w:tcW w:w="859" w:type="dxa"/>
          </w:tcPr>
          <w:p w14:paraId="627AEFC8" w14:textId="31C89CBE"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1710" w:type="dxa"/>
          </w:tcPr>
          <w:p w14:paraId="56C56756" w14:textId="01EC54B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ST4</w:t>
            </w:r>
          </w:p>
        </w:tc>
        <w:tc>
          <w:tcPr>
            <w:tcW w:w="1431" w:type="dxa"/>
          </w:tcPr>
          <w:p w14:paraId="1DE30724" w14:textId="1303F064"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1ACD1709" w14:textId="6A3F4A2B"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c>
          <w:tcPr>
            <w:tcW w:w="460" w:type="dxa"/>
          </w:tcPr>
          <w:p w14:paraId="2A4C4BAC" w14:textId="176916E7"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84</w:t>
            </w:r>
          </w:p>
        </w:tc>
        <w:tc>
          <w:tcPr>
            <w:tcW w:w="1203" w:type="dxa"/>
          </w:tcPr>
          <w:p w14:paraId="181D5509" w14:textId="370D5265"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{"citationID":"Y2bYDe7T","properties":{"formattedCitation":"(Dinis et al., 2018b)","plainCitation":"(Dinis et al., 2018b)","noteIndex":0},"citationItems":[{"id":2307,"uris":["http://zotero.org/users/2311545/items/KW444QB3"],"uri":["http://zotero.org/users/2311545/items/KW444QB3"],"itemData":{"id":2307,"type":"article-journal","container-title":"Photosynthetica","DOI":"10.1007/s11099-017-0714-3","ISSN":"0300-3604, 1573-9058","issue":"2","language":"en","page":"641-651","source":"DOI.org (Crossref)","title":"Improvement of grapevine physiology and yield under summer stress by kaolin-foliar application: water relations, photosynthesis and oxidative damage","title-short":"Improvement of grapevine physiology and yield under summer stress by kaolin-foliar application","volume":"56","author":[{"family":"Dinis","given":"L.-T."},{"family":"Malheiro","given":"A. C."},{"family":"Luzio","given":"A."},{"family":"Fraga","given":"H."},{"family":"Ferreira","given":"H."},{"family":"Gonçalves","given":"I."},{"family":"Pinto","given":"G."},{"family":"Correia","given":"C. M."},{"family":"Moutinho-Pereira","given":"J."}],"issued":{"date-parts":[["2018",6]]}}}],"schema":"https://github.com/citation-style-language/schema/raw/master/csl-citation.json"}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(Dinis et al., 2018b)</w:t>
            </w:r>
            <w:r>
              <w:rPr>
                <w:rFonts w:ascii="Calibri" w:eastAsia="Times New Roman" w:hAnsi="Calibri" w:cs="Calibri"/>
                <w:color w:val="000000"/>
                <w:sz w:val="16"/>
                <w:lang w:val="en-GB" w:eastAsia="en-GB"/>
              </w:rPr>
              <w:fldChar w:fldCharType="end"/>
            </w:r>
            <w:r w:rsidRPr="00EF0654">
              <w:rPr>
                <w:rFonts w:ascii="Calibri" w:eastAsia="Times New Roman" w:hAnsi="Calibri" w:cs="Calibri"/>
                <w:color w:val="000000"/>
                <w:sz w:val="16"/>
                <w:lang w:val="en-GB" w:eastAsia="en-GB"/>
              </w:rPr>
              <w:t>.</w:t>
            </w:r>
          </w:p>
        </w:tc>
        <w:tc>
          <w:tcPr>
            <w:tcW w:w="1269" w:type="dxa"/>
          </w:tcPr>
          <w:p w14:paraId="059D01C5" w14:textId="78BB6423"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943" w:type="dxa"/>
          </w:tcPr>
          <w:p w14:paraId="6E4AB3AA" w14:textId="4A78568B"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625" w:type="dxa"/>
          </w:tcPr>
          <w:p w14:paraId="1119CDA9" w14:textId="59AD35D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2D36BA82" w14:textId="64F6D224"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1982AE75" w14:textId="279DD65C"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2D9F55F3" w14:textId="1F78109F"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30</w:t>
            </w:r>
          </w:p>
        </w:tc>
        <w:tc>
          <w:tcPr>
            <w:tcW w:w="1190" w:type="dxa"/>
            <w:hideMark/>
          </w:tcPr>
          <w:p w14:paraId="27D904E1" w14:textId="5BE7D8F3" w:rsidR="00537A56" w:rsidRPr="00CE1C4A"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fr-FR" w:eastAsia="en-GB"/>
              </w:rPr>
            </w:pPr>
            <w:r>
              <w:rPr>
                <w:rFonts w:ascii="Calibri" w:eastAsia="Times New Roman" w:hAnsi="Calibri" w:cs="Calibri"/>
                <w:color w:val="000000"/>
                <w:sz w:val="16"/>
                <w:lang w:val="en-GB" w:eastAsia="en-GB"/>
              </w:rPr>
              <w:fldChar w:fldCharType="begin"/>
            </w:r>
            <w:r w:rsidRPr="00CE1C4A">
              <w:rPr>
                <w:rFonts w:ascii="Calibri" w:eastAsia="Times New Roman" w:hAnsi="Calibri" w:cs="Calibri"/>
                <w:color w:val="000000"/>
                <w:sz w:val="16"/>
                <w:lang w:val="fr-FR" w:eastAsia="en-GB"/>
              </w:rPr>
              <w:instrText xml:space="preserve"> ADDIN ZOTERO_ITEM CSL_CITATION {"citationID":"TTMWoKMS","properties":{"formattedCitation":"(de C. Teixeira et al., 2014)","plainCitation":"(de C. Teixeira et al., 2014)","noteIndex":0},"citationItems":[{"id":3107,"uris":["http://zotero.org/users/2311545/items/XQEBZ4Z9"],"uri":["http://zotero.org/users/2311545/items/XQEBZ4Z9"],"itemData":{"id":3107,"type":"article-journal","abstract":"Long term weather data were used together with specific regression models involving crop coefficient (Kc), reference evapotranspiration (ET0), accumulated degree days (DDac) and precipitation (P), to develop a vineyard water indicator (VWI) for seedless table and wine grapes under different pruning periods in the Brazilian Northeast. The VWI thermo-hydrological indicator was applied together with average values of air temperature (T) for a growing season (GS) to classify the vineyard agroclimatic suitability. For table grapes, the seedless cv. ‘Sugraone’ used as a reference, it was observed that the region has no thermal limitation for commercial grape production. However, higher sugar contents in berries and yield would be obtained in the areas and pruning periods with higher TGS. In relation to wine grape, cv. ‘Syrah’ taking as a reference, it was shown that there are some thermal limitations for the tropical wine quality. This is depending on pruning dates, lower acidity and higher potential alcohol and pH. In wines analyzed under conditions of larger TGS values, wines became unbalanced in terms of phenolic and aromatic composition. Considering the whole Brazilian Northeast region, for table grapes the best pruning periods is from July to September, while for wine grapes they are between April and June. The spatially presented analyses can subsidize vineyard water allocation criterions, when aiming at improvements of grape and wine water productivity in conditions of climate and land use changes.","container-title":"Acta Horticulturae","DOI":"10.17660/ActaHortic.2014.1038.33","ISSN":"0567-7572, 2406-6168","issue":"1038","journalAbbreviation":"Acta Hortic.","language":"en","page":"277-286","source":"DOI.org (Crossref)","title":"AGRO-CLIMATIC SUITABILITY DELIMITATION FOR TABLE AND WINE GRAPE CROPS UNDER IRRIGATION CONDITIONS IN NORTHEASTERN BRAZIL","author":[{"family":"C. Teixeira","given":"A.H.","non-dropping-particle":"de"},{"family":"Tonietto","given":"J."},{"family":"Pereira","given":"G.E."},{"family":"Hernandez","given":"F.B.T."},{"family":"Angelotti","given":"F."},{"family":"Lopes","given":"H.L."}],"issued":{"date-parts":[["2014",6]]}}}],"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lang w:val="fr-FR"/>
              </w:rPr>
              <w:t>(de C. Teixeira et al., 2014)</w:t>
            </w:r>
            <w:r>
              <w:rPr>
                <w:rFonts w:ascii="Calibri" w:eastAsia="Times New Roman" w:hAnsi="Calibri" w:cs="Calibri"/>
                <w:color w:val="000000"/>
                <w:sz w:val="16"/>
                <w:lang w:val="en-GB" w:eastAsia="en-GB"/>
              </w:rPr>
              <w:fldChar w:fldCharType="end"/>
            </w:r>
          </w:p>
        </w:tc>
        <w:tc>
          <w:tcPr>
            <w:tcW w:w="859" w:type="dxa"/>
          </w:tcPr>
          <w:p w14:paraId="3E50D997" w14:textId="7831E383"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Brazil</w:t>
            </w:r>
          </w:p>
        </w:tc>
        <w:tc>
          <w:tcPr>
            <w:tcW w:w="1710" w:type="dxa"/>
          </w:tcPr>
          <w:p w14:paraId="7CCB3BEF" w14:textId="214DBCCD"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431" w:type="dxa"/>
          </w:tcPr>
          <w:p w14:paraId="6F59919B" w14:textId="1929DC36"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22250689" w14:textId="190D4331"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3166AD7D" w14:textId="4428B875"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85</w:t>
            </w:r>
          </w:p>
        </w:tc>
        <w:tc>
          <w:tcPr>
            <w:tcW w:w="1203" w:type="dxa"/>
          </w:tcPr>
          <w:p w14:paraId="08D712EA" w14:textId="55FE4CD5"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{"citationID":"xbyIA3jS","properties":{"formattedCitation":"(Dinis et al., 2018a)","plainCitation":"(Dinis et al., 2018a)","noteIndex":0},"citationItems":[{"id":3206,"uris":["http://zotero.org/users/2311545/items/MWN8PJVM"],"uri":["http://zotero.org/users/2311545/items/MWN8PJVM"],"itemData":{"id":3206,"type":"article-journal","abstract":"The foliar exogenous application of kaolin, a radiation-reflecting inert mineral, has proven to be an effective short-term climate change mitigation strategy for Mediterranean vineyards. In this work, we address the hypothesis that kaolin could improve both the hormonal dynamics and physiological responses of grapevines growing in Douro Region, northern Portugal. For this purpose, the leaf water potential, gas exchange and chlorophyll a fluorescence parameters were monitored, as well as the abscisic acid (ABA) and indole-3-acetic acid (IAA) quantification and immunolocalization were assessed. The study revealed a slight decrease in ABA and an increase in IAA in the kaolin treatment, which in turn were associated with the improvement of physiological performance. A month after spraying, kaolin improves the water potential respectively, 30% and 17% in the predawn and midday periods. Besides, plants treated with kaolin showed higher values of stomatal conductance, net CO2 assimilation rate and intrinsic water use efficiency. Kaolin also ameliorates the effective PSII efficiency (67%), as well as the maximum quantum efficiency of photosystem II and the photosynthetic electron transport rate (&gt;73%). These results were consistent with the higher photochemical quenching and the lower non-photochemical quenching observed in treated leaves and with the better performance obtained by the JIP test parameters. Physiological and hormonal analysis confirmed that kaolin effectively enhance grapevine summer stress tolerance.","container-title":"Journal of Plant Physiology","DOI":"10.1016/j.jplph.2017.11.007","ISSN":"0176-1617","journalAbbreviation":"Journal of Plant Physiology","language":"en","page":"181-192","source":"ScienceDirect","title":"Kaolin modulates ABA and IAA dynamics and physiology of grapevine under Mediterranean summer stress","volume":"220","author":[{"family":"Dinis","given":"L. -T."},{"family":"Bernardo","given":"S."},{"family":"Luzio","given":"A."},{"family":"Pinto","given":"G."},{"family":"Meijón","given":"M."},{"family":"Pintó-Marijuan","given":"M."},{"family":"Cotado","given":"A."},{"family":"Correia","given":"C."},{"family":"Moutinho-Pereira","given":"J."}],"issued":{"date-parts":[["2018",1,1]]}}}],"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(Dinis et al., 2018a)</w:t>
            </w:r>
            <w:r>
              <w:rPr>
                <w:rFonts w:ascii="Calibri" w:eastAsia="Times New Roman" w:hAnsi="Calibri" w:cs="Calibri"/>
                <w:color w:val="000000"/>
                <w:sz w:val="16"/>
                <w:lang w:val="en-GB" w:eastAsia="en-GB"/>
              </w:rPr>
              <w:fldChar w:fldCharType="end"/>
            </w:r>
          </w:p>
        </w:tc>
        <w:tc>
          <w:tcPr>
            <w:tcW w:w="1269" w:type="dxa"/>
          </w:tcPr>
          <w:p w14:paraId="4D59E720" w14:textId="47FD7864"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943" w:type="dxa"/>
          </w:tcPr>
          <w:p w14:paraId="753AC539" w14:textId="73598BED"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625" w:type="dxa"/>
          </w:tcPr>
          <w:p w14:paraId="0B51EA9B" w14:textId="15DDF8B5"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6D3545AF" w14:textId="7F9B06A6"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5C4AAE8B" w14:textId="2FBF489B"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456B6D1C" w14:textId="08A7E1DA"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31</w:t>
            </w:r>
          </w:p>
        </w:tc>
        <w:tc>
          <w:tcPr>
            <w:tcW w:w="1190" w:type="dxa"/>
            <w:hideMark/>
          </w:tcPr>
          <w:p w14:paraId="1BBB770F" w14:textId="552359A1" w:rsidR="00537A56" w:rsidRPr="00CE1C4A"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{"citationID":"R28gttQm","properties":{"formattedCitation":"(Berdeja et al., 2015)","plainCitation":"(Berdeja et al., 2015)","noteIndex":0},"citationItems":[{"id":2494,"uris":["http://zotero.org/users/2311545/items/KWYPDIAR"],"uri":["http://zotero.org/users/2311545/items/KWYPDIAR"],"itemData":{"id":2494,"type":"article-journal","container-title":"Horticulture Research","DOI":"10.1038/hortres.2015.12","ISSN":"2052-7276","issue":"1","journalAbbreviation":"Hortic Res","language":"en","page":"15012","source":"DOI.org (Crossref)","title":"Water limitation and rootstock genotype interact to alter grape berry metabolism through transcriptome reprogramming","volume":"2","author":[{"family":"Berdeja","given":"Mariam"},{"family":"Nicolas","given":"Philippe"},{"family":"Kappel","given":"Christian"},{"family":"Dai","given":"Zhan Wu"},{"family":"Hilbert","given":"Ghislaine"},{"family":"Peccoux","given":"Anthony"},{"family":"Lafontaine","given":"Magali"},{"family":"Ollat","given":"Nathalie"},{"family":"Gomès","given":"Eric"},{"family":"Delrot","given":"Serge"}],"issued":{"date-parts":[["2015",12]]}}}],"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(Berdeja et al., 2015)</w:t>
            </w:r>
            <w:r>
              <w:rPr>
                <w:rFonts w:ascii="Calibri" w:eastAsia="Times New Roman" w:hAnsi="Calibri" w:cs="Calibri"/>
                <w:color w:val="000000"/>
                <w:sz w:val="16"/>
                <w:lang w:val="en-GB" w:eastAsia="en-GB"/>
              </w:rPr>
              <w:fldChar w:fldCharType="end"/>
            </w:r>
          </w:p>
        </w:tc>
        <w:tc>
          <w:tcPr>
            <w:tcW w:w="859" w:type="dxa"/>
          </w:tcPr>
          <w:p w14:paraId="41D01A93" w14:textId="2CF2052A"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1710" w:type="dxa"/>
          </w:tcPr>
          <w:p w14:paraId="470F915B" w14:textId="3EB85CE2"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11909D95" w14:textId="75F1B9B6"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076119E9" w14:textId="2CD7740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511572A3" w14:textId="204F503C"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86</w:t>
            </w:r>
          </w:p>
        </w:tc>
        <w:tc>
          <w:tcPr>
            <w:tcW w:w="1203" w:type="dxa"/>
          </w:tcPr>
          <w:p w14:paraId="38572CA0" w14:textId="36D2312F"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{"citationID":"DrTMU0WJ","properties":{"formattedCitation":"(Fraga et al., 2018a)","plainCitation":"(Fraga et al., 2018a)","noteIndex":0},"citationItems":[{"id":1430,"uris":["http://zotero.org/users/2311545/items/IUPU9MHT"],"uri":["http://zotero.org/users/2311545/items/IUPU9MHT"],"itemData":{"id":1430,"type":"article-journal","abstract":"Climate change projections for Southern Europe reveal warming and drying trends for the upcoming decades, bringing important challenges to Portuguese viticulture in particular. The present study analyses irrigation as an adaptation measure to ensure the future sustainability of viticultural yields in Portugal. The STICS crop model was used to simulate baseline (1981–2005) and future (2041–2070) grapevine yields in Portugal. Future yield decreases (yields are 60% with respect to baseline) over some of the innermost and most renowned winemaking regions of the country are found, following the decrease of precipitation in the growing season. As an adaptation measure, grapevine irrigation was tested for future climates. STICS irrigation replicates a highly efﬁcient water use strategy, only applied when a certain water stress level is reached. The results indicate higher yields with this irrigation strategy, thus largely alleviating the projected yield decreases. Nonetheless, in some warmer and dryer regions, such as inner Alentejo and Douro/Porto, yield levels are still projected to decrease with irrigation (70–80% of baseline yields), though to a lesser extent when compared to non-irrigated simulations. This decrease is attributed to the synergistic effect of severe heat and water stresses in the future. Although these simulations aim at achieving the same yields and alcohol level in future scenarios as in baseline, applying irrigation may modify the wine typicity of each region and threaten the currently scarce water resources. Outlining appropriate, timely and cost-effective adaptation measures is critical for the sustainability of both the environment and the national Portuguese winemaking sector.","container-title":"Agricultural Water Management","DOI":"10.1016/j.agwat.2017.10.023","ISSN":"03783774","language":"en","page":"66-74","source":"Crossref","title":"Viticultural irrigation demands under climate change scenarios in Portugal","volume":"196","author":[{"family":"Fraga","given":"H."},{"family":"García de Cortázar Atauri","given":"I."},{"family":"Santos","given":"J.A"}],"issued":{"date-parts":[["2018",1]]}}}],"schema":"https://github.com/citation-style-language/schema/raw/master/csl-citation.json"}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(Fraga et al., 2018a)</w:t>
            </w:r>
            <w:r>
              <w:rPr>
                <w:rFonts w:ascii="Calibri" w:eastAsia="Times New Roman" w:hAnsi="Calibri" w:cs="Calibri"/>
                <w:color w:val="000000"/>
                <w:sz w:val="16"/>
                <w:lang w:val="en-GB" w:eastAsia="en-GB"/>
              </w:rPr>
              <w:fldChar w:fldCharType="end"/>
            </w:r>
            <w:r w:rsidRPr="005F2CAB">
              <w:rPr>
                <w:rFonts w:ascii="Calibri" w:eastAsia="Times New Roman" w:hAnsi="Calibri" w:cs="Calibri"/>
                <w:color w:val="000000"/>
                <w:sz w:val="16"/>
                <w:lang w:val="fr-FR" w:eastAsia="en-GB"/>
              </w:rPr>
              <w:t xml:space="preserve"> </w:t>
            </w:r>
          </w:p>
        </w:tc>
        <w:tc>
          <w:tcPr>
            <w:tcW w:w="1269" w:type="dxa"/>
          </w:tcPr>
          <w:p w14:paraId="05FB5651" w14:textId="620080E6"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943" w:type="dxa"/>
          </w:tcPr>
          <w:p w14:paraId="0E11AB99" w14:textId="0D04A35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42390402" w14:textId="2949DFC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Field/Region</w:t>
            </w:r>
          </w:p>
        </w:tc>
        <w:tc>
          <w:tcPr>
            <w:tcW w:w="1341" w:type="dxa"/>
          </w:tcPr>
          <w:p w14:paraId="585129DD" w14:textId="121B204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r>
      <w:tr w:rsidR="00537A56" w:rsidRPr="00EF0654" w14:paraId="2A75DD33" w14:textId="3CBFEF08"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3816F21F" w14:textId="308AEF48"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32</w:t>
            </w:r>
          </w:p>
        </w:tc>
        <w:tc>
          <w:tcPr>
            <w:tcW w:w="1190" w:type="dxa"/>
            <w:hideMark/>
          </w:tcPr>
          <w:p w14:paraId="13276E48" w14:textId="7A954F91" w:rsidR="00537A56" w:rsidRPr="005F2CAB"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{"citationID":"YE5B31XB","properties":{"formattedCitation":"(Corso et al., 2015)","plainCitation":"(Corso et al., 2015)","noteIndex":0},"citationItems":[{"id":2607,"uris":["http://zotero.org/users/2311545/items/7975TW4D"],"uri":["http://zotero.org/users/2311545/items/7975TW4D"],"itemData":{"id":2607,"type":"article-journal","abstract":"In light of ongoing climate changes in wine-growing regions, the selection of drought-tolerant rootstocks is becoming a crucial factor for developing a sustainable viticulture. In this study, M4, a new rootstock genotype that shows tolerance to drought, was compared from a genomic and transcriptomic point of view with the less drought-tolerant genotype 101.14. The root and leaf transcriptome of both 101.14 and the M4 rootstock genotype was analysed, following exposure to progressive drought conditions. Multifactorial analyses indicated that stress treatment represents the main factor driving differential gene expression in roots, whereas in leaves the genotype is the prominent factor. Upon stress, M4 roots and leaves showed a higher induction of resveratrol and flavonoid biosynthetic genes, respectively. The higher expression of VvSTS genes in M4, confirmed by the accumulation of higher levels of resveratrol in M4 roots compared with 101.14, was coupled to an up-regulation of several VvWRKY transcription factors. Interestingly, VvSTS promoter analyses performed on both the resequenced genomes highlighted a significantly higher number of W-BOX elements in the tolerant genotype. It is proposed that the elevated synthesis of resveratrol in M4 roots upon water stress could enhance the plant’s ability to cope with the oxidative stress usually associated with water deficit.","container-title":"Journal of Experimental Botany","DOI":"10.1093/jxb/erv274","ISSN":"0022-0957, 1460-2431","issue":"19","journalAbbreviation":"EXBOTJ","language":"en","page":"5739-5752","source":"DOI.org (Crossref)","title":"Comprehensive transcript profiling of two grapevine rootstock genotypes contrasting in drought susceptibility links the phenylpropanoid pathway to enhanced tolerance","volume":"66","author":[{"family":"Corso","given":"Massimiliano"},{"family":"Vannozzi","given":"Alessandro"},{"family":"Maza","given":"Elie"},{"family":"Vitulo","given":"Nicola"},{"family":"Meggio","given":"Franco"},{"family":"Pitacco","given":"Andrea"},{"family":"Telatin","given":"Andrea"},{"family":"D’Angelo","given":"Michela"},{"family":"Feltrin","given":"Erika"},{"family":"Negri","given":"Alfredo Simone"},{"family":"Prinsi","given":"Bhakti"},{"family":"Valle","given":"Giorgio"},{"family":"Ramina","given":"Angelo"},{"family":"Bouzayen","given":"Mondher"},{"family":"Bonghi","given":"Claudio"},{"family":"Lucchin","given":"Margherita"}],"issued":{"date-parts":[["2015",9]]}}}],"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(Corso et al., 2015)</w:t>
            </w:r>
            <w:r>
              <w:rPr>
                <w:rFonts w:ascii="Calibri" w:eastAsia="Times New Roman" w:hAnsi="Calibri" w:cs="Calibri"/>
                <w:color w:val="000000"/>
                <w:sz w:val="16"/>
                <w:lang w:val="en-GB" w:eastAsia="en-GB"/>
              </w:rPr>
              <w:fldChar w:fldCharType="end"/>
            </w:r>
          </w:p>
        </w:tc>
        <w:tc>
          <w:tcPr>
            <w:tcW w:w="859" w:type="dxa"/>
          </w:tcPr>
          <w:p w14:paraId="5A36FDC3" w14:textId="5BBCD760"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5CF1B1E7" w14:textId="67985663"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5CBD6C12" w14:textId="556E80DD"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2EE824E9" w14:textId="608B50D0"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0BE5261E" w14:textId="2C3C78E6"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87</w:t>
            </w:r>
          </w:p>
        </w:tc>
        <w:tc>
          <w:tcPr>
            <w:tcW w:w="1203" w:type="dxa"/>
          </w:tcPr>
          <w:p w14:paraId="5BFA1B15" w14:textId="07C6BF7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{"citationID":"FRbydn23","properties":{"formattedCitation":"(Fraga and Santos, 2018)","plainCitation":"(Fraga and Santos, 2018)","noteIndex":0},"citationItems":[{"id":1496,"uris":["http://zotero.org/users/2311545/items/UTSQMY6S"],"uri":["http://zotero.org/users/2311545/items/UTSQMY6S"],"itemData":{"id":1496,"type":"article-journal","abstract":"Climate change projections for the next decades are expected to bring important challenges to the Portuguese viticulture. More speciﬁcally, for the wine region of Alentejo, in Southern Portugal, the projected warming and drying are expected to have detrimental impacts on grapevine physiology and ultimately on yields. The present study assesses the adaptation potential of mulching for maintaining current grapevine yield levels in the region. For this purpose, the STICS process-based crop model was used to simulate future (2021–2080) grapevine yields in the 8 sub-regions of Alentejo (with Denomination of Origin). Several datasets for weather variables, soil characteristics, topographic features and management practices were deﬁned independently for each sub-region. Simulations comprise both non-mulching and mulching experiments over the next 60 years, under the climate change scenario RCP8.5. Although both non-mulching and mulching simulations suggest a gradual yield decrease in the future, mulching mitigates these decreases by 10 to 25%. Furthermore, the results show that mulching can reduce the yield decreasing trend, from −0.75%/year to −0.66%/year. In eﬀect, mulching is expected to provide yield gains over the full simulated time period, being the beneﬁts particularly apparent towards the end of the target period (2061–2080; warmest years of simulation). Mulching is a cost-eﬀective adaptation measure that may be easily adopted by growers on the short-term. Nonetheless, this strategy alone might not be enough to fully mitigate yield losses and additional / complementary measures should be envisioned to warrant the sustainability of the Alentejo winemaking sector under futures climates.","container-title":"Agricultural Systems","DOI":"10.1016/j.agsy.2018.04.006","ISSN":"0308521X","language":"en","page":"107-115","source":"Crossref","title":"Vineyard mulching as a climate change adaptation measure: Future simulations for Alentejo, Portugal","title-short":"Vineyard mulching as a climate change adaptation measure","volume":"164","author":[{"family":"Fraga","given":"Helder"},{"family":"Santos","given":"João A."}],"issued":{"date-parts":[["2018",7]]}}}],"schema":"https://github.com/citation-style-language/schema/raw/master/csl-citation.json"} </w:instrText>
            </w:r>
            <w:r>
              <w:rPr>
                <w:rFonts w:ascii="Calibri" w:eastAsia="Times New Roman" w:hAnsi="Calibri" w:cs="Calibri"/>
                <w:color w:val="000000"/>
                <w:sz w:val="16"/>
                <w:lang w:val="fr-FR" w:eastAsia="en-GB"/>
              </w:rPr>
              <w:fldChar w:fldCharType="separate"/>
            </w:r>
            <w:r w:rsidRPr="00AD2ABD">
              <w:rPr>
                <w:rFonts w:ascii="Calibri" w:hAnsi="Calibri"/>
                <w:sz w:val="16"/>
              </w:rPr>
              <w:t>(Fraga and Santos, 2018)</w:t>
            </w:r>
            <w:r>
              <w:rPr>
                <w:rFonts w:ascii="Calibri" w:eastAsia="Times New Roman" w:hAnsi="Calibri" w:cs="Calibri"/>
                <w:color w:val="000000"/>
                <w:sz w:val="16"/>
                <w:lang w:val="fr-FR" w:eastAsia="en-GB"/>
              </w:rPr>
              <w:fldChar w:fldCharType="end"/>
            </w:r>
          </w:p>
        </w:tc>
        <w:tc>
          <w:tcPr>
            <w:tcW w:w="1269" w:type="dxa"/>
          </w:tcPr>
          <w:p w14:paraId="0D54F906" w14:textId="485DD8F6"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943" w:type="dxa"/>
          </w:tcPr>
          <w:p w14:paraId="6FA852BA" w14:textId="162B11C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ST2</w:t>
            </w:r>
          </w:p>
        </w:tc>
        <w:tc>
          <w:tcPr>
            <w:tcW w:w="1625" w:type="dxa"/>
          </w:tcPr>
          <w:p w14:paraId="735FB433" w14:textId="628A4EA3"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Field/Region</w:t>
            </w:r>
          </w:p>
        </w:tc>
        <w:tc>
          <w:tcPr>
            <w:tcW w:w="1341" w:type="dxa"/>
          </w:tcPr>
          <w:p w14:paraId="2A41E764" w14:textId="6EF7B447"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r>
      <w:tr w:rsidR="00537A56" w:rsidRPr="00EF0654" w14:paraId="50A5E460" w14:textId="3D56A6DE"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6B3B995" w14:textId="0E0EFD2D"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33</w:t>
            </w:r>
          </w:p>
        </w:tc>
        <w:tc>
          <w:tcPr>
            <w:tcW w:w="1190" w:type="dxa"/>
            <w:hideMark/>
          </w:tcPr>
          <w:p w14:paraId="25B25FCC" w14:textId="7EC4F5E5"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{"citationID":"jH017uyR","properties":{"formattedCitation":"(Delay et al., 2015)","plainCitation":"(Delay et al., 2015)","noteIndex":0},"citationItems":[{"id":2664,"uris":["http://zotero.org/users/2311545/items/ADZYQN6Z"],"uri":["http://zotero.org/users/2311545/items/ADZYQN6Z"],"itemData":{"id":2664,"type":"article-journal","abstract":"The mountain environment is perceived today by vine-growers as a strong structural constraint. Yet in the current context of climate change, in which we turn to genetics, irrigation or innovation in cultural practices to maintain production quality, could the mountain environment emerge as a solution for adapting to climate change in vine-growing? Here we explore the role of cooperative policies that may be deployed on the territorial scale, using an agent-based model. Our model was based on the viticulture of the Banyuls–Collioures AOC area, which is characterized by small-scale vine-growers and marked by widespread involvement in cooperative systems. The simulation results showed an important role of cooperative policies not only to conserve narrow production window and required vine quality, but also in respect of the emblematic landscape structure. These results should foster vine-growers to strengthen their cooperatives and adequately use these organizations to mitigate future climate change impacts.","container-title":"Land Use Policy","DOI":"10.1016/j.landusepol.2015.05.008","ISSN":"0264-8377","journalAbbreviation":"Land Use Policy","page":"51-62","source":"ScienceDirect","title":"The mountain environment, a driver for adaptation to climate change","volume":"48","author":[{"family":"Delay","given":"Etienne"},{"family":"Piou","given":"Cyril"},{"family":"Quenol","given":"Hervé"}],"issued":{"date-parts":[["2015",11,1]]}}}],"schema":"https://github.com/citation-style-language/schema/raw/master/csl-citation.json"}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(Delay et al., 2015)</w:t>
            </w:r>
            <w:r>
              <w:rPr>
                <w:rFonts w:ascii="Calibri" w:eastAsia="Times New Roman" w:hAnsi="Calibri" w:cs="Calibri"/>
                <w:color w:val="000000"/>
                <w:sz w:val="16"/>
                <w:lang w:val="en-GB" w:eastAsia="en-GB"/>
              </w:rPr>
              <w:fldChar w:fldCharType="end"/>
            </w:r>
          </w:p>
        </w:tc>
        <w:tc>
          <w:tcPr>
            <w:tcW w:w="859" w:type="dxa"/>
          </w:tcPr>
          <w:p w14:paraId="6BCE7453" w14:textId="769F63C6"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1710" w:type="dxa"/>
          </w:tcPr>
          <w:p w14:paraId="022C5981" w14:textId="0AB20DF7"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LT4</w:t>
            </w:r>
          </w:p>
        </w:tc>
        <w:tc>
          <w:tcPr>
            <w:tcW w:w="1431" w:type="dxa"/>
          </w:tcPr>
          <w:p w14:paraId="00770F71" w14:textId="0B5280F8"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137" w:type="dxa"/>
          </w:tcPr>
          <w:p w14:paraId="232C6885" w14:textId="5BA829B5"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5B3DDA5D" w14:textId="1596E730"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88</w:t>
            </w:r>
          </w:p>
        </w:tc>
        <w:tc>
          <w:tcPr>
            <w:tcW w:w="1203" w:type="dxa"/>
          </w:tcPr>
          <w:p w14:paraId="51A6884F" w14:textId="41E86CF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{"citationID":"zP6r37F9","properties":{"formattedCitation":"(Franques et al., 2018)","plainCitation":"(Franques et al., 2018)","noteIndex":0},"citationItems":[{"id":2708,"uris":["http://zotero.org/users/2311545/items/LPFTTKEJ"],"uri":["http://zotero.org/users/2311545/items/LPFTTKEJ"],"itemData":{"id":2708,"type":"article-journal","abstract":"The use of autochthonous strains of Oenococcus oeni for inducing malolactic fermentation (MLF) in wines is increasing because they are well adapted to the conditions of a specific area. The main aim of this work was to select O. oeni strains from Priorat (Catalonia, Spain) wines that would be able to carry out the MLF while maintaining the characteristics of the wine. Forty-five autochthonous strains were selected based on their degradation of L-malic acid, resistance to low pH and high ethanol, and the absence of biogenic amine genes. The three strains with the best characteristics were inoculated and MLF was carried out successfully with the final wines showing good characteristics. One of the inoculated O. oeni strains would be a good candidate to study as possible starter culture. It shows that autochthonous O. oeni strains, once selected, have the potential to be used as an inoculum for wines.","container-title":"Oeno One","DOI":"10.20870/oeno-one.2018.52.1.1908","ISSN":"2494-1271","issue":"1","journalAbbreviation":"OENE One","language":"English","note":"WOS:000429313600004","page":"45-56","source":"Web of Science","title":"Selection and characterization of autochthonous strains of Oenococcus oeni for vinification in Priorat (Catalonia, Spain)","volume":"52","author":[{"family":"Franques","given":"Judit"},{"family":"Araque","given":"Isabel"},{"family":"El Khoury","given":"Mariette"},{"family":"Lucas","given":"Patrick M."},{"family":"Reguant","given":"Cristina"},{"family":"Bordons","given":"Albert"}],"issued":{"date-parts":[["2018"]]}}}],"schema":"https://github.com/citation-style-language/schema/raw/master/csl-citation.json"}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(Franques et al., 2018)</w:t>
            </w:r>
            <w:r>
              <w:rPr>
                <w:rFonts w:ascii="Calibri" w:eastAsia="Times New Roman" w:hAnsi="Calibri" w:cs="Calibri"/>
                <w:color w:val="000000"/>
                <w:sz w:val="16"/>
                <w:lang w:val="en-GB" w:eastAsia="en-GB"/>
              </w:rPr>
              <w:fldChar w:fldCharType="end"/>
            </w:r>
          </w:p>
        </w:tc>
        <w:tc>
          <w:tcPr>
            <w:tcW w:w="1269" w:type="dxa"/>
          </w:tcPr>
          <w:p w14:paraId="7138F398" w14:textId="5359344D"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2657538C" w14:textId="0FE221D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ST4</w:t>
            </w:r>
          </w:p>
        </w:tc>
        <w:tc>
          <w:tcPr>
            <w:tcW w:w="1625" w:type="dxa"/>
          </w:tcPr>
          <w:p w14:paraId="0CDA962B" w14:textId="5830F584"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341" w:type="dxa"/>
          </w:tcPr>
          <w:p w14:paraId="404C6DB0" w14:textId="6947A7F6"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74BE664D" w14:textId="4F18C703"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7371716" w14:textId="2296A4D7"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34</w:t>
            </w:r>
          </w:p>
        </w:tc>
        <w:tc>
          <w:tcPr>
            <w:tcW w:w="1190" w:type="dxa"/>
            <w:hideMark/>
          </w:tcPr>
          <w:p w14:paraId="5051F043" w14:textId="125CD3FB"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{"citationID":"atMJMXPi","properties":{"formattedCitation":"(Duchene, 2016)","plainCitation":"(Duchene, 2016)","noteIndex":0},"citationItems":[{"id":1757,"uris":["http://zotero.org/users/2311545/items/N635LEKY"],"uri":["http://zotero.org/users/2311545/items/N635LEKY"],"itemData":{"id":1757,"type":"article-journal","abstract":"Climate change is modifying the environmental conditions in all the vineyards across the world. The expected effects on grape and wine production can be positive in some grape growing regions, but under warmer or dryer conditions the volume and quality of the wines produced can be impaired. Adaptation to new climatic conditions includes changes in the cultivation areas, changes in the vineyard or cellar practices, and use of new rootstock × scion combinations. In this article, we provide an overview of the possible effects of climate change on grapevine physiology and berry quality and we describe the more important traits and the genetic variability that can be used in the adaptation process. We also present the modern techniques that can be used by researchers to identify the links between genomic information and behaviors in the field. Finally, we discuss the existing opportunities in the present grapevine collections and the strategies that can be used by breeders to create new varieties.","container-title":"OENO One","DOI":"10.20870/oeno-one.2016.50.3.98","ISSN":"2494-1271","issue":"3","language":"en","source":"Crossref","title":"How can grapevine genetics contribute to the adaptation to climate change?","URL":"http://oeno-one.eu/article/view/98","volume":"50","author":[{"family":"Duchene","given":"Eric"}],"accessed":{"date-parts":[["2018",12,6]]},"issued":{"date-parts":[["2016",9,6]]}}}],"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(Duchene, 2016)</w:t>
            </w:r>
            <w:r>
              <w:rPr>
                <w:rFonts w:ascii="Calibri" w:eastAsia="Times New Roman" w:hAnsi="Calibri" w:cs="Calibri"/>
                <w:color w:val="000000"/>
                <w:sz w:val="16"/>
                <w:lang w:val="en-GB" w:eastAsia="en-GB"/>
              </w:rPr>
              <w:fldChar w:fldCharType="end"/>
            </w:r>
          </w:p>
        </w:tc>
        <w:tc>
          <w:tcPr>
            <w:tcW w:w="859" w:type="dxa"/>
          </w:tcPr>
          <w:p w14:paraId="556D878C" w14:textId="5BC3A454"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1710" w:type="dxa"/>
          </w:tcPr>
          <w:p w14:paraId="0DBEE373" w14:textId="6A518BD0"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50D79E32" w14:textId="772A6609"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51D9D592" w14:textId="5D54DF0B"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c>
          <w:tcPr>
            <w:tcW w:w="460" w:type="dxa"/>
          </w:tcPr>
          <w:p w14:paraId="65F50438" w14:textId="2D752F21"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89</w:t>
            </w:r>
          </w:p>
        </w:tc>
        <w:tc>
          <w:tcPr>
            <w:tcW w:w="1203" w:type="dxa"/>
          </w:tcPr>
          <w:p w14:paraId="2467CC0A" w14:textId="07B2C7B8"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{"citationID":"OPj28JwS","properties":{"formattedCitation":"(Gil et al., 2018)","plainCitation":"(Gil et al., 2018)","noteIndex":0},"citationItems":[{"id":1501,"uris":["http://zotero.org/users/2311545/items/AIB6X9BV"],"uri":["http://zotero.org/users/2311545/items/AIB6X9BV"],"itemData":{"id":1501,"type":"article-journal","abstract":"The eﬀects of irrigation water savings by partial root zone drying (PRD) irrigation, shading or mulching on physiology, growth, yield, and wine quality of ‘Syrah’ grapevine (Vitis vinifera L.) was investigated. The study was conducted in a vineyard at two diﬀerent sites, each with a diﬀerent soil type and vegetation index. Plants were subjected to the following four treatments: T0) control, with conventional irrigation regimes used by local growers; T1) shade cloth covering the vine canopy resulting in a 50% reduction in irrigation volume compared to the control; T2) double color plastic mulch (white color facing up and black on the inside facing the soil) resulting in a 50% reduction in irrigation volume compared to the control; and T3) PRD irrigation resulting in a 50% reduction in irrigation volume compared to the control. In general, the use of PRD irrigation, shade cloth or plastic mulch did not signiﬁcantly aﬀect the physiological, growth or yield variables measured, except for fruit cluster weight, which was lower in T3 than in the other treatments, and wine alcohol and polyphenol content, which were higher in T3 than in the other treatments. Shade cloth and plastic mulch treatments resulted in a 50% reduction in water use with no detrimental eﬀects on plant physiology, yield, or wine quality. In addition to a 50% reduction in the amount of irrigation water applied, PRD irrigation also improved wine quality by increasing alcohol and polyphenol contents.","container-title":"Scientia Horticulturae","DOI":"10.1016/j.scienta.2018.06.050","ISSN":"03044238","language":"en","page":"478-483","source":"Crossref","title":"Partial root-zone drying irrigation, shading, or mulching effects on water savings, productivity and quality of ‘Syrah’ grapevines","volume":"240","author":[{"family":"Gil","given":"P.M."},{"family":"Lobos","given":"P."},{"family":"Durán","given":"K."},{"family":"Olguín","given":"J."},{"family":"Cea","given":"D."},{"family":"Schaffer","given":"B."}],"issued":{"date-parts":[["2018",10]]}}}],"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(Gil et al., 2018)</w:t>
            </w:r>
            <w:r>
              <w:rPr>
                <w:rFonts w:ascii="Calibri" w:eastAsia="Times New Roman" w:hAnsi="Calibri" w:cs="Calibri"/>
                <w:color w:val="000000"/>
                <w:sz w:val="16"/>
                <w:lang w:val="en-GB" w:eastAsia="en-GB"/>
              </w:rPr>
              <w:fldChar w:fldCharType="end"/>
            </w:r>
          </w:p>
        </w:tc>
        <w:tc>
          <w:tcPr>
            <w:tcW w:w="1269" w:type="dxa"/>
          </w:tcPr>
          <w:p w14:paraId="01D2F8DE" w14:textId="20384D22"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Chile</w:t>
            </w:r>
          </w:p>
        </w:tc>
        <w:tc>
          <w:tcPr>
            <w:tcW w:w="943" w:type="dxa"/>
          </w:tcPr>
          <w:p w14:paraId="765A31E7" w14:textId="30E5FAC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LT3, ST2</w:t>
            </w:r>
          </w:p>
        </w:tc>
        <w:tc>
          <w:tcPr>
            <w:tcW w:w="1625" w:type="dxa"/>
          </w:tcPr>
          <w:p w14:paraId="2BB85E0E" w14:textId="768FAFA1"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0497A246" w14:textId="01519B6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2A5242F4" w14:textId="48390549"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47679853" w14:textId="7BBE5A21"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35</w:t>
            </w:r>
          </w:p>
        </w:tc>
        <w:tc>
          <w:tcPr>
            <w:tcW w:w="1190" w:type="dxa"/>
            <w:hideMark/>
          </w:tcPr>
          <w:p w14:paraId="28A6F4DC" w14:textId="0A9669C7"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{"citationID":"VW7B1Ytl","properties":{"formattedCitation":"(Genesio et al., 2015)","plainCitation":"(Genesio et al., 2015)","noteIndex":0},"citationItems":[{"id":2718,"uris":["http://zotero.org/users/2311545/items/VC4DJN2A"],"uri":["http://zotero.org/users/2311545/items/VC4DJN2A"],"itemData":{"id":2718,"type":"article-journal","abstract":"Biochar application to agricultural soils has proved to substantially modify the plant–soil–water relationship and lead mostly to a quantitative increase in agricultural production through physical, chemical and biological mechanisms. Nevertheless, the impact of biochar on qualitative traits of agricultural production needs to be further assessed. The effect of biochar application on vine yield and grape quality parameters is here investigated in a non-irrigated vineyard in Tuscany (central Italy). Results from four harvest-years showed a higher productivity, up to 66%, of treated plots with respect to their controls, while no significant differences were observed in grape quality parameters. The observed increase in productivity was inversely correlated with rainfall in the vegetative period, confirming the key role of biochar in regulating plant water availability. These findings support the feasibility of a biochar-based strategy as an effective adaptation measure to reduce the impact of water stress periods with no negative effects on grape quality.","container-title":"Agriculture, Ecosystems &amp; Environment","DOI":"10.1016/j.agee.2014.11.021","ISSN":"0167-8809","journalAbbreviation":"Agriculture, Ecosystems &amp; Environment","page":"20-25","source":"ScienceDirect","title":"Biochar increases vineyard productivity without affecting grape quality: Results from a four years field experiment in Tuscany","title-short":"Biochar increases vineyard productivity without affecting grape quality","volume":"201","author":[{"family":"Genesio","given":"Lorenzo"},{"family":"Miglietta","given":"Franco"},{"family":"Baronti","given":"Silvia"},{"family":"Vaccari","given":"Francesco P."}],"issued":{"date-parts":[["2015",3,1]]}}}],"schema":"https://github.com/citation-style-language/schema/raw/master/csl-citation.json"}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(Genesio et al., 2015)</w:t>
            </w:r>
            <w:r>
              <w:rPr>
                <w:rFonts w:ascii="Calibri" w:eastAsia="Times New Roman" w:hAnsi="Calibri" w:cs="Calibri"/>
                <w:color w:val="000000"/>
                <w:sz w:val="16"/>
                <w:lang w:val="en-GB" w:eastAsia="en-GB"/>
              </w:rPr>
              <w:fldChar w:fldCharType="end"/>
            </w:r>
          </w:p>
        </w:tc>
        <w:tc>
          <w:tcPr>
            <w:tcW w:w="859" w:type="dxa"/>
          </w:tcPr>
          <w:p w14:paraId="26F7EC28" w14:textId="7B841F07"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7EA4FDBA" w14:textId="65F5EFA8"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ST2</w:t>
            </w:r>
          </w:p>
        </w:tc>
        <w:tc>
          <w:tcPr>
            <w:tcW w:w="1431" w:type="dxa"/>
          </w:tcPr>
          <w:p w14:paraId="03BC63A8" w14:textId="30994D1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1F669BC6" w14:textId="1BFD7E1E"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0A195B4C" w14:textId="5F09A1E0"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90</w:t>
            </w:r>
          </w:p>
        </w:tc>
        <w:tc>
          <w:tcPr>
            <w:tcW w:w="1203" w:type="dxa"/>
          </w:tcPr>
          <w:p w14:paraId="7722E89D" w14:textId="25982B25"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{"citationID":"GovqE9J0","properties":{"formattedCitation":"(Malacarne et al., 2018)","plainCitation":"(Malacarne et al., 2018)","noteIndex":0},"citationItems":[{"id":3111,"uris":["http://zotero.org/users/2311545/items/QVHRGN5P"],"uri":["http://zotero.org/users/2311545/items/QVHRGN5P"],"itemData":{"id":3111,"type":"article-journal","abstract":"In recent years the scientific community has been heavily engaged in studying the grapevine response to climate change. Final goal is the identification of key genetic traits to be used in grapevine breeding and the setting of agronomic practices to improve climatic resilience. The increasing availability of transcriptomic studies, describing gene expression in many tissues and developmental or treatment conditions, have allowed the implementation of gene expression compendia, which enclose a huge amount of information. The mining of transcriptomic data represents an effective approach to expand a known local gene network (LGN) by finding new related genes. We recently published a pipeline based on the iterative application of the PC-algorithm, named NES2RA, to expand gene networks in Escherichia coli and Arabidopsis thaliana. Here, we propose the application of this method to the grapevine transcriptomic compendium Vespucci, in order to expand four LGNs related to the grapevine response to climate change. Two networks are related to the secondary metabolic pathways for anthocyanin and stilbenoid synthesis, involved in the response to solar radiation, whereas the other two are signaling networks, related to the hormones abscisic acid and ethylene, possibly involved in the regulation of cell water balance and cuticle transpiration. The expansion networks produced by NES2RA algorithm have been evaluated by comparison with experimental data and biological knowledge on the identified genes showing fairly good consistency of the results. In addition, the algorithm was effective in retaining only the most significant interactions among the genes providing a useful framework for experimental validation. The application of the NES2RA to Vitis vinifera expression data by means of the BOINC-based implementation is available upon request (valter.cavecchia@cnr.it).","container-title":"Frontiers in Plant Science","DOI":"10.3389/fpls.2018.01385","ISSN":"1664-462X","journalAbbreviation":"Front. Plant Sci.","language":"English","note":"publisher: Frontiers","source":"Frontiers","title":"Discovering Causal Relationships in Grapevine Expression Data to Expand Gene Networks. A Case Study: Four Networks Related to Climate Change","title-short":"Discovering Causal Relationships in Grapevine Expression Data to Expand Gene Networks. A Case Study","URL":"https://www.frontiersin.org/articles/10.3389/fpls.2018.01385/full","volume":"9","author":[{"family":"Malacarne","given":"Giulia"},{"family":"Pilati","given":"Stefania"},{"family":"Valentini","given":"Samuel"},{"family":"Asnicar","given":"Francesco"},{"family":"Moretto","given":"Marco"},{"family":"Sonego","given":"Paolo"},{"family":"Masera","given":"Luca"},{"family":"Cavecchia","given":"Valter"},{"family":"Blanzieri","given":"Enrico"},{"family":"Moser","given":"Claudio"}],"accessed":{"date-parts":[["2020",6,6]]},"issued":{"date-parts":[["2018"]]}}}],"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(Malacarne et al., 2018)</w:t>
            </w:r>
            <w:r>
              <w:rPr>
                <w:rFonts w:ascii="Calibri" w:eastAsia="Times New Roman" w:hAnsi="Calibri" w:cs="Calibri"/>
                <w:color w:val="000000"/>
                <w:sz w:val="16"/>
                <w:lang w:val="en-GB" w:eastAsia="en-GB"/>
              </w:rPr>
              <w:fldChar w:fldCharType="end"/>
            </w:r>
          </w:p>
        </w:tc>
        <w:tc>
          <w:tcPr>
            <w:tcW w:w="1269" w:type="dxa"/>
          </w:tcPr>
          <w:p w14:paraId="0720387B" w14:textId="2AF3DF0E"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1CDB2C83" w14:textId="15A21C31"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625" w:type="dxa"/>
          </w:tcPr>
          <w:p w14:paraId="3A4D724C" w14:textId="1B693200"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4E8CA1A7" w14:textId="2DAFF3BB"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62B9B802" w14:textId="04225F3C"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30DF61B5" w14:textId="742798BE"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lastRenderedPageBreak/>
              <w:t>36</w:t>
            </w:r>
          </w:p>
        </w:tc>
        <w:tc>
          <w:tcPr>
            <w:tcW w:w="1190" w:type="dxa"/>
            <w:hideMark/>
          </w:tcPr>
          <w:p w14:paraId="1100F27F" w14:textId="4E281F26"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{"citationID":"j3yKhovi","properties":{"formattedCitation":"(Lobos et al., 2015)","plainCitation":"(Lobos et al., 2015)","noteIndex":0},"citationItems":[{"id":2301,"uris":["http://zotero.org/users/2311545/items/C95ZDKU8"],"uri":["http://zotero.org/users/2311545/items/C95ZDKU8"],"itemData":{"id":2301,"type":"article-journal","container-title":"OENO One","DOI":"10.20870/oeno-one.2015.49.2.86","ISSN":"2494-1271","issue":"2","journalAbbreviation":"1","language":"en","page":"137-144","source":"oeno-one.eu","title":"Effects of kaolin-based particle film and fruit zone netting on Cabernet Sauvignon grapevine physiology and fruit quality","volume":"49","author":[{"family":"Lobos","given":"Gustavo A."},{"family":"Acevedo-Opazo","given":"César"},{"family":"Guajardo-Moreno","given":"Alejandro"},{"family":"Valdés-Gómez","given":"Héctor"},{"family":"Taylor","given":"James A."},{"family":"Laurie","given":"V. Felipe"}],"issued":{"date-parts":[["2015",6,30]]}}}],"schema":"https://github.com/citation-style-language/schema/raw/master/csl-citation.json"}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(Lobos et al., 2015)</w:t>
            </w:r>
            <w:r>
              <w:rPr>
                <w:rFonts w:ascii="Calibri" w:eastAsia="Times New Roman" w:hAnsi="Calibri" w:cs="Calibri"/>
                <w:color w:val="000000"/>
                <w:sz w:val="16"/>
                <w:lang w:val="en-GB" w:eastAsia="en-GB"/>
              </w:rPr>
              <w:fldChar w:fldCharType="end"/>
            </w:r>
          </w:p>
        </w:tc>
        <w:tc>
          <w:tcPr>
            <w:tcW w:w="859" w:type="dxa"/>
          </w:tcPr>
          <w:p w14:paraId="6DC62D48" w14:textId="16A73AB1"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Chile</w:t>
            </w:r>
          </w:p>
        </w:tc>
        <w:tc>
          <w:tcPr>
            <w:tcW w:w="1710" w:type="dxa"/>
          </w:tcPr>
          <w:p w14:paraId="0A2F342A" w14:textId="102B7222" w:rsidR="00537A56" w:rsidRPr="005F2CAB"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fr-FR" w:eastAsia="en-GB"/>
              </w:rPr>
            </w:pPr>
            <w:r>
              <w:rPr>
                <w:rFonts w:ascii="Calibri" w:eastAsia="Times New Roman" w:hAnsi="Calibri" w:cs="Calibri"/>
                <w:color w:val="000000"/>
                <w:sz w:val="16"/>
                <w:lang w:val="fr-FR" w:eastAsia="en-GB"/>
              </w:rPr>
              <w:t>ST3</w:t>
            </w:r>
          </w:p>
        </w:tc>
        <w:tc>
          <w:tcPr>
            <w:tcW w:w="1431" w:type="dxa"/>
          </w:tcPr>
          <w:p w14:paraId="789662B9" w14:textId="042F8C3B"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551769B9" w14:textId="66DC058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10B6B2A7" w14:textId="0F27B7F7"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91</w:t>
            </w:r>
          </w:p>
        </w:tc>
        <w:tc>
          <w:tcPr>
            <w:tcW w:w="1203" w:type="dxa"/>
          </w:tcPr>
          <w:p w14:paraId="4C121D87" w14:textId="1B235D31"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en-GB" w:eastAsia="en-GB"/>
              </w:rPr>
              <w:instrText xml:space="preserve"> ADDIN ZOTERO_ITEM CSL_CITATION {"citationID":"03CFZM9v","properties":{"formattedCitation":"(Phogat et al., 2018)","plainCitation":"(Phogat et al., 2018)","noteIndex":0},"citationItems":[{"id":3015,"uris":["http://zotero.org/users/2311545/items/2QN4D37R"],"uri":["http://zotero.org/users/2311545/items/2QN4D37R"],"itemData":{"id":3015,"type":"article-journal","abstract":"Water and water related salinity risks to viticulture were assessed by running the HYDRUS-1D model with 100 ensembles of downscaled daily meteorological data obtained from the Global Climate Model (GCM) for 2020–2099. The modeling output was evaluated for seasonal irrigation requirements of viticulture (Ir), root zone soil salinity at the beginning of the new season (ECswi), and the average seasonal salinity (ECsw) for all 100 realizations for four 20-year periods centred on 2030 (2020–2039), 2050 (2040–2059), 2070 (2060–2079), and 2090 (2080–2099). The model showed a 4.2% increase in the mean seasonal Ir of viticulture during 2020–2039 as compared to Ir of 350.9 mm during 2004–2015. Similarly, the mean seasonal Ir increased by 7.5, 10.9, and 16.9% during 2040–2059, 2060–2079, and 2080–2099, respectively, as compared to 2004–2015. These projections indicate that viticulture can face significant deficit conditions, which may have a drastic impact on the sustainability and productivity of the grapevine. Likewise, the average median ECswi increased by 40% during 2020–2039 as compared to the 2004–2015 mean ECswi value of 1.63 dS/m, but remained below the threshold (ECsw = 4.2 dS/m) for viticulture. The median seasonal ECswi almost doubled (3.15 dS/m) during 2040–2059, varied from 1.73–8.15 dS/m during 2060–2079, and increased more than three times during 2080–2099 to surpass the threshold salinity for grapevines. Similarly, the seasonal average root zone salinity (ECsw) showed a 47% increase during 2020–2039 over the baseline salinity. It continued increasing at a growing pace during 2040–2059 (1.5–8.64 dS/m) and 2060–2079 (2.78–9.52 dS/m), and increased to almost three times (6.04 dS/m) during 2080–2099 compared to the corresponding baseline salinity (1.97 dS/m). The continued presence of high salt concentrations in the root zone can significantly affect the growth, yield, and wine quality. The modeling results indicate that soil salinity at the beginning of the vine season and the average seasonal salinity are crucial factors that may need special management to sustain the viticulture in this region.","container-title":"Agricultural Water Management","DOI":"10.1016/j.agwat.2018.01.025","ISSN":"0378-3774","journalAbbreviation":"Agricultural Water Management","language":"en","page":"107-117","source":"ScienceDirect","title":"Identifying the future water and salinity risks to irrigated viticulture in the Murray-Darling Basin, South Australia","volume":"201","author":[{"family":"Phogat","given":"V."},{"family":"Cox","given":"J. W."},{"family":"Šimůnek","given":"J."}],"issued":{"date-parts":[["2018",3,31]]}}}],"schema":"https://github.com/citation-style-language/schema/raw/master/csl-citation.json"} </w:instrText>
            </w:r>
            <w:r>
              <w:rPr>
                <w:rFonts w:ascii="Calibri" w:eastAsia="Times New Roman" w:hAnsi="Calibri" w:cs="Calibri"/>
                <w:color w:val="000000"/>
                <w:sz w:val="16"/>
                <w:lang w:val="fr-FR" w:eastAsia="en-GB"/>
              </w:rPr>
              <w:fldChar w:fldCharType="separate"/>
            </w:r>
            <w:r w:rsidRPr="00AD2ABD">
              <w:rPr>
                <w:rFonts w:ascii="Calibri" w:hAnsi="Calibri"/>
                <w:sz w:val="16"/>
                <w:lang w:val="en-GB"/>
              </w:rPr>
              <w:t>(Phogat et al., 2018)</w:t>
            </w:r>
            <w:r>
              <w:rPr>
                <w:rFonts w:ascii="Calibri" w:eastAsia="Times New Roman" w:hAnsi="Calibri" w:cs="Calibri"/>
                <w:color w:val="000000"/>
                <w:sz w:val="16"/>
                <w:lang w:val="fr-FR" w:eastAsia="en-GB"/>
              </w:rPr>
              <w:fldChar w:fldCharType="end"/>
            </w:r>
          </w:p>
        </w:tc>
        <w:tc>
          <w:tcPr>
            <w:tcW w:w="1269" w:type="dxa"/>
          </w:tcPr>
          <w:p w14:paraId="3FC1752B" w14:textId="68C0DD6C"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943" w:type="dxa"/>
          </w:tcPr>
          <w:p w14:paraId="12F451B0" w14:textId="7A238565"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0C7FE923" w14:textId="3BDE11E4"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341" w:type="dxa"/>
          </w:tcPr>
          <w:p w14:paraId="35AC32ED" w14:textId="5161362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r>
      <w:tr w:rsidR="00537A56" w:rsidRPr="00B01831" w14:paraId="6D07EB21" w14:textId="2A2A756E"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9D5192B" w14:textId="13E64303"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37</w:t>
            </w:r>
          </w:p>
        </w:tc>
        <w:tc>
          <w:tcPr>
            <w:tcW w:w="1190" w:type="dxa"/>
            <w:hideMark/>
          </w:tcPr>
          <w:p w14:paraId="7CD550E7" w14:textId="5F06AB38"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{"citationID":"OyyQiRiz","properties":{"formattedCitation":"(Fleming et al., 2015)","plainCitation":"(Fleming et al., 2015)","noteIndex":0},"citationItems":[{"id":2651,"uris":["http://zotero.org/users/2311545/items/BFG8XGFL"],"uri":["http://zotero.org/users/2311545/items/BFG8XGFL"],"itemData":{"id":2651,"type":"article-journal","abstract":"Adaptation is a highly malleable concept and people may use various framings of adaptation to support what they are already doing and limit their need to change. By analysing organizations’ different, strategic constructions of climate change, this malleability becomes clear. Our paper focuses on two Australian wine companies’ approaches to climate change. Using an analysis of interviews with 18 company staff we uncovered two divergent business logics underlying the same climate change responses. Our analysis extends beyond simply identifying dominant frames of climate change to examining what motivates different organizations to create different frames. This has implications for the climate change responses that organizations might implement (or not) and more broadly, for how climate change ‘adaptation’ (and ‘mitigation’) is understood and applied.","container-title":"Environmental Science &amp; Policy","DOI":"10.1016/j.envsci.2015.04.003","ISSN":"1462-9011","journalAbbreviation":"Environmental Science &amp; Policy","page":"202-214","source":"ScienceDirect","title":"Understanding convergence and divergence in the framing of climate change responses: An analysis of two wine companies","title-short":"Understanding convergence and divergence in the framing of climate change responses","volume":"51","author":[{"family":"Fleming","given":"A."},{"family":"Rickards","given":"L."},{"family":"Dowd","given":"A. -M."}],"issued":{"date-parts":[["2015",8,1]]}}}],"schema":"https://github.com/citation-style-language/schema/raw/master/csl-citation.json"}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(Fleming et al., 2015)</w:t>
            </w:r>
            <w:r>
              <w:rPr>
                <w:rFonts w:ascii="Calibri" w:eastAsia="Times New Roman" w:hAnsi="Calibri" w:cs="Calibri"/>
                <w:color w:val="000000"/>
                <w:sz w:val="16"/>
                <w:lang w:val="en-GB" w:eastAsia="en-GB"/>
              </w:rPr>
              <w:fldChar w:fldCharType="end"/>
            </w:r>
          </w:p>
        </w:tc>
        <w:tc>
          <w:tcPr>
            <w:tcW w:w="859" w:type="dxa"/>
          </w:tcPr>
          <w:p w14:paraId="0E032CCB" w14:textId="2883688D" w:rsidR="00537A56" w:rsidRP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1710" w:type="dxa"/>
          </w:tcPr>
          <w:p w14:paraId="685F2AA5" w14:textId="66C4266E"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fr-FR" w:eastAsia="en-GB"/>
              </w:rPr>
            </w:pPr>
            <w:r>
              <w:rPr>
                <w:rFonts w:ascii="Calibri" w:eastAsia="Times New Roman" w:hAnsi="Calibri" w:cs="Calibri"/>
                <w:color w:val="000000"/>
                <w:sz w:val="16"/>
                <w:lang w:val="fr-FR" w:eastAsia="en-GB"/>
              </w:rPr>
              <w:t>-</w:t>
            </w:r>
          </w:p>
        </w:tc>
        <w:tc>
          <w:tcPr>
            <w:tcW w:w="1431" w:type="dxa"/>
          </w:tcPr>
          <w:p w14:paraId="550A4911" w14:textId="2F23663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6DA134BC" w14:textId="21CE35C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5F083F14" w14:textId="0F4D2432"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92</w:t>
            </w:r>
          </w:p>
        </w:tc>
        <w:tc>
          <w:tcPr>
            <w:tcW w:w="1203" w:type="dxa"/>
          </w:tcPr>
          <w:p w14:paraId="1A2BEB87" w14:textId="3AE59C9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sidRPr="00AD2ABD">
              <w:rPr>
                <w:rFonts w:ascii="Calibri" w:eastAsia="Times New Roman" w:hAnsi="Calibri" w:cs="Calibri"/>
                <w:color w:val="000000"/>
                <w:sz w:val="16"/>
                <w:lang w:val="en-GB" w:eastAsia="en-GB"/>
              </w:rPr>
              <w:instrText xml:space="preserve"> ADDIN ZOTERO_ITEM CSL_CITATION {"citationID":"FnuIirEg","properties":{"formattedCitation":"(Reshef et al., 2018)","plainCitation":"(Reshef et al., 2018)","noteIndex":0},"citationItems":[{"id":2337,"uris":["http://zotero.org/users/2311545/items/4XYFN87P"],"uri":["http://zotero.org/users/2311545/items/4XYFN87P"],"itemData":{"id":2337,"type":"article-journal","container-title":"Journal of Agricultural and Food Chemistry","DOI":"10.1021/acs.jafc.7b04881","ISSN":"0021-8561, 1520-5118","issue":"14","journalAbbreviation":"J. Agric. Food Chem.","language":"en","page":"3624-3636","source":"DOI.org (Crossref)","title":"Grape Berry Acclimation to Excessive Solar Irradiance Leads to Repartitioning between Major Flavonoid Groups","volume":"66","author":[{"family":"Reshef","given":"N."},{"family":"Agam","given":"N."},{"family":"Fait","given":"A."}],"issued":{"date-parts":[["2018",4,11]]}}}],"schema":"https://github.com/citation-style-language/schema/raw/master/csl-citation.json"} </w:instrText>
            </w:r>
            <w:r>
              <w:rPr>
                <w:rFonts w:ascii="Calibri" w:eastAsia="Times New Roman" w:hAnsi="Calibri" w:cs="Calibri"/>
                <w:color w:val="000000"/>
                <w:sz w:val="16"/>
                <w:lang w:val="fr-FR" w:eastAsia="en-GB"/>
              </w:rPr>
              <w:fldChar w:fldCharType="separate"/>
            </w:r>
            <w:r w:rsidRPr="00AD2ABD">
              <w:rPr>
                <w:rFonts w:ascii="Calibri" w:hAnsi="Calibri"/>
                <w:sz w:val="16"/>
              </w:rPr>
              <w:t>(Reshef et al., 2018)</w:t>
            </w:r>
            <w:r>
              <w:rPr>
                <w:rFonts w:ascii="Calibri" w:eastAsia="Times New Roman" w:hAnsi="Calibri" w:cs="Calibri"/>
                <w:color w:val="000000"/>
                <w:sz w:val="16"/>
                <w:lang w:val="fr-FR" w:eastAsia="en-GB"/>
              </w:rPr>
              <w:fldChar w:fldCharType="end"/>
            </w:r>
          </w:p>
        </w:tc>
        <w:tc>
          <w:tcPr>
            <w:tcW w:w="1269" w:type="dxa"/>
          </w:tcPr>
          <w:p w14:paraId="7AD0A4D0" w14:textId="49FB610F"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Israel</w:t>
            </w:r>
          </w:p>
        </w:tc>
        <w:tc>
          <w:tcPr>
            <w:tcW w:w="943" w:type="dxa"/>
          </w:tcPr>
          <w:p w14:paraId="78AC928D" w14:textId="7BB8C7A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LT3</w:t>
            </w:r>
          </w:p>
        </w:tc>
        <w:tc>
          <w:tcPr>
            <w:tcW w:w="1625" w:type="dxa"/>
          </w:tcPr>
          <w:p w14:paraId="3014EEB1" w14:textId="4C3C2271"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39E7D3CE" w14:textId="3A0232B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50D684A0" w14:textId="0DB54D52"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63D45037" w14:textId="63656A35"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38</w:t>
            </w:r>
          </w:p>
        </w:tc>
        <w:tc>
          <w:tcPr>
            <w:tcW w:w="1190" w:type="dxa"/>
            <w:hideMark/>
          </w:tcPr>
          <w:p w14:paraId="667AD882" w14:textId="4705368A"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{"citationID":"L5pl0u0a","properties":{"formattedCitation":"(Flexas et al., 2010)","plainCitation":"(Flexas et al., 2010)","noteIndex":0},"citationItems":[{"id":1495,"uris":["http://zotero.org/users/2311545/items/2MJ27AHD"],"uri":["http://zotero.org/users/2311545/items/2MJ27AHD"],"itemData":{"id":1495,"type":"article-journal","abstract":"Improving water use efﬁciency (WUE) in grapevines is essential for vineyard sustainability under the increasing aridity induced by global climate change. WUE reﬂects the ratio between the carbon assimilated by photosynthesis and the water lost in transpiration. Maintaining stomata partially closed by regulated deﬁcit irrigation or partial root drying represents an opportunity to increase WUE, although at the expense of decreased photosynthesis and, potentially, decreased yield. It would be even better to achieve increases in WUE by improving photosynthesis without increasing water loses. Although this is not yet possible, it could potentially be achieved by genetic engineering. This review presents current knowledge and relevant results that aim to improve WUE in grapevines by biotechnology and genetic engineering. The expected beneﬁts of these manipulations on WUE of grapevines under water stress conditions are modelled. There are two main possible approaches to achieve this goal: (i) to improve CO2 diffusion to the sites of carboxylation without increasing stomatal conductance; and (ii) to improve the carboxylation efﬁciency of Ribulose-1,5-bisphosphate carboxylase/oxygenase (Rubisco). The ﬁrst goal could be attained by increasing mesophyll conductance to CO2, which partly depends on aquaporins. The second approach could be achieved by replacing Rubisco from grapevine with Rubiscos from other C3 species with higher speciﬁcity for CO2. In summary, the physiological bases and future prospects for improving grape yield and WUE under drought are established.","container-title":"Australian Journal of Grape and Wine Research","DOI":"10.1111/j.1755-0238.2009.00057.x","ISSN":"13227130, 17550238","language":"en","page":"106-121","source":"Crossref","title":"Improving water use efficiency in grapevines: potential physiological targets for biotechnological improvement","title-short":"Improving water use efficiency in grapevines","volume":"16","author":[{"family":"Flexas","given":"J."},{"family":"Galmã‰S","given":"J."},{"family":"Gallã","given":"A."},{"family":"GulãAs","given":"J."},{"family":"Pou","given":"A."},{"family":"Ribas-Carbo","given":"M."},{"family":"TomãS","given":"M."},{"family":"Medrano","given":"H."}],"issued":{"date-parts":[["2010",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(Flexas et al., 2010)</w:t>
            </w:r>
            <w:r>
              <w:rPr>
                <w:rFonts w:ascii="Calibri" w:eastAsia="Times New Roman" w:hAnsi="Calibri" w:cs="Calibri"/>
                <w:color w:val="000000"/>
                <w:sz w:val="16"/>
                <w:lang w:val="en-GB" w:eastAsia="en-GB"/>
              </w:rPr>
              <w:fldChar w:fldCharType="end"/>
            </w:r>
          </w:p>
        </w:tc>
        <w:tc>
          <w:tcPr>
            <w:tcW w:w="859" w:type="dxa"/>
          </w:tcPr>
          <w:p w14:paraId="0FAEA4B7" w14:textId="544EB14E"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1710" w:type="dxa"/>
          </w:tcPr>
          <w:p w14:paraId="1BACCE29" w14:textId="2ADA31A1"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 ST1</w:t>
            </w:r>
          </w:p>
        </w:tc>
        <w:tc>
          <w:tcPr>
            <w:tcW w:w="1431" w:type="dxa"/>
          </w:tcPr>
          <w:p w14:paraId="0C576EEA" w14:textId="7C15EB7A"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781455EF" w14:textId="7EF23D01"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c>
          <w:tcPr>
            <w:tcW w:w="460" w:type="dxa"/>
          </w:tcPr>
          <w:p w14:paraId="0269426E" w14:textId="4B018286"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93</w:t>
            </w:r>
          </w:p>
        </w:tc>
        <w:tc>
          <w:tcPr>
            <w:tcW w:w="1203" w:type="dxa"/>
          </w:tcPr>
          <w:p w14:paraId="2AA7537C" w14:textId="55698CD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sidRPr="00AD2ABD">
              <w:rPr>
                <w:rFonts w:ascii="Calibri" w:eastAsia="Times New Roman" w:hAnsi="Calibri" w:cs="Calibri"/>
                <w:color w:val="000000"/>
                <w:sz w:val="16"/>
                <w:lang w:val="en-GB" w:eastAsia="en-GB"/>
              </w:rPr>
              <w:instrText xml:space="preserve"> ADDIN ZOTERO_ITEM CSL_CITATION {"citationID":"l2XHwgJI","properties":{"formattedCitation":"(Serra et al., 2014)","plainCitation":"(Serra et al., 2014)","noteIndex":0},"citationItems":[{"id":3117,"uris":["http://zotero.org/users/2311545/items/5CDA2GS5"],"uri":["http://zotero.org/users/2311545/items/5CDA2GS5"],"itemData":{"id":3117,"type":"article-journal","abstract":"Water scarcity is a key limiting factor in agric</w:instrText>
            </w:r>
            <w:r>
              <w:rPr>
                <w:rFonts w:ascii="Calibri" w:eastAsia="Times New Roman" w:hAnsi="Calibri" w:cs="Calibri"/>
                <w:color w:val="000000"/>
                <w:sz w:val="16"/>
                <w:lang w:val="fr-FR" w:eastAsia="en-GB"/>
              </w:rPr>
              <w:instrText xml:space="preserve">ulture. Grapevines react at the physiological, biochemical and genetic level to tolerate water constraints. Even though grapevines are considered relatively tolerant to water deficits, grapevine growth and yield can be seriously reduced under water deficit. Drought-tolerant rootstocks are expected to enable the scion to grow and yield when water supply is limited. Genetic machinery allows rootstocks to control water extraction capacity and scion transpiration. Numerous works have demonstrated the positive role of drought-tolerant rootstocks on the control of cultivar's leaf stomatal conductance and therefore on canopy transpiration. The mechanisms, in terms of signalisation and gene functioning, need further study. Furthermore, there is no standardised methodology to rank rootstocks in terms of their tolerance to drought. A potential effect of rootstocks on stomatal development is also discussed. This review will critically discuss the current knowledge of the mechanisms of drought tolerance afforded by rootstocks, taking into account the scion/rootstock interaction, and will present some of the challenges for future investigations.","container-title":"Australian Journal of Grape and Wine Research","DOI":"10.1111/ajgw.12054","ISSN":"1755-0238","issue":"1","language":"en","note":"_eprint: https://onlinelibrary.wiley.com/doi/pdf/10.1111/ajgw.12054","page":"1-14","source":"Wiley Online Library","title":"Review: the interaction between rootstocks and cultivars (Vitis vinifera L.) to enhance drought tolerance in grapevine","title-short":"Review","volume":"20","author":[{"family":"Serra","given":"I."},{"family":"Strever","given":"A."},{"family":"Myburgh","given":"P. A."},{"family":"Deloire","given":"A."}],"issued":{"date-parts":[["2014"]]}}}],"schema":"https://github.com/citation-style-language/schema/raw/master/csl-citation.json"} </w:instrText>
            </w:r>
            <w:r>
              <w:rPr>
                <w:rFonts w:ascii="Calibri" w:eastAsia="Times New Roman" w:hAnsi="Calibri" w:cs="Calibri"/>
                <w:color w:val="000000"/>
                <w:sz w:val="16"/>
                <w:lang w:val="fr-FR" w:eastAsia="en-GB"/>
              </w:rPr>
              <w:fldChar w:fldCharType="separate"/>
            </w:r>
            <w:r w:rsidRPr="00AD2ABD">
              <w:rPr>
                <w:rFonts w:ascii="Calibri" w:hAnsi="Calibri"/>
                <w:sz w:val="16"/>
              </w:rPr>
              <w:t>(Serra et al., 2014)</w:t>
            </w:r>
            <w:r>
              <w:rPr>
                <w:rFonts w:ascii="Calibri" w:eastAsia="Times New Roman" w:hAnsi="Calibri" w:cs="Calibri"/>
                <w:color w:val="000000"/>
                <w:sz w:val="16"/>
                <w:lang w:val="fr-FR" w:eastAsia="en-GB"/>
              </w:rPr>
              <w:fldChar w:fldCharType="end"/>
            </w:r>
          </w:p>
        </w:tc>
        <w:tc>
          <w:tcPr>
            <w:tcW w:w="1269" w:type="dxa"/>
          </w:tcPr>
          <w:p w14:paraId="5AB91CBE" w14:textId="4BC75AB5"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South Africa</w:t>
            </w:r>
          </w:p>
        </w:tc>
        <w:tc>
          <w:tcPr>
            <w:tcW w:w="943" w:type="dxa"/>
          </w:tcPr>
          <w:p w14:paraId="1D080278" w14:textId="314FBAAC"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625" w:type="dxa"/>
          </w:tcPr>
          <w:p w14:paraId="13BFB78B" w14:textId="7D2E1528"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7F640133" w14:textId="6BEEA38D"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5D22E262" w14:textId="3A8F0D7E"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50AAE15D" w14:textId="4D010568"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39</w:t>
            </w:r>
          </w:p>
        </w:tc>
        <w:tc>
          <w:tcPr>
            <w:tcW w:w="1190" w:type="dxa"/>
            <w:hideMark/>
          </w:tcPr>
          <w:p w14:paraId="4D1421BE" w14:textId="610ACDEC" w:rsidR="00537A56" w:rsidRPr="005F2CAB"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fr-FR"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{"citationID":"1OLD7p52","properties":{"formattedCitation":"(Trigo-C\\uc0\\u243{}rdoba et al., 2015)","plainCitation":"(Trigo-Córdoba et al., 2015)","noteIndex":0},"citationItems":[{"id":2182,"uris":["http://zotero.org/users/2311545/items/DUNYLTG2"],"uri":["http://zotero.org/users/2311545/items/DUNYLTG2"],"itemData":{"id":2182,"type":"article-journal","abstract":"Galicia is a region located in NW Spain characterized by high rainfall amounts; however, climate change is altering the temporal and spatial distribution of rainfall. Thus, vinegrowers are concerned about this climate variability that may affect grape production and quality and, therefore, drip irrigation systems are increasingly being installed in Galician vineyards. Hence, the development of efficient irrigation management practices is required. In this regard, a field experiment was carried out over three seasons (2012–2014) on white Vitis vinifera L. cv. ‘Godello’ and ‘Treixadura’ in order to assess the effects of deficit irrigation on vine performance and must and wine composition. Rain-fed vines were compared with a treatment irrigated to 50% of the estimated crop evapotranspiration (ETc) from bloom to two weeks before harvest. Both cultivars showed more positive plant water status under irrigation than under rain-fed conditions; however, stomatal conductance and chlorophyll fluorescence attributes were similar between treatments. Yield was unaffected by irrigation except for Treixadura cultivar in 2014 (25% increase). On the contrary, irrigation increased pruning weight, around 15%, for both cultivars. Total soluble solids of the must decreased and total acidity increased with irrigation; however, the wines were very similar between treatments. Water productivity was higher under rain-fed conditions for Godello, which led to similar gross incomes between treatments but with a lower production cost for rain-fed. In the case of Treixadura, significantly higher gross incomes were estimated for irrigation only in the last year of studies, which may not justify the use of irrigation. Therefore, irrigation does not seem an economically viable agricultural practice under the conditions of this trial.","container-title":"Agricultural Water Management","DOI":"10.1016/j.agwat.2015.07.011","ISSN":"0378-3774","journalAbbreviation":"Agricultural Water Management","page":"20-30","source":"ScienceDirect","title":"Effects of deficit irrigation on the performance of grapevine (Vitis vinifera L.) cv. ‘Godello’ and ‘Treixadura’ in Ribeiro, NW Spain","volume":"161","author":[{"family":"Trigo-Córdoba","given":"Emiliano"},{"family":"Bouzas-Cid","given":"Yolanda"},{"family":"Orriols-Fernández","given":"Ignacio"},{"family":"Mirás-Avalos","given":"José Manuel"}],"issued":{"date-parts":[["2015",11,1]]}}}],"schema":"https://github.com/citation-style-language/schema/raw/master/csl-citation.json"} </w:instrText>
            </w:r>
            <w:r>
              <w:rPr>
                <w:rFonts w:ascii="Calibri" w:eastAsia="Times New Roman" w:hAnsi="Calibri" w:cs="Calibri"/>
                <w:color w:val="000000"/>
                <w:sz w:val="16"/>
                <w:lang w:val="fr-FR" w:eastAsia="en-GB"/>
              </w:rPr>
              <w:fldChar w:fldCharType="separate"/>
            </w:r>
            <w:r w:rsidRPr="00CE1C4A">
              <w:rPr>
                <w:rFonts w:ascii="Calibri" w:hAnsi="Calibri" w:cs="Times New Roman"/>
                <w:sz w:val="16"/>
                <w:szCs w:val="24"/>
              </w:rPr>
              <w:t>(Trigo-Córdoba et al., 2015)</w:t>
            </w:r>
            <w:r>
              <w:rPr>
                <w:rFonts w:ascii="Calibri" w:eastAsia="Times New Roman" w:hAnsi="Calibri" w:cs="Calibri"/>
                <w:color w:val="000000"/>
                <w:sz w:val="16"/>
                <w:lang w:val="fr-FR" w:eastAsia="en-GB"/>
              </w:rPr>
              <w:fldChar w:fldCharType="end"/>
            </w:r>
          </w:p>
        </w:tc>
        <w:tc>
          <w:tcPr>
            <w:tcW w:w="859" w:type="dxa"/>
          </w:tcPr>
          <w:p w14:paraId="07D0F858" w14:textId="69F4CD22"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1710" w:type="dxa"/>
          </w:tcPr>
          <w:p w14:paraId="3ECCD86A" w14:textId="39F1AEF0"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431" w:type="dxa"/>
          </w:tcPr>
          <w:p w14:paraId="61365B2D" w14:textId="6FF7A5CC"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6FEF2F37" w14:textId="2E1B392A"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1F759D5E" w14:textId="42565ABB"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Pr>
                <w:rFonts w:ascii="Calibri" w:eastAsia="Times New Roman" w:hAnsi="Calibri" w:cs="Calibri"/>
                <w:b/>
                <w:color w:val="000000"/>
                <w:sz w:val="16"/>
                <w:lang w:val="en-GB" w:eastAsia="en-GB"/>
              </w:rPr>
              <w:t>94</w:t>
            </w:r>
          </w:p>
        </w:tc>
        <w:tc>
          <w:tcPr>
            <w:tcW w:w="1203" w:type="dxa"/>
          </w:tcPr>
          <w:p w14:paraId="11A38201" w14:textId="116E9BB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{"citationID":"JVRpuafE","properties":{"formattedCitation":"(Simonneau et al., 2017)","plainCitation":"(Simonneau et al., 2017)","noteIndex":0},"citationItems":[{"id":2431,"uris":["http://zotero.org/users/2311545/items/IH9NG7UZ"],"uri":["http://zotero.org/users/2311545/items/IH9NG7UZ"],"itemData":{"id":2431,"type":"article-journal","container-title":"OENO One","DOI":"10.20870/oeno-one.2017.51.2.1870","ISSN":"2494-1271","issue":"2","journalAbbreviation":"1","language":"en","page":"167-179","source":"oeno-one.eu","title":"Adapting plant material to face water stress in vineyards: which physiological targets for an optimal control of plant water status?","title-short":"Adapting plant material to face water stress in vineyards","volume":"51","author":[{"family":"Simonneau","given":"T."},{"family":"Lebon","given":"E."},{"family":"Coupel-Ledru","given":"A."},{"family":"Marguerit","given":"E."},{"family":"Rossdeutsch","given":"L."},{"family":"Ollat","given":"N."}],"issued":{"date-parts":[["2017",5,15]]}}}],"schema":"https://github.com/citation-style-language/schema/raw/master/csl-citation.json"} </w:instrText>
            </w:r>
            <w:r>
              <w:rPr>
                <w:rFonts w:ascii="Calibri" w:eastAsia="Times New Roman" w:hAnsi="Calibri" w:cs="Calibri"/>
                <w:color w:val="000000"/>
                <w:sz w:val="16"/>
                <w:lang w:val="fr-FR" w:eastAsia="en-GB"/>
              </w:rPr>
              <w:fldChar w:fldCharType="separate"/>
            </w:r>
            <w:r w:rsidRPr="00AD2ABD">
              <w:rPr>
                <w:rFonts w:ascii="Calibri" w:hAnsi="Calibri"/>
                <w:sz w:val="16"/>
              </w:rPr>
              <w:t>(Simonneau et al., 2017)</w:t>
            </w:r>
            <w:r>
              <w:rPr>
                <w:rFonts w:ascii="Calibri" w:eastAsia="Times New Roman" w:hAnsi="Calibri" w:cs="Calibri"/>
                <w:color w:val="000000"/>
                <w:sz w:val="16"/>
                <w:lang w:val="fr-FR" w:eastAsia="en-GB"/>
              </w:rPr>
              <w:fldChar w:fldCharType="end"/>
            </w:r>
          </w:p>
        </w:tc>
        <w:tc>
          <w:tcPr>
            <w:tcW w:w="1269" w:type="dxa"/>
          </w:tcPr>
          <w:p w14:paraId="671A3687" w14:textId="39EFBEED"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943" w:type="dxa"/>
          </w:tcPr>
          <w:p w14:paraId="35A50CB4" w14:textId="0A90911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625" w:type="dxa"/>
          </w:tcPr>
          <w:p w14:paraId="046243C3" w14:textId="7CD34D4B"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1D05804E" w14:textId="51493938"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12123C67" w14:textId="7717E887"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1E53A025" w14:textId="53180DA2"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40</w:t>
            </w:r>
          </w:p>
        </w:tc>
        <w:tc>
          <w:tcPr>
            <w:tcW w:w="1190" w:type="dxa"/>
            <w:hideMark/>
          </w:tcPr>
          <w:p w14:paraId="175F1A69" w14:textId="0F4F7F56" w:rsidR="00537A56" w:rsidRPr="005F2CAB"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{"citationID":"hep32a39","properties":{"formattedCitation":"(Carvalho-Santos et al., 2016)","plainCitation":"(Carvalho-Santos et al., 2016)","noteIndex":0},"citationItems":[{"id":1867,"uris":["http://zotero.org/users/2311545/items/A7P9JEZX"],"uri":["http://zotero.org/users/2311545/items/A7P9JEZX"],"itemData":{"id":1867,"type":"article-journal","abstract":"The separated and combined effects of land-cover scenarios and future climate on the provision of hydrological services were evaluated in Vez watershed, northern Portugal. Soil and Water Assessment Tool was calibrated against daily discharge, sediments and nitrates, with good agreements between model predictions and ﬁeld observations. Four hypothetical land-cover scenarios were applied under current climate conditions (eucalyptus/pine, oak, agriculture/vine and low vegetation). A statistical downscaling of four General Circulation Models, bias-corrected with ground observations, was carried out for 2021–2040 and 2041–2060, using representative concentration pathway 4.5 scenario. Also, the combined effects of future climate conditions were evaluated under eucalyptus/pine and agriculture/vine scenario.","container-title":"Hydrological Processes","DOI":"10.1002/hyp.10621","ISSN":"08856087","issue":"5","language":"en","page":"720-738","source":"Crossref","title":"Assessing the effects of land cover and future climate conditions on the provision of hydrological services in a medium-sized watershed of Portugal: Impacts of Land Cover and Future Climate on Hydrological Services","title-short":"Assessing the effects of land cover and future climate conditions on the provision of hydrological services in a medium-sized watershed of Portugal","volume":"30","author":[{"family":"Carvalho-Santos","given":"Claudia"},{"family":"Nunes","given":"João Pedro"},{"family":"Monteiro","given":"António T."},{"family":"Hein","given":"Lars"},{"family":"Honrado","given":"João Pradinho"}],"issued":{"date-parts":[["2016",2,28]]}}}],"schema":"https://github.com/citation-style-language/schema/raw/master/csl-citation.json"}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(Carvalho-Santos et al., 2016)</w:t>
            </w:r>
            <w:r>
              <w:rPr>
                <w:rFonts w:ascii="Calibri" w:eastAsia="Times New Roman" w:hAnsi="Calibri" w:cs="Calibri"/>
                <w:color w:val="000000"/>
                <w:sz w:val="16"/>
                <w:lang w:val="en-GB" w:eastAsia="en-GB"/>
              </w:rPr>
              <w:fldChar w:fldCharType="end"/>
            </w:r>
          </w:p>
        </w:tc>
        <w:tc>
          <w:tcPr>
            <w:tcW w:w="859" w:type="dxa"/>
          </w:tcPr>
          <w:p w14:paraId="3E7329CD" w14:textId="6F6E7C59"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1710" w:type="dxa"/>
          </w:tcPr>
          <w:p w14:paraId="6BF95DE8" w14:textId="76D4028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w:t>
            </w:r>
          </w:p>
        </w:tc>
        <w:tc>
          <w:tcPr>
            <w:tcW w:w="1431" w:type="dxa"/>
          </w:tcPr>
          <w:p w14:paraId="33C9CC2C" w14:textId="0AA07454"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137" w:type="dxa"/>
          </w:tcPr>
          <w:p w14:paraId="22C066EC" w14:textId="656CC604"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1BE5540C" w14:textId="012506AB"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95</w:t>
            </w:r>
          </w:p>
        </w:tc>
        <w:tc>
          <w:tcPr>
            <w:tcW w:w="1203" w:type="dxa"/>
          </w:tcPr>
          <w:p w14:paraId="657FEFBE" w14:textId="047D8220"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{"citationID":"GQY881E7","properties":{"formattedCitation":"(Romero et al., 2018)","plainCitation":"(Romero et al., 2018)","noteIndex":0},"citationItems":[{"id":2186,"uris":["http://zotero.org/users/2311545/items/YINPEBL3"],"uri":["http://zotero.org/users/2311545/items/YINPEBL3"],"itemData":{"id":2186,"type":"article-journal","abstract":"Regulated deficit irrigation (RDI) and partial root zone irrigation (PRI) were compared for five years, in field-grown mature Monastrell grapevines grafted on five different rootstocks (140Ru, 1103 P, 41B, 110R, and 161-49C), in the semiarid winegrowing region of D.O. Bullas, South Eastern Spain. Vines grafted on invigorating rootstocks (140Ru or 1103 P) showed the highest vigor, water productivity, and productive water use efficiency (WUEyield), but at the expense of berry quality (lower berry quality indices, QI), compared to those on rootstocks of medium-low vigor (41B, 110R, and 161-49C). Vines grafted on 41B showed a moderate vigor-yield-efficiency-quality response, and this did not improve substantially the final berry quality. The least vigorous rootstocks (161-49C and 110R) gave lower yield, WUEyield, and productivity ratios, but a significant improvement in long-term final berry quality. The PRI increased the yield and/or berry quality attributes, especially in low vigor rootstocks (161-49C, 110R) and high vigor rootstocks (140Ru, 1103 P), but not in the medium vigor rootstock 41B. In addition, PRI produced a beneficial increase in the nutraceutical potential for practically all rootstocks. The PRI vines grafted on 161-49C gave the lowest yield and WUEyield, but the highest QI scores and the highest nutraceutical value, while PRI vines grafted on 110R had enhanced long-term yield, WUEyield, and amino acid and resveratrol contents, with similar berry quality (QI) indices, compared to RDI vines. Both 161-49C and 110R seem good options to achieve a compromise between long-term yield-quality-efficiency and returns for the grower. The application of low water volumes (85-90 mm year−1) with well-designed DI strategies was enough to maintain the vines in an optimum physiological state, obtaining moderate yields (7,400–9,900 kg ha−1, for 161-49C and 110R) with high berry quality and nutraceutical potential for premium red wine production. Such an approach can serve as an adaptation measure in the face of climate change, to improve vine performance and enhance Monastrell vineyard sustainability under semiarid and water limiting conditions.","container-title":"Agricultural Water Management","DOI":"10.1016/j.agwat.2018.07.012","ISSN":"0378-3774","journalAbbreviation":"Agricultural Water Management","page":"73-93","source":"ScienceDirect","title":"Selecting rootstocks to improve vine performance and vineyard sustainability in deficit irrigated Monastrell grapevines under semiarid conditions","volume":"209","author":[{"family":"Romero","given":"Pascual"},{"family":"Botía","given":"Pablo"},{"family":"Navarro","given":"Josefa María"}],"issued":{"date-parts":[["2018",10,30]]}}}],"schema":"https://github.com/citation-style-language/schema/raw/master/csl-citation.json"}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(Romero et al., 2018)</w:t>
            </w:r>
            <w:r>
              <w:rPr>
                <w:rFonts w:ascii="Calibri" w:eastAsia="Times New Roman" w:hAnsi="Calibri" w:cs="Calibri"/>
                <w:color w:val="000000"/>
                <w:sz w:val="16"/>
                <w:lang w:val="en-GB" w:eastAsia="en-GB"/>
              </w:rPr>
              <w:fldChar w:fldCharType="end"/>
            </w:r>
          </w:p>
        </w:tc>
        <w:tc>
          <w:tcPr>
            <w:tcW w:w="1269" w:type="dxa"/>
          </w:tcPr>
          <w:p w14:paraId="7BB37F2F" w14:textId="3D7C5686"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4DADE37A" w14:textId="73AAD4D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LT2</w:t>
            </w:r>
          </w:p>
        </w:tc>
        <w:tc>
          <w:tcPr>
            <w:tcW w:w="1625" w:type="dxa"/>
          </w:tcPr>
          <w:p w14:paraId="2DD95680" w14:textId="372133BC"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6B408C16" w14:textId="0FCA8B31"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5FDF16ED" w14:textId="264B0A60"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60A3EA2C" w14:textId="0632ADE2"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41</w:t>
            </w:r>
          </w:p>
        </w:tc>
        <w:tc>
          <w:tcPr>
            <w:tcW w:w="1190" w:type="dxa"/>
            <w:hideMark/>
          </w:tcPr>
          <w:p w14:paraId="50712090" w14:textId="50772606"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{"citationID":"ITW642iN","properties":{"formattedCitation":"(Concepci\\uc0\\u243{}n Ramos, 2016)","plainCitation":"(Concepción Ramos, 2016)","noteIndex":0},"citationItems":[{"id":2603,"uris":["http://zotero.org/users/2311545/items/86PRK96Q"],"uri":["http://zotero.org/users/2311545/items/86PRK96Q"],"itemData":{"id":2603,"type":"article-journal","abstract":"Most vines in the Mediterranean are cultivated on bare soils, due to the scarcity of water. In addition, most traditional soil conservation measures have been eliminated to facilitate the movement of machinery in the fields. In such conditions, high erosion rates are recorded. Given the predicted changes in precipitation and an increasing number of extreme events, an increase in erosion processes is expected. In this study, erosion processes under different climate change scenarios were evaluated as well as the effects of implementing drainage terraces in vineyards. Soil losses were simulated using the WEPP model. The results confirmed the relevance of extreme events on annual soil losses. The WEPP model gave satisfactory results in predicting runoff and soil losses, although the soil losses recorded after some extreme events were under-predicted. The model responded to changes in precipitation and because of that a decrease in precipitation gave rise to a decrease in soil losses. For the scenario in 2050, runoff volumes decreased between 19.1 and 50.1%, while erosion rates decreased between 34 and 56%. However, the expected increase in rainfall intensity may contribute to higher erosion rates than at present. The construction of drainage terraces, perpendicular to the maximum slope, 3 m wide and 30 m between terraces, may lead to an average decrease in soil losses of about 45%.","container-title":"AIMS Agriculture and Food","DOI":"10.3934/agrfood.2016.2.124","ISSN":"2471-2086","issue":"2","language":"en","page":"124-143","source":"DOI.org (Crossref)","title":"Soil losses in rainfed Mediterranean vineyards under climate change scenarios. The effects of drainage terraces.","volume":"1","author":[{"family":"Concepción Ramos","given":"María"}],"issued":{"date-parts":[["2016"]]}}}],"schema":"https://github.com/citation-style-language/schema/raw/master/csl-citation.json"} </w:instrText>
            </w:r>
            <w:r>
              <w:rPr>
                <w:rFonts w:ascii="Calibri" w:eastAsia="Times New Roman" w:hAnsi="Calibri" w:cs="Calibri"/>
                <w:color w:val="000000"/>
                <w:sz w:val="16"/>
                <w:lang w:val="en-GB" w:eastAsia="en-GB"/>
              </w:rPr>
              <w:fldChar w:fldCharType="separate"/>
            </w:r>
            <w:r>
              <w:rPr>
                <w:rFonts w:ascii="Calibri" w:hAnsi="Calibri" w:cs="Times New Roman"/>
                <w:sz w:val="16"/>
                <w:szCs w:val="24"/>
              </w:rPr>
              <w:t>(</w:t>
            </w:r>
            <w:r w:rsidRPr="00CE1C4A">
              <w:rPr>
                <w:rFonts w:ascii="Calibri" w:hAnsi="Calibri" w:cs="Times New Roman"/>
                <w:sz w:val="16"/>
                <w:szCs w:val="24"/>
              </w:rPr>
              <w:t>Ramos, 2016)</w:t>
            </w:r>
            <w:r>
              <w:rPr>
                <w:rFonts w:ascii="Calibri" w:eastAsia="Times New Roman" w:hAnsi="Calibri" w:cs="Calibri"/>
                <w:color w:val="000000"/>
                <w:sz w:val="16"/>
                <w:lang w:val="en-GB" w:eastAsia="en-GB"/>
              </w:rPr>
              <w:fldChar w:fldCharType="end"/>
            </w:r>
          </w:p>
        </w:tc>
        <w:tc>
          <w:tcPr>
            <w:tcW w:w="859" w:type="dxa"/>
          </w:tcPr>
          <w:p w14:paraId="150CD7F7" w14:textId="7CA54ADB"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1710" w:type="dxa"/>
          </w:tcPr>
          <w:p w14:paraId="51DFEF97" w14:textId="63176F11"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LT3</w:t>
            </w:r>
          </w:p>
        </w:tc>
        <w:tc>
          <w:tcPr>
            <w:tcW w:w="1431" w:type="dxa"/>
          </w:tcPr>
          <w:p w14:paraId="297D9274" w14:textId="489B7FAD"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137" w:type="dxa"/>
          </w:tcPr>
          <w:p w14:paraId="117F91F7" w14:textId="18F5656A"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7818FD84" w14:textId="684A8CBF"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96</w:t>
            </w:r>
          </w:p>
        </w:tc>
        <w:tc>
          <w:tcPr>
            <w:tcW w:w="1203" w:type="dxa"/>
          </w:tcPr>
          <w:p w14:paraId="1200186D" w14:textId="0F067333"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{"citationID":"9JcVTOOA","properties":{"formattedCitation":"(Savi et al., 2018)","plainCitation":"(Savi et al., 2018)","noteIndex":0},"citationItems":[{"id":2767,"uris":["http://zotero.org/users/2311545/items/CWPBFDFF"],"uri":["http://zotero.org/users/2311545/items/CWPBFDFF"],"itemData":{"id":2767,"type":"article-journal","abstract":"Ongoing variations in rainfall and temperature regimes affect the physiology and productivity of grapevines, calling for irrigation in drought-prone areas. During vintage 2015, we monitored plants water status and indirectly assessed rooting depth and exploited water sources (oxygen isotope analyses) in a mature Vitis vinifera cv. Malvasia Istriana vineyard on red soils (“terra rossa”) developed on highly permeable carbonate rocks. We also investigated effects of topsoil irrigation or late summer rains on plant water status and yield. Under the harsh summer environmental conditions of 2015, the plant water status was overall favorable (moderate water deficit) and never reached critical levels, suggesting that irrigation was not mandatory. Leaf conductance to water vapor (gL) measured in July decreased by about 70% compared to spring, while minimum leaf water potential (Ψmin) dropped by only 16%, suggesting an isohydric behavior of the cultivar (strict stomatal control of transpiration). Both Ψmin and gL reached a minimum in July (peak of drought), and returned to pre-drought values in late summer. Rainfalls or supplemental irrigation (about 40 mm) promoted prompt recovery of plant water status. Irrigation treatments or occasional summer rainfalls can influence the water status of plants, although roots have access to deep water sources. In fact, the isotopic composition of xylem sap was similar to that of soil water sampled in a nearby deep cave, supporting the hypothesis that deep soil is the main water source for grapevines in karstic areas during summertime. Deficit irrigation, based on careful evaluation of physiological indicators of plant water status, might be an effective strategy for promoting sustainable viticulture, and a rationale use of water resources in karstic ecosystems.","container-title":"Agriculture, Ecosystems &amp; Environment","DOI":"10.1016/j.agee.2018.05.009","ISSN":"0167-8809","journalAbbreviation":"Agriculture, Ecosystems &amp; Environment","page":"53-59","source":"ScienceDirect","title":"Vineyard water relations in a karstic area: deep roots and irrigation management","title-short":"Vineyard water relations in a karstic area","volume":"263","author":[{"family":"Savi","given":"Tadeja"},{"family":"Petruzzellis","given":"Francesco"},{"family":"Martellos","given":"Stefano"},{"family":"Stenni","given":"Barbara"},{"family":"Dal Borgo","given":"Anna"},{"family":"Zini","given":"Luca"},{"family":"Lisjak","given":"Klemen"},{"family":"Nardini","given":"Andrea"}],"issued":{"date-parts":[["2018",8,1]]}}}],"schema":"https://github.com/citation-style-language/schema/raw/master/csl-citation.json"}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(Savi et al., 2018)</w:t>
            </w:r>
            <w:r>
              <w:rPr>
                <w:rFonts w:ascii="Calibri" w:eastAsia="Times New Roman" w:hAnsi="Calibri" w:cs="Calibri"/>
                <w:color w:val="000000"/>
                <w:sz w:val="16"/>
                <w:lang w:val="en-GB" w:eastAsia="en-GB"/>
              </w:rPr>
              <w:fldChar w:fldCharType="end"/>
            </w:r>
          </w:p>
        </w:tc>
        <w:tc>
          <w:tcPr>
            <w:tcW w:w="1269" w:type="dxa"/>
          </w:tcPr>
          <w:p w14:paraId="529615D0" w14:textId="66103702"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50306432" w14:textId="30233ADE"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5557260B" w14:textId="5504BDA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27D9CB62" w14:textId="31ED86D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450AA689" w14:textId="695C4584"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C7F671B" w14:textId="239B7FA7" w:rsidR="00537A56" w:rsidRPr="00EF0654" w:rsidRDefault="00537A56" w:rsidP="00537A56">
            <w:pPr>
              <w:spacing w:before="0" w:after="0"/>
              <w:rPr>
                <w:rFonts w:ascii="Calibri" w:eastAsia="Times New Roman" w:hAnsi="Calibri" w:cs="Calibri"/>
                <w:color w:val="000000"/>
                <w:sz w:val="16"/>
                <w:lang w:val="en-GB" w:eastAsia="en-GB"/>
              </w:rPr>
            </w:pPr>
            <w:r w:rsidRPr="00EF0654">
              <w:rPr>
                <w:rFonts w:ascii="Calibri" w:eastAsia="Times New Roman" w:hAnsi="Calibri" w:cs="Calibri"/>
                <w:color w:val="000000"/>
                <w:sz w:val="16"/>
                <w:lang w:val="en-GB" w:eastAsia="en-GB"/>
              </w:rPr>
              <w:t>4</w:t>
            </w:r>
            <w:r>
              <w:rPr>
                <w:rFonts w:ascii="Calibri" w:eastAsia="Times New Roman" w:hAnsi="Calibri" w:cs="Calibri"/>
                <w:color w:val="000000"/>
                <w:sz w:val="16"/>
                <w:lang w:val="en-GB" w:eastAsia="en-GB"/>
              </w:rPr>
              <w:t>2</w:t>
            </w:r>
          </w:p>
        </w:tc>
        <w:tc>
          <w:tcPr>
            <w:tcW w:w="1190" w:type="dxa"/>
            <w:hideMark/>
          </w:tcPr>
          <w:p w14:paraId="23BF8E06" w14:textId="1C624225"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{"citationID":"hIw2pia3","properties":{"formattedCitation":"(Dal Santo et al., 2016)","plainCitation":"(Dal Santo et al., 2016)","noteIndex":0},"citationItems":[{"id":3190,"uris":["http://zotero.org/users/2311545/items/MKRPAFSS"],"uri":["http://zotero.org/users/2311545/items/MKRPAFSS"],"itemData":{"id":3190,"type":"article-journal","abstract":"Grapevine (Vitis vinifera L.) is an economically important crop with a wide geographical distribution, reflecting its ability to grow successfully in a range of climates. However, many vineyards are located in regions with seasonal drought, and these are often predicted to be global climate change hotspots. Climate change affects the entire physiology of grapevine, with strong effects on yield, wine quality and typicity, making it difficult to produce berries of optimal enological quality and consistent stability over the forthcoming decades.","container-title":"BMC Genomics","DOI":"10.1186/s12864-016-3136-x","ISSN":"1471-2164","issue":"1","journalAbbreviation":"BMC Genomics","page":"815","source":"BioMed Central","title":"Distinct transcriptome responses to water limitation in isohydric and anisohydric grapevine cultivars","volume":"17","author":[{"family":"Dal Santo","given":"Silvia"},{"family":"Palliotti","given":"Alberto"},{"family":"Zenoni","given":"Sara"},{"family":"Tornielli","given":"Giovanni Battista"},{"family":"Fasoli","given":"Marianna"},{"family":"Paci","given":"Paola"},{"family":"Tombesi","given":"Sergio"},{"family":"Frioni","given":"Tommaso"},{"family":"Silvestroni","given":"Oriana"},{"family":"Bellincontro","given":"Andrea"},{"family":"Onofrio","given":"Claudio","non-dropping-particle":"d’"},{"family":"Matarese","given":"Fabiola"},{"family":"Gatti","given":"Matteo"},{"family":"Poni","given":"Stefano"},{"family":"Pezzotti","given":"Mario"}],"issued":{"date-parts":[["2016",10,20]]}}}],"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(Dal Santo et al., 2016)</w:t>
            </w:r>
            <w:r>
              <w:rPr>
                <w:rFonts w:ascii="Calibri" w:eastAsia="Times New Roman" w:hAnsi="Calibri" w:cs="Calibri"/>
                <w:color w:val="000000"/>
                <w:sz w:val="16"/>
                <w:lang w:val="en-GB" w:eastAsia="en-GB"/>
              </w:rPr>
              <w:fldChar w:fldCharType="end"/>
            </w:r>
          </w:p>
        </w:tc>
        <w:tc>
          <w:tcPr>
            <w:tcW w:w="859" w:type="dxa"/>
          </w:tcPr>
          <w:p w14:paraId="46FE99DC" w14:textId="6C359C62"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285E17FC" w14:textId="28C5CAB7"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236C383E" w14:textId="107DDC6D"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7AA05319" w14:textId="194064C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5294F9FD" w14:textId="005ABCA7"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97</w:t>
            </w:r>
          </w:p>
        </w:tc>
        <w:tc>
          <w:tcPr>
            <w:tcW w:w="1203" w:type="dxa"/>
          </w:tcPr>
          <w:p w14:paraId="5F274E4C" w14:textId="3403FE47"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{"citationID":"ZvSygq0c","properties":{"formattedCitation":"(Schelezki et al., 2018)","plainCitation":"(Schelezki et al., 2018)","noteIndex":0},"citationItems":[{"id":2764,"uris":["http://zotero.org/users/2311545/items/6FFWXMJD"],"uri":["http://zotero.org/users/2311545/items/6FFWXMJD"],"itemData":{"id":2764,"type":"article-journal","abstract":"A changing climate has led to winegrapes being harvested with increased sugar levels and at greater risk of berry shrivel. A suggested easy-to-adopt strategy to manage the associated rising wine alcohol levels is the pre-fermentative substitution of juice with either “green harvest wine” or water. Our study investigates the effects of this approach on Vitis vinifera L. cv. Cabernet Sauvignon wine quality attributes. Wines were also made from fruit collected at consecutive earlier harvest time points to produce wines comparable in alcohol to the substituted wines. Tannin concentrations and colour did not change significantly in the wines with modified alcohol content even at higher juice substitution rates. Differences in polysaccharide and tannin composition indicated variability in extraction dynamics according to substitution rate and type of blending component. In scenarios where berry shrivel is inevitable, the incorporation of water in particular offers much promise as part of a strategy to manage wine alcohol content.","container-title":"Food Chemistry","DOI":"10.1016/j.foodchem.2017.10.024","ISSN":"0308-8146","journalAbbreviation":"Food Chemistry","page":"50-59","source":"ScienceDirect","title":"Comparison of consecutive harvests versus blending treatments to produce lower alcohol wines from Cabernet Sauvignon grapes: Impact on polysaccharide and tannin content and composition","title-short":"Comparison of consecutive harvests versus blending treatments to produce lower alcohol wines from Cabernet Sauvignon grapes","volume":"244","author":[{"family":"Schelezki","given":"Olaf J."},{"family":"Smith","given":"Paul A."},{"family":"Hranilovic","given":"Ana"},{"family":"Bindon","given":"Keren A."},{"family":"Jeffery","given":"David W."}],"issued":{"date-parts":[["2018",4,1]]}}}],"schema":"https://github.com/citation-style-language/schema/raw/master/csl-citation.json"}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(Schelezki et al., 2018)</w:t>
            </w:r>
            <w:r>
              <w:rPr>
                <w:rFonts w:ascii="Calibri" w:eastAsia="Times New Roman" w:hAnsi="Calibri" w:cs="Calibri"/>
                <w:color w:val="000000"/>
                <w:sz w:val="16"/>
                <w:lang w:val="en-GB" w:eastAsia="en-GB"/>
              </w:rPr>
              <w:fldChar w:fldCharType="end"/>
            </w:r>
          </w:p>
        </w:tc>
        <w:tc>
          <w:tcPr>
            <w:tcW w:w="1269" w:type="dxa"/>
          </w:tcPr>
          <w:p w14:paraId="53E4A6F1" w14:textId="171B29E3"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943" w:type="dxa"/>
          </w:tcPr>
          <w:p w14:paraId="418D1CF5" w14:textId="62CFAB1F"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ST4</w:t>
            </w:r>
          </w:p>
        </w:tc>
        <w:tc>
          <w:tcPr>
            <w:tcW w:w="1625" w:type="dxa"/>
          </w:tcPr>
          <w:p w14:paraId="4A83685E" w14:textId="394050C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341" w:type="dxa"/>
          </w:tcPr>
          <w:p w14:paraId="13E3CDC5" w14:textId="73684433"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387E5098" w14:textId="2559B8DD"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44A3A5DE" w14:textId="1343B0D3"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43</w:t>
            </w:r>
          </w:p>
        </w:tc>
        <w:tc>
          <w:tcPr>
            <w:tcW w:w="1190" w:type="dxa"/>
            <w:hideMark/>
          </w:tcPr>
          <w:p w14:paraId="24A1D493" w14:textId="02595AA4"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{"citationID":"CUU92XxX","properties":{"formattedCitation":"(Galbreath, 2011)","plainCitation":"(Galbreath, 2011)","noteIndex":0},"citationItems":[{"id":2717,"uris":["http://zotero.org/users/2311545/items/WW2HV3YH"],"uri":["http://zotero.org/users/2311545/items/WW2HV3YH"],"itemData":{"id":2717,"type":"article-journal","abstract":"Most studies on climate change response have examined reductions in greenhouse gas (GHG) emissions. Yet these studies do not take into account ecosystem services constraints and biophysical disruptions wrought by climate change that may require broader types of response. By studying a ﬁrm in the wine industry and using a research approach not constrained by structured methodologies or biased toward GHG emissions, the ﬁndings suggest that both ‘‘inside out’’ and ‘‘outside in’’ actions are taken in response to climate change. While attempts are made by the ﬁrm to curtail and reverse climate change through management of carbon emissions, evidence suggests a clear pattern of actions designed to adjust to the adverse consequences of climate change as well. The results both conﬁrm and extend previous ﬁndings and suggest that the level and breadth of response to climate change is shaped by situated attention, structural controls, and industry type.","container-title":"Journal of Business Ethics","DOI":"10.1007/s10551-011-0919-5","ISSN":"0167-4544, 1573-0697","issue":"3","journalAbbreviation":"J Bus Ethics","language":"en","page":"421-432","source":"DOI.org (Crossref)","title":"To What Extent is Business Responding to Climate Change? Evidence from a Global Wine Producer","title-short":"To What Extent is Business Responding to Climate Change?","volume":"104","author":[{"family":"Galbreath","given":"Jeremy"}],"issued":{"date-parts":[["2011",12]]}}}],"schema":"https://github.com/citation-style-language/schema/raw/master/csl-citation.json"}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(Galbreath, 2011)</w:t>
            </w:r>
            <w:r>
              <w:rPr>
                <w:rFonts w:ascii="Calibri" w:eastAsia="Times New Roman" w:hAnsi="Calibri" w:cs="Calibri"/>
                <w:color w:val="000000"/>
                <w:sz w:val="16"/>
                <w:lang w:val="en-GB" w:eastAsia="en-GB"/>
              </w:rPr>
              <w:fldChar w:fldCharType="end"/>
            </w:r>
          </w:p>
        </w:tc>
        <w:tc>
          <w:tcPr>
            <w:tcW w:w="859" w:type="dxa"/>
          </w:tcPr>
          <w:p w14:paraId="22236A5C" w14:textId="5FBD39EF"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1710" w:type="dxa"/>
          </w:tcPr>
          <w:p w14:paraId="4EED3F10" w14:textId="30615C6C"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431" w:type="dxa"/>
          </w:tcPr>
          <w:p w14:paraId="37CB1919" w14:textId="477E0D80"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000560F5" w14:textId="56680FBF"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1F75AE22" w14:textId="020D4B2C"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98</w:t>
            </w:r>
          </w:p>
        </w:tc>
        <w:tc>
          <w:tcPr>
            <w:tcW w:w="1203" w:type="dxa"/>
          </w:tcPr>
          <w:p w14:paraId="7BB98E6D" w14:textId="5309872A"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{"citationID":"osM2NNCq","properties":{"formattedCitation":"(Tom\\uc0\\u225{}s et al., 2014)","plainCitation":"(Tomás et al., 2014)","noteIndex":0},"citationItems":[{"id":2356,"uris":["http://zotero.org/users/2311545/items/LBN9ZJ93"],"uri":["http://zotero.org/users/2311545/items/LBN9ZJ93"],"itemData":{"id":2356,"type":"article-journal","abstract":"Predictions of climate change indicate an increase in water scarcity in Mediterranean areas. Therefore, improving water use efficiency (WUE) becomes crucial for sustainable viticulture in the Mediterranean for both grapevine growth and fruit productivity. Variability of WUE between cultivars presents an opportunity to select the most appropriate cultivars in viticultural areas with increasing aridity. In this review, an update on the variability of WUE in different grapevine cultivars and environmental conditions is presented. Most studies on WUE are focused at the leaf level and frequently used to estimate whole-plant WUE. However, there are large discrepancies when scaling-up WUE from leaf to whole-plant level. There are several structural and physiological processes, not included in leaf WUE measurements, considered as possible factors to solve the gap between leaf and whole-plant WUE. Canopy structure and plant respiration are described as the most important components involved in whole-plant WUE regulation, and proposed as potential targets for its improvement.","collection-title":"Response to abiotic stresses of plants of Mediterranean-type ecosystems","container-title":"Environmental and Experimental Botany","DOI":"10.1016/j.envexpbot.2013.09.003","ISSN":"0098-8472","journalAbbreviation":"Environmental and Experimental Botany","page":"148-157","source":"ScienceDirect","title":"Variability of water use efficiency in grapevines","volume":"103","author":[{"family":"Tomás","given":"Magdalena"},{"family":"Medrano","given":"Hipólito"},{"family":"Escalona","given":"Jose M."},{"family":"Martorell","given":"Sebastià"},{"family":"Pou","given":"Alicia"},{"family":"Ribas-Carbó","given":"Miquel"},{"family":"Flexas","given":"Jaume"}],"issued":{"date-parts":[["2014",7,1]]}}}],"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cs="Times New Roman"/>
                <w:sz w:val="16"/>
                <w:szCs w:val="24"/>
              </w:rPr>
              <w:t>(Tomás et al., 2014)</w:t>
            </w:r>
            <w:r>
              <w:rPr>
                <w:rFonts w:ascii="Calibri" w:eastAsia="Times New Roman" w:hAnsi="Calibri" w:cs="Calibri"/>
                <w:color w:val="000000"/>
                <w:sz w:val="16"/>
                <w:lang w:val="en-GB" w:eastAsia="en-GB"/>
              </w:rPr>
              <w:fldChar w:fldCharType="end"/>
            </w:r>
          </w:p>
        </w:tc>
        <w:tc>
          <w:tcPr>
            <w:tcW w:w="1269" w:type="dxa"/>
          </w:tcPr>
          <w:p w14:paraId="48E8B063" w14:textId="08229AFF"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6355A17F" w14:textId="05E54DDC"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 LT2</w:t>
            </w:r>
          </w:p>
        </w:tc>
        <w:tc>
          <w:tcPr>
            <w:tcW w:w="1625" w:type="dxa"/>
          </w:tcPr>
          <w:p w14:paraId="125B8036" w14:textId="3B7B4556"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7E15B5E5" w14:textId="031FCF4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008F7561" w14:textId="21F01A90"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60E6A6CA" w14:textId="7B21DF89"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44</w:t>
            </w:r>
          </w:p>
        </w:tc>
        <w:tc>
          <w:tcPr>
            <w:tcW w:w="1190" w:type="dxa"/>
            <w:hideMark/>
          </w:tcPr>
          <w:p w14:paraId="1D2FF9A2" w14:textId="1710DEFD"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{"citationID":"wpWiqznL","properties":{"formattedCitation":"(Galbreath, 2014)","plainCitation":"(Galbreath, 2014)","noteIndex":0},"citationItems":[{"id":2713,"uris":["http://zotero.org/users/2311545/items/FQDKQ2R7"],"uri":["http://zotero.org/users/2311545/items/FQDKQ2R7"],"itemData":{"id":2713,"type":"article-journal","abstract":"This study explores the relevancy of climate change to business using a sample of wine firms operating in Margaret River, Western Australia, one of the premier wine regions of the world. Using a qualitative approach based on thematic analysis, the results challenge the extent to which climate change is a salient stakeholder, while demonstrating that the phenomenon may, in fact, be beneficial. Response actions towards climate change demonstrate both mitigative and adaptive actions, although differences in their level and rate of implementation appear to be attributable to a mix of normative and instrumental trade-offs. Implications of the findings are discussed, with a particular focus on location theory and economic barriers as a key driver of trade-offs between the choice of mitigative or adaptive response to climate change. Copyright © 2012 John Wiley &amp; Sons, Ltd and ERP Environment.","container-title":"Business Strategy and the Environment","DOI":"10.1002/bse.1762","ISSN":"1099-0836","issue":"2","language":"en","page":"89-104","source":"Wiley Online Library","title":"Climate Change Response: Evidence from the Margaret River Wine Region of Australia","title-short":"Climate Change Response","volume":"23","author":[{"family":"Galbreath","given":"Jeremy"}],"issued":{"date-parts":[["2014"]]}}}],"schema":"https://github.com/citation-style-language/schema/raw/master/csl-citation.json"}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(Galbreath, 2014)</w:t>
            </w:r>
            <w:r>
              <w:rPr>
                <w:rFonts w:ascii="Calibri" w:eastAsia="Times New Roman" w:hAnsi="Calibri" w:cs="Calibri"/>
                <w:color w:val="000000"/>
                <w:sz w:val="16"/>
                <w:lang w:val="en-GB" w:eastAsia="en-GB"/>
              </w:rPr>
              <w:fldChar w:fldCharType="end"/>
            </w:r>
          </w:p>
        </w:tc>
        <w:tc>
          <w:tcPr>
            <w:tcW w:w="859" w:type="dxa"/>
          </w:tcPr>
          <w:p w14:paraId="6FF2596D" w14:textId="79647A09"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1710" w:type="dxa"/>
          </w:tcPr>
          <w:p w14:paraId="545A4C43" w14:textId="43B41E11"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431" w:type="dxa"/>
          </w:tcPr>
          <w:p w14:paraId="4BB91F2B" w14:textId="5B882190"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6B6EBECE" w14:textId="150150F9"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7B227960" w14:textId="765FCB3B"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99</w:t>
            </w:r>
          </w:p>
        </w:tc>
        <w:tc>
          <w:tcPr>
            <w:tcW w:w="1203" w:type="dxa"/>
          </w:tcPr>
          <w:p w14:paraId="608E2776" w14:textId="54047A9D"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{"citationID":"tRXY1HgA","properties":{"formattedCitation":"(Torres et al., 2018a)","plainCitation":"(Torres et al., 2018a)","noteIndex":0},"citationItems":[{"id":2643,"uris":["http://zotero.org/users/2311545/items/WI3PZZGR"],"uri":["http://zotero.org/users/2311545/items/WI3PZZGR"],"itemData":{"id":2643,"type":"article-journal","abstract":"The projected climate scenario for South Mediterranean Europe predicts lower precipitation and higher temperatures that will negatively affect viticulture in the region. The application of moderate deficit irrigation at crucial moments of berry ripening has been found to improve berry quality. Furthermore, grapevine association with arbuscular mycorrhizal fungi (AMF) may improve grapevine’s ability to cope with abiotic stresses. Therefore, the aims of this research were: (1) to characterize the response of three clones of Vitis vinifera L. cv. Tempranillo to the combination of different water deficit programs and AMF inoculation under elevated temperatures, and (2) to determine whether AMF inoculation can improve berry antioxidant properties under these conditions. The study was carried out on three fruit-bearing cuttings clones of cv. Tempranillo (CL-260, CL-1089 and CL-843) inoculated (+M) or not (−M) with AMF and subjected to two temperature regimes (24/14°C and 28/18°C (day/night)) combined with three irrigation regimes during berry ripening. Irrigation treatments were: (i) water deficit from fruit set to veraison (early deficit, ED); (ii) water deficit from veraison to maturity (late deficit, LD); and (iii) full irrigation (FI). Although each Tempranillo clone seemed to have different abilities to respond to elevated temperatures and water supply, in general, at 24/14°C the LD treatment performed better than ED. Differences among clones were attenuated at 28/18°C. In addition, potential benefits of the LD treatment were improved by AMF inoculation. Thus, in all clones the loss of anthocyanins at 28/18°C detected in −M plants after applying LD did not occur in the +M plants. Moreover, AMF inoculation increased must antioxidant capacity in CL-843 under these environmental conditions. Our results suggest that the implementation of measures to promote the association of grapevines with appropriate AMF for each variety could contribute to optimize effects of irrigation strategy on berry properties under future warming conditions.","container-title":"Agricultural Water Management","DOI":"10.1016/j.agwat.2017.12.004","ISSN":"0378-3774","journalAbbreviation":"Agricultural Water Management","page":"285-298","source":"ScienceDirect","title":"Influence of irrigation strategy and mycorrhizal inoculation on fruit quality in different clones of Tempranillo grown under elevated temperatures","volume":"202","author":[{"family":"Torres","given":"Nazareth"},{"family":"Goicoechea","given":"Nieves"},{"family":"Carmen Antolín","given":"M."}],"issued":{"date-parts":[["2018",4,1]]}}}],"schema":"https://github.com/citation-style-language/schema/raw/master/csl-citation.json"}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(Torres et al., 2018a)</w:t>
            </w:r>
            <w:r>
              <w:rPr>
                <w:rFonts w:ascii="Calibri" w:eastAsia="Times New Roman" w:hAnsi="Calibri" w:cs="Calibri"/>
                <w:color w:val="000000"/>
                <w:sz w:val="16"/>
                <w:lang w:val="en-GB" w:eastAsia="en-GB"/>
              </w:rPr>
              <w:fldChar w:fldCharType="end"/>
            </w:r>
          </w:p>
        </w:tc>
        <w:tc>
          <w:tcPr>
            <w:tcW w:w="1269" w:type="dxa"/>
          </w:tcPr>
          <w:p w14:paraId="67F91D77" w14:textId="32A0DE96"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0B363598" w14:textId="21C39A0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ST2</w:t>
            </w:r>
          </w:p>
        </w:tc>
        <w:tc>
          <w:tcPr>
            <w:tcW w:w="1625" w:type="dxa"/>
          </w:tcPr>
          <w:p w14:paraId="016AAEA0" w14:textId="2BD5EF0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1337D045" w14:textId="4940556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6AFB75AD" w14:textId="5F3DA541"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1A96C91B" w14:textId="63E7814D"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45</w:t>
            </w:r>
          </w:p>
        </w:tc>
        <w:tc>
          <w:tcPr>
            <w:tcW w:w="1190" w:type="dxa"/>
            <w:hideMark/>
          </w:tcPr>
          <w:p w14:paraId="18978771" w14:textId="7BB3B87E"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{"citationID":"rnHEfuiL","properties":{"formattedCitation":"(Galbreath et al., 2016)","plainCitation":"(Galbreath et al., 2016)","noteIndex":0},"citationItems":[{"id":3104,"uris":["http://zotero.org/users/2311545/items/4YVPK5BD"],"uri":["http://zotero.org/users/2311545/items/4YVPK5BD"],"itemData":{"id":3104,"type":"article-journal","abstract":"This study examined the drivers of climate change innovations and the effects of these innovations on firm outcomes in a sample of 203 firms in the South Australian wine cluster. The results of structural equation modeling analysis suggest that absorptive capacity has a direct effect on climate change innovations, and stimulates knowledge exchanges (KEs) between firms in the cluster. KEs between firms in the cluster in turn directly affect the climate change innovations. The findings suggest a perhaps counterintuitive interrelationship between firm- and cluster-level impacts, in which KEs between firms in the cluster play a partial mediating role in the innovation process. The study further finds that climate change innovations are related to firm performance (FP) and reductions in greenhouse gases (GHGs): mitigative innovations lead to greater GHG reductions while adaptive innovations impact on FP. Contributions of the findings are discussed, as are future research directions.","container-title":"Journal of Business Ethics","DOI":"10.1007/s10551-014-2461-8","ISSN":"1573-0697","issue":"2","journalAbbreviation":"J Bus Ethics","language":"en","page":"217-231","source":"Springer Link","title":"The Drivers of Climate Change Innovations: Evidence from the Australian Wine Industry","title-short":"The Drivers of Climate Change Innovations","volume":"135","author":[{"family":"Galbreath","given":"Jeremy"},{"family":"Charles","given":"David"},{"family":"Oczkowski","given":"Eddie"}],"issued":{"date-parts":[["2016",5,1]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(Galbreath et al., 2016)</w:t>
            </w:r>
            <w:r>
              <w:rPr>
                <w:rFonts w:ascii="Calibri" w:eastAsia="Times New Roman" w:hAnsi="Calibri" w:cs="Calibri"/>
                <w:color w:val="000000"/>
                <w:sz w:val="16"/>
                <w:lang w:val="en-GB" w:eastAsia="en-GB"/>
              </w:rPr>
              <w:fldChar w:fldCharType="end"/>
            </w:r>
          </w:p>
        </w:tc>
        <w:tc>
          <w:tcPr>
            <w:tcW w:w="859" w:type="dxa"/>
          </w:tcPr>
          <w:p w14:paraId="03693A86" w14:textId="1EAAA0E9"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1710" w:type="dxa"/>
          </w:tcPr>
          <w:p w14:paraId="70E7FA43" w14:textId="3F5D8FFA"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 ST3, LT3, LT1, ST1</w:t>
            </w:r>
          </w:p>
        </w:tc>
        <w:tc>
          <w:tcPr>
            <w:tcW w:w="1431" w:type="dxa"/>
          </w:tcPr>
          <w:p w14:paraId="0EE3DD87" w14:textId="123E22F6"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5B37A39E" w14:textId="674EB3B1"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6B77276E" w14:textId="44186904"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100</w:t>
            </w:r>
          </w:p>
        </w:tc>
        <w:tc>
          <w:tcPr>
            <w:tcW w:w="1203" w:type="dxa"/>
          </w:tcPr>
          <w:p w14:paraId="5B2FBD65" w14:textId="7781A52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{"citationID":"UZnlsyuf","properties":{"formattedCitation":"(Torres et al., 2018b)","plainCitation":"(Torres et al., 2018b)","noteIndex":0},"citationItems":[{"id":3200,"uris":["http://zotero.org/users/2311545/items/9ZZ9C9TU"],"uri":["http://zotero.org/users/2311545/items/9ZZ9C9TU"],"itemData":{"id":3200,"type":"article-journal","abstract":"Arbuscular mycorrhizal symbiosis is a promising tool for improving the quality of grapes under changing environments. Therefore, the aim of this research was to determine if the ability of arbuscular mycorrhizal fungi (AMF) to enhance phenolic content (specifically, anthocyanins) in a climate change framework could be mediated by alterations in berry ABA metabolism during ripening. The study was carried out on fruit-bearing cuttings of cv. Tempranillo (CL-1048 and CL-1089) inoculated (+M) or not (−M) with AMF. Two experimental designs were implemented. In the first experiment +M and -M plants were subjected to two temperatures (24/14 °C or 28/18 °C (day/night)) from fruit set to berry maturity. In the second experiment, +M and -M plants were subjected to two temperatures (24/14 °C or 28/18 °C (day/night)) combined with two irrigation regimes (late water deficit (LD) and full irrigation (FI)). At 28/18 °C AMF contributed to an increase in berry anthocyanins and modulated ABA metabolism, leading to higher ABA-GE and 7′OH-ABA and lower phaseic acid (PA) in berries compared to –M plants. Under the most stressful scenario (LD and 28/18 °C), at harvest +M plants exhibited higher berry anthocyanins and 7´OH-ABA and lower PA and dihydrophaseic acid (DPA) levels than –M plants. These findings highlight the involvement of ABA metabolism into the ability of AMF to improve some traits involved in the quality of grapes under global warming scenarios.","container-title":"Plant Science","DOI":"10.1016/j.plantsci.2018.06.009","ISSN":"0168-9452","journalAbbreviation":"Plant Science","language":"en","page":"383-393","source":"ScienceDirect","title":"Mycorrhizal symbiosis affects ABA metabolism during berry ripening in Vitis vinifera L. cv. Tempranillo grown under climate change scenarios","volume":"274","author":[{"family":"Torres","given":"Nazareth"},{"family":"Goicoechea","given":"Nieves"},{"family":"Zamarreño","given":"Angel M."},{"family":"Carmen Antolín","given":"M."}],"issued":{"date-parts":[["2018",9,1]]}}}],"schema":"https://github.com/citation-style-language/schema/raw/master/csl-citation.json"}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(Torres et al., 2018b)</w:t>
            </w:r>
            <w:r>
              <w:rPr>
                <w:rFonts w:ascii="Calibri" w:eastAsia="Times New Roman" w:hAnsi="Calibri" w:cs="Calibri"/>
                <w:color w:val="000000"/>
                <w:sz w:val="16"/>
                <w:lang w:val="en-GB" w:eastAsia="en-GB"/>
              </w:rPr>
              <w:fldChar w:fldCharType="end"/>
            </w:r>
          </w:p>
        </w:tc>
        <w:tc>
          <w:tcPr>
            <w:tcW w:w="1269" w:type="dxa"/>
          </w:tcPr>
          <w:p w14:paraId="34AE2B03" w14:textId="6087F1F0"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173F3FB4" w14:textId="5AEC420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ST2</w:t>
            </w:r>
          </w:p>
        </w:tc>
        <w:tc>
          <w:tcPr>
            <w:tcW w:w="1625" w:type="dxa"/>
          </w:tcPr>
          <w:p w14:paraId="18F04D0C" w14:textId="0648A41C"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5AF9A5AC" w14:textId="2BCC6FAF"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074EE080" w14:textId="3655A960"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4BDE679B" w14:textId="04E3C597"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46</w:t>
            </w:r>
          </w:p>
        </w:tc>
        <w:tc>
          <w:tcPr>
            <w:tcW w:w="1190" w:type="dxa"/>
            <w:hideMark/>
          </w:tcPr>
          <w:p w14:paraId="6FC6DB5A" w14:textId="16C6F8F9"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{"citationID":"aQxHwre5","properties":{"formattedCitation":"(Hopper et al., 2016)","plainCitation":"(Hopper et al., 2016)","noteIndex":0},"citationItems":[{"id":3196,"uris":["http://zotero.org/users/2311545/items/62XMYFC8"],"uri":["http://zotero.org/users/2311545/items/62XMYFC8"],"itemData":{"id":3196,"type":"article-journal","abstract":"Grapevine is a major food crop that is affected by global climate change. Consistent with field studies, dehydration assays of grapevine leaves can reveal valuable information of the plant’s response at physiological, transcript, and protein levels. There are well-known differences in grapevine rootstocks responses to dehydration. We used time-series transcriptomic approaches combined with network analyses to elucidate and identify important physiological processes and network hubs that responded to dehydration in three different grapevine species differing in their drought tolerance.","container-title":"BMC Plant Biology","DOI":"10.1186/s12870-016-0804-6","ISSN":"1471-2229","issue":"1","journalAbbreviation":"BMC Plant Biology","page":"118","source":"BioMed Central","title":"Transcriptomic network analyses of leaf dehydration responses identify highly connected ABA and ethylene signaling hubs in three grapevine species differing in drought tolerance","volume":"16","author":[{"family":"Hopper","given":"Daniel W."},{"family":"Ghan","given":"Ryan"},{"family":"Schlauch","given":"Karen A."},{"family":"Cramer","given":"Grant R."}],"issued":{"date-parts":[["2016",5,23]]}}}],"schema":"https://github.com/citation-style-language/schema/raw/master/csl-citation.json"}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(Hopper et al., 2016)</w:t>
            </w:r>
            <w:r>
              <w:rPr>
                <w:rFonts w:ascii="Calibri" w:eastAsia="Times New Roman" w:hAnsi="Calibri" w:cs="Calibri"/>
                <w:color w:val="000000"/>
                <w:sz w:val="16"/>
                <w:lang w:val="en-GB" w:eastAsia="en-GB"/>
              </w:rPr>
              <w:fldChar w:fldCharType="end"/>
            </w:r>
          </w:p>
        </w:tc>
        <w:tc>
          <w:tcPr>
            <w:tcW w:w="859" w:type="dxa"/>
          </w:tcPr>
          <w:p w14:paraId="74F6FAE7" w14:textId="12EBC504"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1710" w:type="dxa"/>
          </w:tcPr>
          <w:p w14:paraId="4928467E" w14:textId="76F6CBD7"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264648F5" w14:textId="162F8F21"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137" w:type="dxa"/>
          </w:tcPr>
          <w:p w14:paraId="343F86C1" w14:textId="4AEC7C80"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458CD363" w14:textId="5CE5582D"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101</w:t>
            </w:r>
          </w:p>
        </w:tc>
        <w:tc>
          <w:tcPr>
            <w:tcW w:w="1203" w:type="dxa"/>
          </w:tcPr>
          <w:p w14:paraId="78CEA083" w14:textId="65749AC0"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{"citationID":"Bs0hta7v","properties":{"formattedCitation":"(Wenter et al., 2018)","plainCitation":"(Wenter et al., 2018)","noteIndex":0},"citationItems":[{"id":2640,"uris":["http://zotero.org/users/2311545/items/FKMHKPU7"],"uri":["http://zotero.org/users/2311545/items/FKMHKPU7"],"itemData":{"id":2640,"type":"article-journal","abstract":"Irrigation is becoming an extremely important practice for mountain viticulture to guarantee the quality of the production in a climate change scenario. The aim of this work was to relate the degree and the timing of water stress caused by limited soil water availability to the performance of field-grown Sauvignon blanc vines. The 2-year trial (2014–2015) was conducted in a terraced Sauvignon blanc vineyard located in a coarse-textured soil of South Tyrol, Italian Alps, at 500 m altitude. Treatments were: full irrigation (FI), corresponding to the standard farm irrigation approach; deficit irrigation (DI), corresponding to half of the FI water volume; rain fed (RF), not irrigated. In year 2014, the drought period was short and intense, lasting for approximately 15 days during flowering. The reduction of the number of berries per bunch was severe in RF vines, leading to a strong limitation of the final yield per vine. A rainfall above the seasonal average for the study area in summer 2014 (post veraison phases) allowed, despite the average berry weight reduction, DI vines to reach a final yield that did not differ as compared to FI. Year 2015 was much dryer, with a drought period lasting from blooming to approximately 20 days after veraison. Both RF and DI vines were severely affected by water shortage as indicated by different physiological indexes (pre-dawn leaf water potential, leaf gas exchanges) and growth, yield and grape maturation process were impaired. Results indicate that under the described experimental conditions, water stress that occurred in the period before and around fruit set, with pre-dawn leaf water potential (Ψpd) lower than −0.7 MPa, severely reduced the final number of berries per cluster. A deficit irrigation regime in the same phenological stage was able to reduce the intensity of water stress (Ψpd around −0.4 MPa) and did not affect the fruit set process. Increasing water stress intensity between fruit set and veraison (up to a Ψpd of −0.9 MPa) progressively depressed berry weight and quality. This work underlines that under the unpredictable climatic conditions that characterized mountain environment, a strict control of the vine and soil water balance is needed for a successful management of deficit irrigation systems.","container-title":"Scientia Horticulturae","DOI":"10.1016/j.scienta.2018.03.037","ISSN":"0304-4238","journalAbbreviation":"Scientia Horticulturae","page":"137-145","source":"ScienceDirect","title":"Effect of different timings and intensities of water stress on yield and berry composition of grapevine (cv. Sauvignon blanc) in a mountain environment","volume":"236","author":[{"family":"Wenter","given":"Andreas"},{"family":"Zanotelli","given":"Damiano"},{"family":"Montagnani","given":"Leonardo"},{"family":"Tagliavini","given":"Massimo"},{"family":"Andreotti","given":"Carlo"}],"issued":{"date-parts":[["2018",6,16]]}}}],"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(Wenter et al., 2018)</w:t>
            </w:r>
            <w:r>
              <w:rPr>
                <w:rFonts w:ascii="Calibri" w:eastAsia="Times New Roman" w:hAnsi="Calibri" w:cs="Calibri"/>
                <w:color w:val="000000"/>
                <w:sz w:val="16"/>
                <w:lang w:val="en-GB" w:eastAsia="en-GB"/>
              </w:rPr>
              <w:fldChar w:fldCharType="end"/>
            </w:r>
          </w:p>
        </w:tc>
        <w:tc>
          <w:tcPr>
            <w:tcW w:w="1269" w:type="dxa"/>
          </w:tcPr>
          <w:p w14:paraId="6E140EEB" w14:textId="5A596F09"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50AF7948" w14:textId="18B4E078"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066EBFD1" w14:textId="4D658525"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0F4FA550" w14:textId="4AB1B921"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5BD03915" w14:textId="7D85B4F1"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78073CF4" w14:textId="411BC72E"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47</w:t>
            </w:r>
          </w:p>
        </w:tc>
        <w:tc>
          <w:tcPr>
            <w:tcW w:w="1190" w:type="dxa"/>
            <w:hideMark/>
          </w:tcPr>
          <w:p w14:paraId="2E553591" w14:textId="1AA10A7B"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{"citationID":"PrpoC5dV","properties":{"formattedCitation":"(Hunter et al., 2016)","plainCitation":"(Hunter et al., 2016)","noteIndex":0},"citationItems":[{"id":2629,"uris":["http://zotero.org/users/2311545/items/G7PP6J2D"],"uri":["http://zotero.org/users/2311545/items/G7PP6J2D"],"itemData":{"id":2629,"type":"article-journal","abstract":"Establishment of vineyards is often forced towards geo-morphologically complex terroir where aspect, slope, relief and erosion are determining factors in orientation of rows. In this novel study, changes in primarily microclimate proﬁles and vine physiological behaviour with different row orientations were studied on a ﬂat terrain in a semi-arid environment with the purpose of aiding vineyard management decisions and practices for production of grapes and wine. Effects of grapevine row orientation (NS, EW, NE-SW, NW-SE) of vertically trellised and shoot positioned Vitis vinifera L. Shiraz/101-14 Mgt on vineyard meso- and microclimate as well as vine physiological status, within the context of regional macroclimate, were investigated under ﬁeld conditions over many seasons. Novel wind velocity and direction proﬁles in vineyard rows showed velocity in work rows paralleling ambient prevailing wind and direction ﬂow patterns being affected by canopy development and row orientation; NW-SE and EW orientated rows maintained higher wind velocity in work rows than NS and NE-SW rows. Mesoclimatic photosynthetic active radiation was in line with macroclimate radiation. Microclimatically, EW orientated rows maintained lowest interior canopy light interception, NS orientation displayed highest values, peaking in morning and afternoon, whereas NE-SW and NW-SE orientations peaked primarily in afternoon and morning, respectively. The EW orientated rows captured largest portion of total radiation in the bunch zone from soil reﬂected radiation. Canopy interior temperature differences were likely masked by air temperature. Basal leaf water potential was relatively unaffected by row side; results point to internal regulation of whole plant water status. Leaf temperature showed minor differences. Relative humidity followed opposite trends to those of air- and leaf temperature. Leaves of EW orientated vines had highest average photosynthesis, corresponding to stomatal conductance and transpiration. Most uniform canopy photosynthesis occurred for NS and NW-SE orientations. Photosynthesis trends practically demonstrated mirror diurnal images for canopy sides of each orientation. Row orientation signiﬁcantly affected mesoand microclimate, radiation in particular directly affecting energy/heat balances and concomitant canopy physiological processes. The study provided new insights into: vine physiological response to row orientation, the role of row orientation as viticulture practice; decision-making for establishment; and management of existing vineyards, irrespective of terroir soil and climatic conditions and product objectives. Results are globally relevant, especially within the context of climate change, and provide ﬁrst comprehensive climatic/grapevine physiological evidence on the impact of grapevine row orientation as viticulture practice.","container-title":"Agricultural and Forest Meteorology","DOI":"10.1016/j.agrformet.2016.06.013","ISSN":"01681923","journalAbbreviation":"Agricultural and Forest Meteorology","language":"en","page":"104-119","source":"DOI.org (Crossref)","title":"Vineyard row orientation of Vitis vinifera L. cv. Shiraz/101-14 Mgt: Climatic profiles and vine physiological status","title-short":"Vineyard row orientation of Vitis vinifera L. cv. Shiraz/101-14 Mgt","volume":"228-229","author":[{"family":"Hunter","given":"J.J"},{"family":"Volschenk","given":"C.G."},{"family":"Zorer","given":"R."}],"issued":{"date-parts":[["2016",11]]}}}],"schema":"https://github.com/citation-style-language/schema/raw/master/csl-citation.json"}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(Hunter et al., 2016)</w:t>
            </w:r>
            <w:r>
              <w:rPr>
                <w:rFonts w:ascii="Calibri" w:eastAsia="Times New Roman" w:hAnsi="Calibri" w:cs="Calibri"/>
                <w:color w:val="000000"/>
                <w:sz w:val="16"/>
                <w:lang w:val="en-GB" w:eastAsia="en-GB"/>
              </w:rPr>
              <w:fldChar w:fldCharType="end"/>
            </w:r>
          </w:p>
        </w:tc>
        <w:tc>
          <w:tcPr>
            <w:tcW w:w="859" w:type="dxa"/>
          </w:tcPr>
          <w:p w14:paraId="3C79C799" w14:textId="79F1F108"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South Africa</w:t>
            </w:r>
          </w:p>
        </w:tc>
        <w:tc>
          <w:tcPr>
            <w:tcW w:w="1710" w:type="dxa"/>
          </w:tcPr>
          <w:p w14:paraId="0F3EFA4B" w14:textId="42045D3D"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LT3</w:t>
            </w:r>
          </w:p>
        </w:tc>
        <w:tc>
          <w:tcPr>
            <w:tcW w:w="1431" w:type="dxa"/>
          </w:tcPr>
          <w:p w14:paraId="7D89634C" w14:textId="288783DD"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 / Field</w:t>
            </w:r>
          </w:p>
        </w:tc>
        <w:tc>
          <w:tcPr>
            <w:tcW w:w="1137" w:type="dxa"/>
          </w:tcPr>
          <w:p w14:paraId="0F6AB759" w14:textId="6433C406"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0E622779" w14:textId="1F17F4EB"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102</w:t>
            </w:r>
          </w:p>
        </w:tc>
        <w:tc>
          <w:tcPr>
            <w:tcW w:w="1203" w:type="dxa"/>
          </w:tcPr>
          <w:p w14:paraId="1119DF05" w14:textId="751B8B3F"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{"citationID":"FI0joU6D","properties":{"formattedCitation":"(Aparicio et al., 2019)","plainCitation":"(Aparicio et al., 2019)","noteIndex":0},"citationItems":[{"id":1502,"uris":["http://zotero.org/users/2311545/items/DULAR9UN"],"uri":["http://zotero.org/users/2311545/items/DULAR9UN"],"itemData":{"id":1502,"type":"article-journal","abstract":"Maltese agriculture faces great challenges due to the severe scarcity of water. Sufﬁcient water resources, in quantity and quality, are necessary to cover the demand in the production of wine grape, one of the most important crops in Maltese agriculture. But also, economic efﬁciency is essential in the grape cultivation. A Cost-Beneﬁt Analysis (CBA) is deﬁned for Maltese vineyards in the Siġġiewi region, considering two irrigation scenarios, irrigation with groundwater or “do-nothing”, compared with the “use non-conventional waters” from mixing water from a small desalination plant and groundwater. For the alternative ‘mixing desalinated water with groundwater’ it is possible to improve water availability and quality for vine crops, while increasing economic beneﬁts for farmer. The results indicate a proﬁtable project from a minimum area of 1 ha, but ﬁnal beneﬁt is highly dependent on the irrigated surface extension according to water price. Desalination, compared with other type of nonconventional water is considered the best option in this assessment with a small reverse osmosis (RO) desalination plant (120 m3 /day) for covering the irrigation needs.","container-title":"Science of The Total Environment","DOI":"10.1016/j.scitotenv.2018.09.059","ISSN":"00489697","language":"en","page":"734-740","source":"Crossref","title":"Agricultural irrigation of vine crops from desalinated and brackish groundwater under an economic perspective. A case study in Siġġiewi, Malta","volume":"650","author":[{"family":"Aparicio","given":"Jesus"},{"family":"Tenza-Abril","given":"Antonio J."},{"family":"Borg","given":"Malcolm"},{"family":"Galea","given":"John"},{"family":"Candela","given":"Lucila"}],"issued":{"date-parts":[["2019",2]]}}}],"schema":"https://github.com/citation-style-language/schema/raw/master/csl-citation.json"}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(Aparicio et al., 2019)</w:t>
            </w:r>
            <w:r>
              <w:rPr>
                <w:rFonts w:ascii="Calibri" w:eastAsia="Times New Roman" w:hAnsi="Calibri" w:cs="Calibri"/>
                <w:color w:val="000000"/>
                <w:sz w:val="16"/>
                <w:lang w:val="en-GB" w:eastAsia="en-GB"/>
              </w:rPr>
              <w:fldChar w:fldCharType="end"/>
            </w:r>
          </w:p>
        </w:tc>
        <w:tc>
          <w:tcPr>
            <w:tcW w:w="1269" w:type="dxa"/>
          </w:tcPr>
          <w:p w14:paraId="4E95D83A" w14:textId="340586DC"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Malta</w:t>
            </w:r>
          </w:p>
        </w:tc>
        <w:tc>
          <w:tcPr>
            <w:tcW w:w="943" w:type="dxa"/>
          </w:tcPr>
          <w:p w14:paraId="25F313D3" w14:textId="128D3779"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w:t>
            </w:r>
          </w:p>
        </w:tc>
        <w:tc>
          <w:tcPr>
            <w:tcW w:w="1625" w:type="dxa"/>
          </w:tcPr>
          <w:p w14:paraId="51BE20E3" w14:textId="44A10FA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 / Farm</w:t>
            </w:r>
          </w:p>
        </w:tc>
        <w:tc>
          <w:tcPr>
            <w:tcW w:w="1341" w:type="dxa"/>
          </w:tcPr>
          <w:p w14:paraId="0D7B7B50" w14:textId="71E243D8"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r>
      <w:tr w:rsidR="00537A56" w:rsidRPr="00EF0654" w14:paraId="35970C8C" w14:textId="553665FB"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5E2ACB78" w14:textId="61EBFAE2"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48</w:t>
            </w:r>
          </w:p>
        </w:tc>
        <w:tc>
          <w:tcPr>
            <w:tcW w:w="1190" w:type="dxa"/>
            <w:hideMark/>
          </w:tcPr>
          <w:p w14:paraId="0891D388" w14:textId="274C7699"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{"citationID":"ZGjDLVzz","properties":{"formattedCitation":"(Montana et al., 2016)","plainCitation":"(Montana et al., 2016)","noteIndex":0},"citationItems":[{"id":3010,"uris":["http://zotero.org/users/2311545/items/F65RHF9N"],"uri":["http://zotero.org/users/2311545/items/F65RHF9N"],"itemData":{"id":3010,"type":"article-journal","abstract":"Climate change will increasingly impact large areas of South America, affecting important natural resources and people's livelihoods. These impacts will make rural people disproportionately more vulnerable, given their dependency on ecosystem services and their exposure to other stressors, such as new rules imposed by agribusiness and trends toward the commodification of natural resources. This paper focuses on the vulnerability of rural communities in Andean drylands of Argentina, Bolivia, and Chile, showing how different economic and political pathways lead to different levels of vulnerability. The paper begins with a brief discussion of the methodological and theoretical concept of vulnerability, which framed the research. Starting from the premise that global environmental change impacts are strongly linked to styles of development, the discussion explores the diverse institutional capital and governance schemes as well as different development styles in the case studies and their role in increasing or reducing local vulnerability to climate and water scarcity. Using a comparative perspective, the exposures and adaptive capacities of rural actors in three river basins are discussed, emphasizing situations that speak for the ways in which development styles counteract or magnify conditions of vulnerability. The analysis considers irrigated and non-irrigated agriculture, water property interests, different productive structures (viticulture, horticulture, etc.), producer typologies (large/small, export, etc.), and geographical location. Finally, the paper offers some insights about development style and adaptive capacities of rural people to overcome those vulnerabilities.","container-title":"Regional Environmental Change","DOI":"10.1007/s10113-015-0888-9","ISSN":"1436-3798","issue":"8","journalAbbreviation":"Reg. Envir. Chang.","language":"English","note":"publisher-place: Heidelberg\npublisher: Springer Heidelberg\nWOS:000388959100005","page":"2215-2228","source":"Web of Science","title":"Development, local livelihoods, and vulnerabilities to global environmental change in the South American Dry Andes","volume":"16","author":[{"family":"Montana","given":"Elma"},{"family":"Diaz","given":"Harry Polo"},{"family":"Hurlbert","given":"Margot"}],"issued":{"date-parts":[["2016",12]]}}}],"schema":"https://github.com/citation-style-language/schema/raw/master/csl-citation.json"}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(Montana et al., 2016)</w:t>
            </w:r>
            <w:r>
              <w:rPr>
                <w:rFonts w:ascii="Calibri" w:eastAsia="Times New Roman" w:hAnsi="Calibri" w:cs="Calibri"/>
                <w:color w:val="000000"/>
                <w:sz w:val="16"/>
                <w:lang w:val="en-GB" w:eastAsia="en-GB"/>
              </w:rPr>
              <w:fldChar w:fldCharType="end"/>
            </w:r>
          </w:p>
        </w:tc>
        <w:tc>
          <w:tcPr>
            <w:tcW w:w="859" w:type="dxa"/>
          </w:tcPr>
          <w:p w14:paraId="24901B00" w14:textId="51B8C427"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Argentina</w:t>
            </w:r>
          </w:p>
        </w:tc>
        <w:tc>
          <w:tcPr>
            <w:tcW w:w="1710" w:type="dxa"/>
          </w:tcPr>
          <w:p w14:paraId="7BEF76DA" w14:textId="26EB1BA4"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ST1</w:t>
            </w:r>
          </w:p>
        </w:tc>
        <w:tc>
          <w:tcPr>
            <w:tcW w:w="1431" w:type="dxa"/>
          </w:tcPr>
          <w:p w14:paraId="6B14CD50" w14:textId="1F6B75DD"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137" w:type="dxa"/>
          </w:tcPr>
          <w:p w14:paraId="3E27F772" w14:textId="145E0B76"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622F667D" w14:textId="1051AEEE"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103</w:t>
            </w:r>
          </w:p>
        </w:tc>
        <w:tc>
          <w:tcPr>
            <w:tcW w:w="1203" w:type="dxa"/>
          </w:tcPr>
          <w:p w14:paraId="583BF32E" w14:textId="28B0A4DF"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{"citationID":"FHgMzmDf","properties":{"formattedCitation":"(Buesa et al., 2019)","plainCitation":"(Buesa et al., 2019)","noteIndex":0},"citationItems":[{"id":2504,"uris":["http://zotero.org/users/2311545/items/GU4JMN54"],"uri":["http://zotero.org/users/2311545/items/GU4JMN54"],"itemData":{"id":2504,"type":"article-journal","abstract":"Background and Aims: Climate change is advancing grape ripening and decoupling sugar and phenolic maturity, impacting wine typicity. The aim of this study was to test whether late leaf removal (LLR) under different watering regimes delayed harvest of two Spanish red cultivars in a semi-arid and temperate-warm climate.\nMethods and Results: In two trials carried out in eastern Spain with the Bobal and Tempranillo cultivars, vines were partially defoliated above the bunch zone shortly before veraison under rainfed and deﬁcit irrigation conditions during two seasons. The rate of grape ripening in both cultivars was signiﬁcantly affected by LLR under either watering regime, consequently delaying harvest. Vine water status and leaf photosynthetic rate were improved by LLR. The reduction in leaf area-to-fruit ratio resulting from the LLR treatments was found to be more limiting for the accumulation of anthocyanin than for TSS. Consequently, LLR negatively affected wine colour intensity. In addition, yield was constrained by LLR in Tempranillo due to a reduction in bunch and berry mass.\nConclusions: The reduction in the rate of accumulation of grape TSS provoked by LLR did not necessarily result in a more balanced berry maturity. The effectiveness of the LLR technique appears to depend on its ﬁnal impact on leaf area-to-fruit ratio and vine water status, the cultivar photosynthetic compensation capacity and the environmental conditions.","container-title":"Australian Journal of Grape and Wine Research","DOI":"10.1111/ajgw.12368","ISSN":"13227130","issue":"1","journalAbbreviation":"Australian Journal of Grape and Wine Research","language":"en","page":"70-82","source":"DOI.org (Crossref)","title":"Delaying berry ripening of Bobal and Tempranillo grapevines by late leaf removal in a semi-arid and temperate-warm climate under different water regimes: Late leaf removal effects in Bobal and Tempranillo","title-short":"Delaying berry ripening of Bobal and Tempranillo grapevines by late leaf removal in a semi-arid and temperate-warm climate under different water regimes","volume":"25","author":[{"family":"Buesa","given":"I."},{"family":"Caccavello","given":"G."},{"family":"Basile","given":"B."},{"family":"Merli","given":"M. C."},{"family":"Poni","given":"S."},{"family":"Chirivella","given":"C."},{"family":"Intrigliolo","given":"D. S."}],"issued":{"date-parts":[["2019",1]]}}}],"schema":"https://github.com/citation-style-language/schema/raw/master/csl-citation.json"} </w:instrText>
            </w:r>
            <w:r>
              <w:rPr>
                <w:rFonts w:ascii="Calibri" w:eastAsia="Times New Roman" w:hAnsi="Calibri" w:cs="Calibri"/>
                <w:color w:val="000000"/>
                <w:sz w:val="16"/>
                <w:lang w:val="fr-FR" w:eastAsia="en-GB"/>
              </w:rPr>
              <w:fldChar w:fldCharType="separate"/>
            </w:r>
            <w:r w:rsidRPr="00AD2ABD">
              <w:rPr>
                <w:rFonts w:ascii="Calibri" w:hAnsi="Calibri"/>
                <w:sz w:val="16"/>
              </w:rPr>
              <w:t>(Buesa et al., 2019)</w:t>
            </w:r>
            <w:r>
              <w:rPr>
                <w:rFonts w:ascii="Calibri" w:eastAsia="Times New Roman" w:hAnsi="Calibri" w:cs="Calibri"/>
                <w:color w:val="000000"/>
                <w:sz w:val="16"/>
                <w:lang w:val="fr-FR" w:eastAsia="en-GB"/>
              </w:rPr>
              <w:fldChar w:fldCharType="end"/>
            </w:r>
          </w:p>
        </w:tc>
        <w:tc>
          <w:tcPr>
            <w:tcW w:w="1269" w:type="dxa"/>
          </w:tcPr>
          <w:p w14:paraId="1EC32BA8" w14:textId="5313708D"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943" w:type="dxa"/>
          </w:tcPr>
          <w:p w14:paraId="7C71F612" w14:textId="6594F68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625" w:type="dxa"/>
          </w:tcPr>
          <w:p w14:paraId="5A90184D" w14:textId="0FEA5F9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22F337AF" w14:textId="2D626D1D"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2639607D" w14:textId="67AC04D2"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7EC923CF" w14:textId="0FD52E2B"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49</w:t>
            </w:r>
          </w:p>
        </w:tc>
        <w:tc>
          <w:tcPr>
            <w:tcW w:w="1190" w:type="dxa"/>
            <w:hideMark/>
          </w:tcPr>
          <w:p w14:paraId="27FDCB60" w14:textId="64953C95"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{"citationID":"V3guXjsh","properties":{"formattedCitation":"(Olen et al., 2016)","plainCitation":"(Olen et al., 2016)","noteIndex":0},"citationItems":[{"id":3103,"uris":["http://zotero.org/users/2311545/items/QFIGJZQG"],"uri":["http://zotero.org/users/2311545/items/QFIGJZQG"],"itemData":{"id":3103,"type":"article-journal","abstract":"This article uses the 2007 Farm and Ranch Irrigation Survey database developed by the U.S. Department of Agriculture to assess the impact of water scarcity and climate on irrigation decisions for producers of specialty crops, wheat, and forage crops. We estimate an irrigation management model for major crops in the West Coast (California, Oregon, and Washington), which includes a farm-level equation of irrigated share and crop-speciﬁc equations of technology adoption and water application rate (orchard/vineyard, vegetable, wheat, alfalfa, hay, and pasture). We ﬁnd that economic and physical water scarcity, climate, and extreme weather, such as frost, extreme heat, and drought, signiﬁcantly impact producers’ irrigation decisions. Producers use sprinkler technologies or additional water applications to mitigate risk of crop damage from extreme weather. Water application rates are least responsive to surface water cost or groundwater well depth for producers of orchard/vineyard. Water supply institutions inﬂuence producers’ irrigation decisions. Producers who receive water from federal agencies use higher water application rates and are less likely to adopt water-saving irrigation technologies for some crops. Institutional arrangements, including access to distinct water sources (surface or ground) and whether surface water cost is fee based, also affect the responsiveness of water application rates to changes in surface water cost. The analysis provides valuable information about how producers in irrigated agricultural production systems would respond and adapt to water pricing policies and climate change.","container-title":"American Journal of Agricultural Economics","DOI":"10.1093/ajae/aav036","ISSN":"0002-9092, 1467-8276","issue":"1","journalAbbreviation":"American Journal of Agricultural Economics","language":"en","page":"254-275","source":"DOI.org (Crossref)","title":"Irrigation Decisions for Major West Coast Crops: Water Scarcity and Climatic Determinants","title-short":"Irrigation Decisions for Major West Coast Crops","volume":"98","author":[{"family":"Olen","given":"Beau"},{"family":"Wu","given":"JunJie"},{"family":"Langpap","given":"Christian"}],"issued":{"date-parts":[["2016",1]]}}}],"schema":"https://github.com/citation-style-language/schema/raw/master/csl-citation.json"}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(Olen et al., 2016)</w:t>
            </w:r>
            <w:r>
              <w:rPr>
                <w:rFonts w:ascii="Calibri" w:eastAsia="Times New Roman" w:hAnsi="Calibri" w:cs="Calibri"/>
                <w:color w:val="000000"/>
                <w:sz w:val="16"/>
                <w:lang w:val="en-GB" w:eastAsia="en-GB"/>
              </w:rPr>
              <w:fldChar w:fldCharType="end"/>
            </w:r>
          </w:p>
        </w:tc>
        <w:tc>
          <w:tcPr>
            <w:tcW w:w="859" w:type="dxa"/>
          </w:tcPr>
          <w:p w14:paraId="13D780A7" w14:textId="3849FCF0"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1710" w:type="dxa"/>
          </w:tcPr>
          <w:p w14:paraId="64C3E4F9" w14:textId="4768A039"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ST1</w:t>
            </w:r>
          </w:p>
        </w:tc>
        <w:tc>
          <w:tcPr>
            <w:tcW w:w="1431" w:type="dxa"/>
          </w:tcPr>
          <w:p w14:paraId="052E3CAA" w14:textId="1B571F9B"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7C1CD8FA" w14:textId="37E6D2BA"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573528C5" w14:textId="3400C708"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104</w:t>
            </w:r>
          </w:p>
        </w:tc>
        <w:tc>
          <w:tcPr>
            <w:tcW w:w="1203" w:type="dxa"/>
          </w:tcPr>
          <w:p w14:paraId="397E7B6B" w14:textId="1CE03B0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{"citationID":"lwI73fBl","properties":{"formattedCitation":"(Trouvelot et al., 2015)","plainCitation":"(Trouvelot et al., 2015)","noteIndex":0},"citationItems":[{"id":2688,"uris":["http://zotero.org/users/2311545/items/8GEUD2PK"],"uri":["http://zotero.org/users/2311545/items/8GEUD2PK"],"itemData":{"id":2688,"type":"article-journal","abstract":"Viticulture is a major worldwide economic sector with a vine area of 7.52 million ha, wine production of 288 Mhl, and wine exports of 26 billion euros. Nevertheless, viticulture has to adapt to new challenges of pest management, such as pesticide reduction, and climate change, such as increasing droughts. Viticulture adaptation can benefit from arbuscular mycorrhiza, a plant–fungus symbiosis. Here, we review the ecosystemic services of arbuscular mycorrhiza for grapevine production. The major points are the following: (1) arbuscular mycorrhiza fungi increase grapevine growth and nutrition by a better access to soil nutrients and by activating the regulation of plant transport proteins for phosphorus (P), nitrogen (N), and other elements. (2) Arbuscular mycorrhiza fungi increase the tolerance to abiotic stresses such as water stress, soil salinity, iron chlorosis, and heavy metal toxicity. (3) Arbuscular mycorrhiza fungi protect against biotic stresses such as root diseases. (4) Arbuscular mycorrhiza fungi produce glycoproteins and a dense hyphal network that increases soil stability and save soil nutrients up to 14 % of the grape production income. (5) P fertilisation reduces mycorhization. (6) Using herbaceous plants as cover crops favors arbuscular mycorrhiza fungi.","container-title":"Agronomy for Sustainable Development","DOI":"10.1007/s13593-015-0329-7","ISSN":"1774-0746, 1773-0155","issue":"4","journalAbbreviation":"Agron. Sustain. Dev.","language":"en","page":"1449-1467","source":"DOI.org (Crossref)","title":"Arbuscular mycorrhiza symbiosis in viticulture: a review","title-short":"Arbuscular mycorrhiza symbiosis in viticulture","volume":"35","author":[{"family":"Trouvelot","given":"Sophie"},{"family":"Bonneau","given":"Laurent"},{"family":"Redecker","given":"Dirk"},{"family":"Tuinen","given":"Diederik","non-dropping-particle":"van"},{"family":"Adrian","given":"Marielle"},{"family":"Wipf","given":"Daniel"}],"issued":{"date-parts":[["2015",10]]}}}],"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(Trouvelot et al., 2015)</w:t>
            </w:r>
            <w:r>
              <w:rPr>
                <w:rFonts w:ascii="Calibri" w:eastAsia="Times New Roman" w:hAnsi="Calibri" w:cs="Calibri"/>
                <w:color w:val="000000"/>
                <w:sz w:val="16"/>
                <w:lang w:val="en-GB" w:eastAsia="en-GB"/>
              </w:rPr>
              <w:fldChar w:fldCharType="end"/>
            </w:r>
          </w:p>
        </w:tc>
        <w:tc>
          <w:tcPr>
            <w:tcW w:w="1269" w:type="dxa"/>
          </w:tcPr>
          <w:p w14:paraId="6E37A0B1" w14:textId="2BD1A7C4"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943" w:type="dxa"/>
          </w:tcPr>
          <w:p w14:paraId="257B251E" w14:textId="406E9ADB"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ST2</w:t>
            </w:r>
          </w:p>
        </w:tc>
        <w:tc>
          <w:tcPr>
            <w:tcW w:w="1625" w:type="dxa"/>
          </w:tcPr>
          <w:p w14:paraId="79972992" w14:textId="59EA08B7"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4D41DABC" w14:textId="025D2CA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74DAFEE5" w14:textId="72712E18"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2375F13" w14:textId="77AF2613"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50</w:t>
            </w:r>
          </w:p>
        </w:tc>
        <w:tc>
          <w:tcPr>
            <w:tcW w:w="1190" w:type="dxa"/>
            <w:hideMark/>
          </w:tcPr>
          <w:p w14:paraId="3E456C7E" w14:textId="21B557E2"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{"citationID":"2KA5pSZT","properties":{"formattedCitation":"(Resco et al., 2016)","plainCitation":"(Resco et al., 2016)","noteIndex":0},"citationItems":[{"id":2789,"uris":["http://zotero.org/users/2311545/items/5UVHFIRN"],"uri":["http://zotero.org/users/2311545/items/5UVHFIRN"],"itemData":{"id":2789,"type":"article-journal","abstract":"Our aim was to explore the adaptation choices to climate change in the grapevine regions of Spain from two points of view. First, what are the main reasons for concern? Second, how large is the adaptation effort in each region? We address the first question by measuring sensitivity to climate change with Huglin, Cold Night and Dryness Indices over the entire territory, providing information on the adaptation type (e.g. varieties, zoning, water allocation). We then estimate probabilistic projections across scenario, zone and sensitivity indices in the 56 Protected Designation of Origin areas to inform on the magnitude of the adaptation effort. Second, we propose an adaptation effort measure that is framed according to the local environmental context. Results suggest that most areas urgently need an adaptation plan due to the deterioration of production and quality indices as a result of climate change. Potential opportunities in many climate regions might be limited by current policy. The production objectives of quality and quantity trade-offs will probably need to be revised by analysing the sustainability of grapevine production.","container-title":"Regional Environmental Change","DOI":"10.1007/s10113-015-0811-4","ISSN":"1436-378X","issue":"4","journalAbbreviation":"Reg Environ Change","language":"en","page":"979-993","source":"Springer Link","title":"Exploring adaptation choices for grapevine regions in Spain","volume":"16","author":[{"family":"Resco","given":"Pablo"},{"family":"Iglesias","given":"Ana"},{"family":"Bardají","given":"Isabel"},{"family":"Sotés","given":"Vicente"}],"issued":{"date-parts":[["2016",4,1]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(Resco et al., 2016)</w:t>
            </w:r>
            <w:r>
              <w:rPr>
                <w:rFonts w:ascii="Calibri" w:eastAsia="Times New Roman" w:hAnsi="Calibri" w:cs="Calibri"/>
                <w:color w:val="000000"/>
                <w:sz w:val="16"/>
                <w:lang w:val="en-GB" w:eastAsia="en-GB"/>
              </w:rPr>
              <w:fldChar w:fldCharType="end"/>
            </w:r>
          </w:p>
        </w:tc>
        <w:tc>
          <w:tcPr>
            <w:tcW w:w="859" w:type="dxa"/>
          </w:tcPr>
          <w:p w14:paraId="410D787B" w14:textId="097944D4"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Spain</w:t>
            </w:r>
          </w:p>
        </w:tc>
        <w:tc>
          <w:tcPr>
            <w:tcW w:w="1710" w:type="dxa"/>
          </w:tcPr>
          <w:p w14:paraId="4A5E7C5F" w14:textId="4D6F4741"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LT2,LT3</w:t>
            </w:r>
          </w:p>
        </w:tc>
        <w:tc>
          <w:tcPr>
            <w:tcW w:w="1431" w:type="dxa"/>
          </w:tcPr>
          <w:p w14:paraId="1BF8D06D" w14:textId="7C21CD2A"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Region</w:t>
            </w:r>
          </w:p>
        </w:tc>
        <w:tc>
          <w:tcPr>
            <w:tcW w:w="1137" w:type="dxa"/>
          </w:tcPr>
          <w:p w14:paraId="5DEBA4CA" w14:textId="294B9577"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573D8025" w14:textId="4B87944E"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105</w:t>
            </w:r>
          </w:p>
        </w:tc>
        <w:tc>
          <w:tcPr>
            <w:tcW w:w="1203" w:type="dxa"/>
          </w:tcPr>
          <w:p w14:paraId="04A98ED3" w14:textId="2B515BAA"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{"citationID":"TVJf1tpM","properties":{"formattedCitation":"(Fahey and Rogiers, 2019)","plainCitation":"(Fahey and Rogiers, 2019)","noteIndex":0},"citationItems":[{"id":2676,"uris":["http://zotero.org/users/2311545/items/JQ692G8W"],"uri":["http://zotero.org/users/2311545/items/JQ692G8W"],"itemData":{"id":2676,"type":"article-journal","abstract":"Background and Aims Di-1-p-menthene, a film-forming antitranspirant, is reported to impede transpiration by acting as a physical barrier to water vapour loss from plant tissues. We tested this assumption on grapevine leaves across a range of temperature as well as on the bunch rachis and berries at several developmental stages. Methods and Results Gas exchange of Shiraz leaves was monitored at 20, 25, 30 and 35°C under controlled conditions after treatment with 1 and 2% di-1-p-menthene. Transpiration, photosynthesis and stomatal conductance were reduced at each temperature, but instantaneous water use efficiency (CO2 fixation relative to water loss) was improved only at 25 and 30°C. There was no further reduction in water use or improved water use efficiency with the application of a 2% over 1% emulsion. The antitranspirant was most effective when applied to the underside of the leaves, forming a physical barrier over the stomatal cavity without reduction in stomatal aperture. Di-1-p-menthene also curtailed bunch water loss in Merlot by lowering transpiration of both the rachis and berries at the fruitset, peppercorn, pea size and veraison stages, and at 20 and 25°Brix. Increasing the concentration of the antitranspirant from 1% to 2 or 3% added some benefit; however, this was dependent on the developmental stage. Both leaf and berry temperature was elevated by the spray application. Di-1-p-menthene did not interfere with flowering or promote fruit abortion when applied prior to capfall. Conclusion Di-1-p-menthene maintains berry turgidity through effects on both the canopy and the bunches themselves. Significance of the Study The antitranspirant, di-1-p-menthene, may provide protection against desiccation under field conditions and this will have implications for yield and berry composition.","container-title":"Australian Journal of Grape and Wine Research","DOI":"10.1111/ajgw.12371","ISSN":"1755-0238","issue":"1","language":"en","page":"134-141","source":"Wiley Online Library","title":"Di-1-p-menthene reduces grape leaf and bunch transpiration","volume":"25","author":[{"family":"Fahey","given":"D. J."},{"family":"Rogiers","given":"S. Y."}],"issued":{"date-parts":[["2019"]]}}}],"schema":"https://github.com/citation-style-language/schema/raw/master/csl-citation.json"}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(Fahey and Rogiers, 2019)</w:t>
            </w:r>
            <w:r>
              <w:rPr>
                <w:rFonts w:ascii="Calibri" w:eastAsia="Times New Roman" w:hAnsi="Calibri" w:cs="Calibri"/>
                <w:color w:val="000000"/>
                <w:sz w:val="16"/>
                <w:lang w:val="en-GB" w:eastAsia="en-GB"/>
              </w:rPr>
              <w:fldChar w:fldCharType="end"/>
            </w:r>
          </w:p>
        </w:tc>
        <w:tc>
          <w:tcPr>
            <w:tcW w:w="1269" w:type="dxa"/>
          </w:tcPr>
          <w:p w14:paraId="4FE7A34C" w14:textId="251DDC2D"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Australia</w:t>
            </w:r>
          </w:p>
        </w:tc>
        <w:tc>
          <w:tcPr>
            <w:tcW w:w="943" w:type="dxa"/>
          </w:tcPr>
          <w:p w14:paraId="752B58FA" w14:textId="671C9E0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625" w:type="dxa"/>
          </w:tcPr>
          <w:p w14:paraId="4D413D14" w14:textId="20EA13D3"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7B0239B7" w14:textId="4F074B6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55302BAD" w14:textId="1F6D0A02"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10717F92" w14:textId="301F802F"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51</w:t>
            </w:r>
          </w:p>
        </w:tc>
        <w:tc>
          <w:tcPr>
            <w:tcW w:w="1190" w:type="dxa"/>
            <w:hideMark/>
          </w:tcPr>
          <w:p w14:paraId="0DB052D1" w14:textId="43A5B905"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{"citationID":"T7hmU68v","properties":{"formattedCitation":"(Holland and Smit, 2014)","plainCitation":"(Holland and Smit, 2014)","noteIndex":0},"citationItems":[{"id":2748,"uris":["http://zotero.org/users/2311545/items/USNTI3YN"],"uri":["http://zotero.org/users/2311545/items/USNTI3YN"],"itemData":{"id":2748,"type":"article-journal","abstract":"There is mounting evidence that climate change is already having an impact on the wine industry, with effects being region speciﬁc. In order to understand the capacity of regional wine sectors to adapt to changing climate, it is useful to document the conditions that are important to producers and to identify adaptation and management strategies that are employed in the industry. This paper analyzes climatic conditions and adaptation strategies in the wine region of Prince Edward County Ontario, Canada. Wine producers identiﬁed the climate variables most important to their operations and described strategies they use to manage climate-related conditions. The identiﬁed variables were analyzed for trends over the study period 1987–2011, and interview data were analyzed in order to categorize adaptive strategies. Results indicate that the wine sector is very sensitive to climate, and the region is already experiencing the effects of climate change, especially with regard to increasing growing season mean minimum daily temperatures, increasing total summer rainfall, and later onset of fall frosts. Adaptive strategies employed by producers are largely learned though collaborative efforts and trial and error. The adaptations are mostly tactical and reactive in the short term, but with continued climate change, these strategies may develop into strategic, anticipatory measures. Climate change has the potential to present both challenges and opportunities to Prince Edward County wine producers, and adaptations will continue to require strong networking and collaborative efforts.","container-title":"Regional Environmental Change","DOI":"10.1007/s10113-013-0555-y","ISSN":"1436-3798, 1436-378X","issue":"3","journalAbbreviation":"Reg Environ Change","language":"en","page":"1109-1121","source":"DOI.org (Crossref)","title":"Recent climate change in the Prince Edward County winegrowing region, Ontario, Canada: implications for adaptation in a fledgling wine industry","title-short":"Recent climate change in the Prince Edward County winegrowing region, Ontario, Canada","volume":"14","author":[{"family":"Holland","given":"Tara"},{"family":"Smit","given":"Barry"}],"issued":{"date-parts":[["2014",6]]}}}],"schema":"https://github.com/citation-style-language/schema/raw/master/csl-citation.json"}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(Holland and Smit, 2014)</w:t>
            </w:r>
            <w:r>
              <w:rPr>
                <w:rFonts w:ascii="Calibri" w:eastAsia="Times New Roman" w:hAnsi="Calibri" w:cs="Calibri"/>
                <w:color w:val="000000"/>
                <w:sz w:val="16"/>
                <w:lang w:val="en-GB" w:eastAsia="en-GB"/>
              </w:rPr>
              <w:fldChar w:fldCharType="end"/>
            </w:r>
          </w:p>
        </w:tc>
        <w:tc>
          <w:tcPr>
            <w:tcW w:w="859" w:type="dxa"/>
          </w:tcPr>
          <w:p w14:paraId="287019CF" w14:textId="0C5230FE"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Canada</w:t>
            </w:r>
          </w:p>
        </w:tc>
        <w:tc>
          <w:tcPr>
            <w:tcW w:w="1710" w:type="dxa"/>
          </w:tcPr>
          <w:p w14:paraId="24BF738C" w14:textId="3CD3E7CB"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 LT1, LT2</w:t>
            </w:r>
          </w:p>
        </w:tc>
        <w:tc>
          <w:tcPr>
            <w:tcW w:w="1431" w:type="dxa"/>
          </w:tcPr>
          <w:p w14:paraId="1DCE8934" w14:textId="6466184A"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Farm</w:t>
            </w:r>
          </w:p>
        </w:tc>
        <w:tc>
          <w:tcPr>
            <w:tcW w:w="1137" w:type="dxa"/>
          </w:tcPr>
          <w:p w14:paraId="763737EC" w14:textId="21DEF362"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Expert judgement</w:t>
            </w:r>
          </w:p>
        </w:tc>
        <w:tc>
          <w:tcPr>
            <w:tcW w:w="460" w:type="dxa"/>
          </w:tcPr>
          <w:p w14:paraId="13B5DF83" w14:textId="65E4D91A"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106</w:t>
            </w:r>
          </w:p>
        </w:tc>
        <w:tc>
          <w:tcPr>
            <w:tcW w:w="1203" w:type="dxa"/>
          </w:tcPr>
          <w:p w14:paraId="56BB7241" w14:textId="1769B21C"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{"citationID":"cKTqUVYs","properties":{"formattedCitation":"(van Leeuwen and Darriet, 2016)","plainCitation":"(van Leeuwen and Darriet, 2016)","noteIndex":0},"citationItems":[{"id":1360,"uris":["http://zotero.org/users/2311545/items/C95KRVA8"],"uri":["http://zotero.org/users/2311545/items/C95KRVA8"],"itemData":{"id":1360,"type":"article-journal","container-title":"Journal of Wine Economics","DOI":"10.1017/jwe.2015.21","ISSN":"1931-4361, 1931-437X","issue":"01","language":"en","page":"150-167","source":"Crossref","title":"The Impact of Climate Change on Viticulture and Wine Quality","volume":"11","author":[{"family":"Leeuwen","given":"Cornelis","non-dropping-particle":"van"},{"family":"Darriet","given":"Philippe"}],"issued":{"date-parts":[["2016",5]]}}}],"schema":"https://github.com/citation-style-language/schema/raw/master/csl-citation.json"}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(van Leeuwen and Darriet, 2016)</w:t>
            </w:r>
            <w:r>
              <w:rPr>
                <w:rFonts w:ascii="Calibri" w:eastAsia="Times New Roman" w:hAnsi="Calibri" w:cs="Calibri"/>
                <w:color w:val="000000"/>
                <w:sz w:val="16"/>
                <w:lang w:val="en-GB" w:eastAsia="en-GB"/>
              </w:rPr>
              <w:fldChar w:fldCharType="end"/>
            </w:r>
          </w:p>
        </w:tc>
        <w:tc>
          <w:tcPr>
            <w:tcW w:w="1269" w:type="dxa"/>
          </w:tcPr>
          <w:p w14:paraId="6C01B0FC" w14:textId="05947940"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943" w:type="dxa"/>
          </w:tcPr>
          <w:p w14:paraId="20F8FA25" w14:textId="04708742"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LT2, LT3, ST3</w:t>
            </w:r>
          </w:p>
        </w:tc>
        <w:tc>
          <w:tcPr>
            <w:tcW w:w="1625" w:type="dxa"/>
          </w:tcPr>
          <w:p w14:paraId="2083E963" w14:textId="2B237FA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Sector</w:t>
            </w:r>
          </w:p>
        </w:tc>
        <w:tc>
          <w:tcPr>
            <w:tcW w:w="1341" w:type="dxa"/>
          </w:tcPr>
          <w:p w14:paraId="3525B130" w14:textId="0BE5D9BB"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4D9C1B2A" w14:textId="020B5CB4"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3408641D" w14:textId="13DD2555"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52</w:t>
            </w:r>
          </w:p>
        </w:tc>
        <w:tc>
          <w:tcPr>
            <w:tcW w:w="1190" w:type="dxa"/>
            <w:hideMark/>
          </w:tcPr>
          <w:p w14:paraId="2608A45C" w14:textId="02CBE0DF"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{"citationID":"ppXND4V4","properties":{"formattedCitation":"(Vaz et al., 2016)","plainCitation":"(Vaz et al., 2016)","noteIndex":0},"citationItems":[{"id":2750,"uris":["http://zotero.org/users/2311545/items/SVJZQE4C"],"uri":["http://zotero.org/users/2311545/items/SVJZQE4C"],"itemData":{"id":2750,"type":"article-journal","container-title":"Theoretical and Experimental Plant Physiology","DOI":"10.1007/s40626-016-0074-6","ISSN":"2197-0025","issue":"2","journalAbbreviation":"Theor. Exp. Plant Physiol.","language":"en","page":"205-220","source":"DOI.org (Crossref)","title":"Adaptive strategies of two Mediterranean grapevines varieties (Aragonez syn. Tempranillo and Trincadeira) face drought: physiological and structural responses","title-short":"Adaptive strategies of two Mediterranean grapevines varieties (Aragonez syn. Tempranillo and Trincadeira) face drought","volume":"28","author":[{"family":"Vaz","given":"M."},{"family":"Coelho","given":"R."},{"family":"Rato","given":"A."},{"family":"Samara-Lima","given":"R."},{"family":"Silva","given":"L. L."},{"family":"Campostrini","given":"E."},{"family":"Mota","given":"J. B."}],"issued":{"date-parts":[["2016",6]]}}}],"schema":"https://github.com/citation-style-language/schema/raw/master/csl-citation.json"}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(Vaz et al., 2016)</w:t>
            </w:r>
            <w:r>
              <w:rPr>
                <w:rFonts w:ascii="Calibri" w:eastAsia="Times New Roman" w:hAnsi="Calibri" w:cs="Calibri"/>
                <w:color w:val="000000"/>
                <w:sz w:val="16"/>
                <w:lang w:val="en-GB" w:eastAsia="en-GB"/>
              </w:rPr>
              <w:fldChar w:fldCharType="end"/>
            </w:r>
          </w:p>
        </w:tc>
        <w:tc>
          <w:tcPr>
            <w:tcW w:w="859" w:type="dxa"/>
          </w:tcPr>
          <w:p w14:paraId="2415B1E3" w14:textId="482E27B0"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Portugal</w:t>
            </w:r>
          </w:p>
        </w:tc>
        <w:tc>
          <w:tcPr>
            <w:tcW w:w="1710" w:type="dxa"/>
          </w:tcPr>
          <w:p w14:paraId="795EA800" w14:textId="6F9AE37A"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431" w:type="dxa"/>
          </w:tcPr>
          <w:p w14:paraId="17E2440D" w14:textId="048FE2C7"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46EA87EB" w14:textId="33A662D6"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626E1AC3" w14:textId="0BDE9229"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107</w:t>
            </w:r>
          </w:p>
        </w:tc>
        <w:tc>
          <w:tcPr>
            <w:tcW w:w="1203" w:type="dxa"/>
          </w:tcPr>
          <w:p w14:paraId="59C571C6" w14:textId="7499DD59"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{"citationID":"i7pdCWNh","properties":{"formattedCitation":"(Molitor et al., 2019)","plainCitation":"(Molitor et al., 2019)","noteIndex":0},"citationItems":[{"id":2248,"uris":["http://zotero.org/users/2311545/items/QQVFQUNV"],"uri":["http://zotero.org/users/2311545/items/QQVFQUNV"],"itemData":{"id":2248,"type":"article-journal","abstract":"The low-input viticultural training system &amp;lsquo;Semi-minimal pruned hedge&amp;rsquo; (SMPH) is progressively being more widely applied in the Central European grapegrowing regions. The present study examined the influence of (i) the training system (SMPH versus the vertical shoot position (VSP) system), (ii) the timing of shoot topping in SMPH, and (iii) the effects of mechanical thinning in SMPH on the bunch rot epidemic, grape maturity, and yield. Six-year field trials on Pinot blanc in Luxembourg demonstrated that yield levels in non-thinned SMPH treatments were 74% higher, and total soluble solids (TSS) at harvest 2.2 brix lower than in VSP. Non-thinned SMPH delayed the bunch rot epidemic and the maturity progress by 18 and 11 days compared to VSP, respectively. Different shoot-topping timings in SMPH did not affect the tested parameters. Mechanical thinning regimes reduced the yield by 28% (moderate thinning) and 53% (severe thinning) compared to non-thinned SMPH and increased TSS by 0.8 and 1.3 brix, respectively. Delayed bunch rot epidemic and maturity progress give rise to the opportunity for a longer maturity period in cooler conditions, making this system of particular interest in future, warmer climatic conditions. Providing that yield levels are managed properly, SMPH might represent an interesting climate change adaptation strategy.","container-title":"Agronomy","DOI":"10.3390/agronomy9040173","issue":"4","language":"en","page":"173","source":"www.mdpi.com","title":"Semi-Minimal Pruned Hedge: A Potential Climate Change Adaptation Strategy in Viticulture","title-short":"Semi-Minimal Pruned Hedge","volume":"9","author":[{"family":"Molitor","given":"Daniel"},{"family":"Schultz","given":"Mareike"},{"family":"Mannes","given":"Robert"},{"family":"Pallez-Barthel","given":"Marine"},{"family":"Hoffmann","given":"Lucien"},{"family":"Beyer","given":"Marco"}],"issued":{"date-parts":[["2019",4]]}}}],"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(Molitor et al., 2019)</w:t>
            </w:r>
            <w:r>
              <w:rPr>
                <w:rFonts w:ascii="Calibri" w:eastAsia="Times New Roman" w:hAnsi="Calibri" w:cs="Calibri"/>
                <w:color w:val="000000"/>
                <w:sz w:val="16"/>
                <w:lang w:val="en-GB" w:eastAsia="en-GB"/>
              </w:rPr>
              <w:fldChar w:fldCharType="end"/>
            </w:r>
          </w:p>
        </w:tc>
        <w:tc>
          <w:tcPr>
            <w:tcW w:w="1269" w:type="dxa"/>
          </w:tcPr>
          <w:p w14:paraId="61F4FCBD" w14:textId="2BFC49FE"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Luxembourg</w:t>
            </w:r>
          </w:p>
        </w:tc>
        <w:tc>
          <w:tcPr>
            <w:tcW w:w="943" w:type="dxa"/>
          </w:tcPr>
          <w:p w14:paraId="639C504E" w14:textId="17EFB4BA"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LT3</w:t>
            </w:r>
          </w:p>
        </w:tc>
        <w:tc>
          <w:tcPr>
            <w:tcW w:w="1625" w:type="dxa"/>
          </w:tcPr>
          <w:p w14:paraId="4DA6843B" w14:textId="623AB5DD"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08F005D7" w14:textId="015FC1BF"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31FAF810" w14:textId="7B1CAF2B"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78CAFEF5" w14:textId="05D97A1E"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53</w:t>
            </w:r>
          </w:p>
        </w:tc>
        <w:tc>
          <w:tcPr>
            <w:tcW w:w="1190" w:type="dxa"/>
            <w:hideMark/>
          </w:tcPr>
          <w:p w14:paraId="14EDA3BA" w14:textId="40D935DD"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{"citationID":"1jApZzIy","properties":{"formattedCitation":"(Zhu et al., 2016)","plainCitation":"(Zhu et al., 2016)","noteIndex":0},"citationItems":[{"id":2680,"uris":["http://zotero.org/users/2311545/items/MQZXJZCR"],"uri":["http://zotero.org/users/2311545/items/MQZXJZCR"],"itemData":{"id":2680,"type":"article-journal","container-title":"Regional Environmental Change","DOI":"10.1007/s10113-014-0622-z","ISSN":"1436-3798, 1436-378X","issue":"1","journalAbbreviation":"Reg Environ Change","language":"en","page":"85-96","source":"DOI.org (Crossref)","title":"A model-based assessment of adaptation options for Chianti wine production in Tuscany (Italy) under climate change","volume":"16","author":[{"family":"Zhu","given":"Xueqin"},{"family":"Moriondo","given":"Marco"},{"family":"Ierland","given":"Ekko C.","non-dropping-particle":"van"},{"family":"Trombi","given":"Giacomo"},{"family":"Bindi","given":"Marco"}],"issued":{"date-parts":[["2016",1]]}}}],"schema":"https://github.com/citation-style-language/schema/raw/master/csl-citation.json"}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(Zhu et al., 2016)</w:t>
            </w:r>
            <w:r>
              <w:rPr>
                <w:rFonts w:ascii="Calibri" w:eastAsia="Times New Roman" w:hAnsi="Calibri" w:cs="Calibri"/>
                <w:color w:val="000000"/>
                <w:sz w:val="16"/>
                <w:lang w:val="en-GB" w:eastAsia="en-GB"/>
              </w:rPr>
              <w:fldChar w:fldCharType="end"/>
            </w:r>
          </w:p>
        </w:tc>
        <w:tc>
          <w:tcPr>
            <w:tcW w:w="859" w:type="dxa"/>
          </w:tcPr>
          <w:p w14:paraId="563B72DB" w14:textId="2DB5533F"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614FEE43" w14:textId="6F5620F6"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LT2</w:t>
            </w:r>
          </w:p>
        </w:tc>
        <w:tc>
          <w:tcPr>
            <w:tcW w:w="1431" w:type="dxa"/>
          </w:tcPr>
          <w:p w14:paraId="2938D669" w14:textId="23895273"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Field/Farm/Region</w:t>
            </w:r>
          </w:p>
        </w:tc>
        <w:tc>
          <w:tcPr>
            <w:tcW w:w="1137" w:type="dxa"/>
          </w:tcPr>
          <w:p w14:paraId="2AB4F73B" w14:textId="61118313"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Modeling</w:t>
            </w:r>
          </w:p>
        </w:tc>
        <w:tc>
          <w:tcPr>
            <w:tcW w:w="460" w:type="dxa"/>
          </w:tcPr>
          <w:p w14:paraId="3027543A" w14:textId="5198636C"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108</w:t>
            </w:r>
          </w:p>
        </w:tc>
        <w:tc>
          <w:tcPr>
            <w:tcW w:w="1203" w:type="dxa"/>
          </w:tcPr>
          <w:p w14:paraId="5A03D345" w14:textId="5E2B186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{"citationID":"9444yPB5","properties":{"formattedCitation":"(Sabir, 2016)","plainCitation":"(Sabir, 2016)","noteIndex":0},"citationItems":[{"id":2803,"uris":["http://zotero.org/users/2311545/items/94LVX9V6"],"uri":["http://zotero.org/users/2311545/items/94LVX9V6"],"itemData":{"id":2803,"type":"article-journal","abstract":"Plant growth and reproductivity of grape cv. 'Italia' subjected to two different irrigation levels in controlled glasshouse were investigated over 2 years. Initially, two years old vines were grafted on 5 BB (V. berlandieri Planch.×V. riparia Michx.), 99 R (V. berlandieri Planch.×V. rupestris Scheele) rootstocks or on its own root system in 40 L pots. During the cultivation, half of the vines of each experimental group were Fully Irrigated (FI: 100% of field capacity) while the others were subjected to continuous Deficit Irrigation (DI: 40% of field capacity). During the study, significant negative effects of DI on plant vegetative development and physiology were observed. The lignified shoot length of vine on 5 BB rootstock decreased by 29.1% under DI as compared to growth under FI. On the other hand, the vine with 99 R rootstock decreased by 18.2% under DI as compared to lignified shoot growth under FI, while a 20.1% decrease occurred for own root (DI vs. FI). Also, DI regime resulted in slight decreases in P, K, and Ca status of leaves, while Zn and Cu concentrations were significantly higher in the vines subjected to DI. DI resulted in reduced cluster weight and vine yield in varying degrees with respect to rootstock usage. Under DI condition, the vines on 99 R yielded better than those on 5 BB, but vines on on 5 BB reacted adversely to DI. Considering the overall findings, grapevines cv. 'Italia' on 99 R exhibited higher drought tolerance than 5 BB. Rootstocks had slight impairing effects on physiological traits, yield, and mineral acquisition of grapevine cv. 'Italia' as compared to own-rooted.","language":"en","page":"13","source":"Zotero","title":"Vegetative and Reproductive Growth Responses of Grapevine cv. 'Italia' (Vitis vinifera L.) Grafted on Different Rootstocks to Contrasting Soil Water Status","author":[{"family":"Sabir","given":"A"}],"issued":{"date-parts":[["2016"]]}}}],"schema":"https://github.com/citation-style-language/schema/raw/master/csl-citation.json"}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(Sabir, 2016)</w:t>
            </w:r>
            <w:r>
              <w:rPr>
                <w:rFonts w:ascii="Calibri" w:eastAsia="Times New Roman" w:hAnsi="Calibri" w:cs="Calibri"/>
                <w:color w:val="000000"/>
                <w:sz w:val="16"/>
                <w:lang w:val="en-GB" w:eastAsia="en-GB"/>
              </w:rPr>
              <w:fldChar w:fldCharType="end"/>
            </w:r>
          </w:p>
        </w:tc>
        <w:tc>
          <w:tcPr>
            <w:tcW w:w="1269" w:type="dxa"/>
          </w:tcPr>
          <w:p w14:paraId="6469D0FC" w14:textId="08AF6287"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Turkey</w:t>
            </w:r>
          </w:p>
        </w:tc>
        <w:tc>
          <w:tcPr>
            <w:tcW w:w="943" w:type="dxa"/>
          </w:tcPr>
          <w:p w14:paraId="6521D80F" w14:textId="0E90CF35"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ST2</w:t>
            </w:r>
          </w:p>
        </w:tc>
        <w:tc>
          <w:tcPr>
            <w:tcW w:w="1625" w:type="dxa"/>
          </w:tcPr>
          <w:p w14:paraId="0B4E18AD" w14:textId="72EEDD78"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1678FFF2" w14:textId="50B32F24"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r w:rsidR="00537A56" w:rsidRPr="00EF0654" w14:paraId="4BA494B4" w14:textId="3AFFB0DE"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40B5316" w14:textId="25A0A923"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54</w:t>
            </w:r>
          </w:p>
        </w:tc>
        <w:tc>
          <w:tcPr>
            <w:tcW w:w="1190" w:type="dxa"/>
            <w:hideMark/>
          </w:tcPr>
          <w:p w14:paraId="44446EAA" w14:textId="76AA46E5" w:rsidR="00537A56" w:rsidRPr="00CE1C4A"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fr-FR" w:eastAsia="en-GB"/>
              </w:rPr>
              <w:fldChar w:fldCharType="begin"/>
            </w:r>
            <w:r>
              <w:rPr>
                <w:rFonts w:ascii="Calibri" w:eastAsia="Times New Roman" w:hAnsi="Calibri" w:cs="Calibri"/>
                <w:color w:val="000000"/>
                <w:sz w:val="16"/>
                <w:lang w:val="fr-FR" w:eastAsia="en-GB"/>
              </w:rPr>
              <w:instrText xml:space="preserve"> ADDIN ZOTERO_ITEM CSL_CITATION {"citationID":"8bWvIfhb","properties":{"formattedCitation":"(Amendola et al., 2017)","plainCitation":"(Amendola et al., 2017)","noteIndex":0},"citationItems":[{"id":2285,"uris":["http://zotero.org/users/2311545/items/UHZJ6UTQ"],"uri":["http://zotero.org/users/2311545/items/UHZJ6UTQ"],"itemData":{"id":2285,"type":"article-journal","abstract":"Application of biochar to the soil is globally recognised as a means to improve soil structure and fertility, increase carbon sequestration, enhance crop production and mitigate climate change. However, although the fine root system is fundamental for plant growth, crop productivity, carbon and nutrient cycling, little is known about the effect of biochar on plant fine roots. This study, conducted in a Montepulciano (Vitis vinifera L.) vineyard, was aimed at investigating the impact of biochar application (at the rate of 10tha−1) on soil chemical and physical properties, fine root dynamics and arbuscular mycorrhizal fungi (AMF) production during a one-year sampling period. To this aim, seasonal variation of fine root mass, length and diameter was measured by the sequential coring technique, whereas fine root annual production was calculated by minimum-maximum procedure and turnover rate of live roots by maximum standing biomass. For AMF annual production, in-growth mesh bags were used to measure glomalin as quantitative indicator of mycorrhizae presence. Results showed that biochar significantly increased organic carbon (20.7%), available ammonium (84.4%), and available water content of the soil (11.8%), while it also promoted the formation of the large fraction of macro aggregates (ø&gt;2mm; 3.1% control; 5.5% treated). Cation exchange capacity, pH, total nitrogen content, and total and available phosphorus content remained unaffected. Immediately after biochar soil amendment, while fine root length remained unchanged, a significant increase in fine root biomass was measured resulting in a higher mean annual biomass (8.56gm−2 control; 13.34gm−2 treated), annual production (8.71gm−2 control; 12.7gm−2 treated) and lifespan (as evidenced by a lower turnover</w:instrText>
            </w:r>
            <w:r w:rsidRPr="00CE1C4A">
              <w:rPr>
                <w:rFonts w:ascii="Calibri" w:eastAsia="Times New Roman" w:hAnsi="Calibri" w:cs="Calibri"/>
                <w:color w:val="000000"/>
                <w:sz w:val="16"/>
                <w:lang w:val="en-GB" w:eastAsia="en-GB"/>
              </w:rPr>
              <w:instrText xml:space="preserve"> rate; 1.02 yr−1 control; 0.95 yr−1 treated). Moreover, the increase of fine root biomass resulted to be associated with radial growth since mean fine root diameter was significantly higher in biochar-treated plants (0.56mm) than in control plants (0.46mm). Biochar had no significant effect on the annual production of AMF. The results of the present study show that the improvements of soil chemical and physical features due to biochar application have an immediate effect on fine root dynamics and morphology. Furthermore, the increase of fine root biomass is mainly due to radial growth and occurs during the water shortage period, supporting fruit setting and ripening in grapevine plants.","container-title":"Agriculture, Ecosystems &amp; Environment","DOI":"10.1016/j.agee.2017.01.025","ISSN":"0167-8809","journalAbbreviation":"Agriculture, Ecosystems &amp; Environment","page":"236-245","source":"ScienceDirect","title":"Short-term effects of biochar on grapevine fine root dynamics and arbuscular mycorrhizae production","volume":"239","author":[{"family":"Amendola","given":"C."},{"family":"Montagnoli","given":"A."},{"family":"Terzaghi","given":"M."},{"family":"Trupiano","given":"D."},{"family":"Oliva","given":"F."},{"family":"Baronti","given":"S."},{"family":"Miglietta","given":"F."},{"family":"Chiatante","given":"D."},{"family":"Scippa","given":"G. S."}],"issued":{"date-parts":[["2017",2,15]]}}}],"schema":"https://github.com/citation-style-language/schema/raw/master/csl-citation.json"} </w:instrText>
            </w:r>
            <w:r>
              <w:rPr>
                <w:rFonts w:ascii="Calibri" w:eastAsia="Times New Roman" w:hAnsi="Calibri" w:cs="Calibri"/>
                <w:color w:val="000000"/>
                <w:sz w:val="16"/>
                <w:lang w:val="fr-FR" w:eastAsia="en-GB"/>
              </w:rPr>
              <w:fldChar w:fldCharType="separate"/>
            </w:r>
            <w:r w:rsidRPr="00CE1C4A">
              <w:rPr>
                <w:rFonts w:ascii="Calibri" w:hAnsi="Calibri"/>
                <w:sz w:val="16"/>
              </w:rPr>
              <w:t>(Amendola et al., 2017)</w:t>
            </w:r>
            <w:r>
              <w:rPr>
                <w:rFonts w:ascii="Calibri" w:eastAsia="Times New Roman" w:hAnsi="Calibri" w:cs="Calibri"/>
                <w:color w:val="000000"/>
                <w:sz w:val="16"/>
                <w:lang w:val="fr-FR" w:eastAsia="en-GB"/>
              </w:rPr>
              <w:fldChar w:fldCharType="end"/>
            </w:r>
          </w:p>
        </w:tc>
        <w:tc>
          <w:tcPr>
            <w:tcW w:w="859" w:type="dxa"/>
          </w:tcPr>
          <w:p w14:paraId="66D7C824" w14:textId="2047563B" w:rsid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1710" w:type="dxa"/>
          </w:tcPr>
          <w:p w14:paraId="54F68568" w14:textId="41B20E34"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ST2</w:t>
            </w:r>
          </w:p>
        </w:tc>
        <w:tc>
          <w:tcPr>
            <w:tcW w:w="1431" w:type="dxa"/>
          </w:tcPr>
          <w:p w14:paraId="2E3174AA" w14:textId="294946F6"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137" w:type="dxa"/>
          </w:tcPr>
          <w:p w14:paraId="1362459E" w14:textId="15A4AC0E"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c>
          <w:tcPr>
            <w:tcW w:w="460" w:type="dxa"/>
          </w:tcPr>
          <w:p w14:paraId="29160A4D" w14:textId="05245D4F"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109</w:t>
            </w:r>
          </w:p>
        </w:tc>
        <w:tc>
          <w:tcPr>
            <w:tcW w:w="1203" w:type="dxa"/>
          </w:tcPr>
          <w:p w14:paraId="52BCD759" w14:textId="5F1C6262"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{"citationID":"xB5ulmzK","properties":{"formattedCitation":"(Wolkovich et al., 2017)","plainCitation":"(Wolkovich et al., 2017)","noteIndex":0},"citationItems":[{"id":2002,"uris":["http://zotero.org/users/2311545/items/P7SYLL82"],"uri":["http://zotero.org/users/2311545/items/P7SYLL82"],"itemData":{"id":2002,"type":"article-journal","container-title":"Journal of Ecology","DOI":"10.1111/1365-2745.12786","ISSN":"00220477","issue":"4","language":"en","page":"905-912","source":"Crossref","title":"Phenological diversity provides opportunities for climate change adaptation in winegrapes","volume":"105","author":[{"family":"Wolkovich","given":"E. M."},{"family":"Burge","given":"D. O."},{"family":"Walker","given":"M. A."},{"family":"Nicholas","given":"K. A."}],"editor":[{"family":"Gibson","given":"David"}],"issued":{"date-parts":[["2017",7]]}}}],"schema":"https://github.com/citation-style-language/schema/raw/master/csl-citation.json"}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(Wolkovich et al., 2017)</w:t>
            </w:r>
            <w:r>
              <w:rPr>
                <w:rFonts w:ascii="Calibri" w:eastAsia="Times New Roman" w:hAnsi="Calibri" w:cs="Calibri"/>
                <w:color w:val="000000"/>
                <w:sz w:val="16"/>
                <w:lang w:val="en-GB" w:eastAsia="en-GB"/>
              </w:rPr>
              <w:fldChar w:fldCharType="end"/>
            </w:r>
          </w:p>
        </w:tc>
        <w:tc>
          <w:tcPr>
            <w:tcW w:w="1269" w:type="dxa"/>
          </w:tcPr>
          <w:p w14:paraId="27F7C38A" w14:textId="4B6392EF"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943" w:type="dxa"/>
          </w:tcPr>
          <w:p w14:paraId="3D7665F7" w14:textId="4A833E3F"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LT1, LT2</w:t>
            </w:r>
          </w:p>
        </w:tc>
        <w:tc>
          <w:tcPr>
            <w:tcW w:w="1625" w:type="dxa"/>
          </w:tcPr>
          <w:p w14:paraId="26349F72" w14:textId="4DE30C03"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Plant/Region</w:t>
            </w:r>
          </w:p>
        </w:tc>
        <w:tc>
          <w:tcPr>
            <w:tcW w:w="1341" w:type="dxa"/>
          </w:tcPr>
          <w:p w14:paraId="7E311933" w14:textId="1A509CA5"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27033C32" w14:textId="3CA0B097" w:rsidTr="00537A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03E99A88" w14:textId="2D2D6A54" w:rsidR="00537A56" w:rsidRPr="00EF0654" w:rsidRDefault="00537A56" w:rsidP="00537A56">
            <w:pPr>
              <w:spacing w:before="0" w:after="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55</w:t>
            </w:r>
          </w:p>
        </w:tc>
        <w:tc>
          <w:tcPr>
            <w:tcW w:w="1190" w:type="dxa"/>
            <w:hideMark/>
          </w:tcPr>
          <w:p w14:paraId="4D020C63" w14:textId="4F3A49BC" w:rsidR="00537A56" w:rsidRPr="00CE1C4A"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{"citationID":"jPJi3Pk5","properties":{"formattedCitation":"(Keller, 2010)","plainCitation":"(Keller, 2010)","noteIndex":0},"citationItems":[{"id":1942,"uris":["http://zotero.org/users/2311545/items/4IX8LZN3"],"uri":["http://zotero.org/users/2311545/items/4IX8LZN3"],"itemData":{"id":1942,"type":"article-journal","abstract":"Grapevine reproductive development extends over two seasons, and the genotypic expression of yield potential and fruit composition is subject to environmental impacts, which include viticultural manipulations, throughout this period. This paper reviews current knowledge on yield formation and fruit composition and attempts to identify challenges, opportunities and priorities for research and practice. The present analysis of published information gives a critical appraisal of recent advances concerning variables, especially as they relate to global climate change, that influence yield formation and fruit composition at harvest. Exciting discoveries in fundamental research on the one hand and an increasing focus on outcomes and knowledge transfer on the other are enabling the development and implementation of practical recommendations that will impact grape production in the future. Future research should aim to minimise seasonal variation and optimise the profitable and sustainable production of high-quality fruit for specific uses in the face of climate change, water and labour shortages, shifting consumer preferences and global competition. Better control of product quantity and quality, and differentiation to meet consumer demands and market preferences will enhance the competitiveness and sustainability of the global grape and wine industries.","container-title":"Australian Journal of Grape and Wine Research","DOI":"10.1111/j.1755-0238.2009.00077.x","ISSN":"1755-0238","issue":"s1","language":"en","page":"56-69","source":"Wiley Online Library","title":"Managing grapevines to optimise fruit development in a challenging environment: a climate change primer for viticulturists","title-short":"Managing grapevines to optimise fruit development in a challenging environment","volume":"16","author":[{"family":"Keller","given":"M."}],"issued":{"date-parts":[["2010"]]}}}],"schema":"https://github.com/citation-style-language/schema/raw/master/csl-citation.json"} </w:instrText>
            </w:r>
            <w:r>
              <w:rPr>
                <w:rFonts w:ascii="Calibri" w:eastAsia="Times New Roman" w:hAnsi="Calibri" w:cs="Calibri"/>
                <w:color w:val="000000"/>
                <w:sz w:val="16"/>
                <w:lang w:val="en-GB" w:eastAsia="en-GB"/>
              </w:rPr>
              <w:fldChar w:fldCharType="separate"/>
            </w:r>
            <w:r w:rsidRPr="00CE1C4A">
              <w:rPr>
                <w:rFonts w:ascii="Calibri" w:hAnsi="Calibri"/>
                <w:sz w:val="16"/>
              </w:rPr>
              <w:t>(Keller, 2010)</w:t>
            </w:r>
            <w:r>
              <w:rPr>
                <w:rFonts w:ascii="Calibri" w:eastAsia="Times New Roman" w:hAnsi="Calibri" w:cs="Calibri"/>
                <w:color w:val="000000"/>
                <w:sz w:val="16"/>
                <w:lang w:val="en-GB" w:eastAsia="en-GB"/>
              </w:rPr>
              <w:fldChar w:fldCharType="end"/>
            </w:r>
          </w:p>
        </w:tc>
        <w:tc>
          <w:tcPr>
            <w:tcW w:w="859" w:type="dxa"/>
          </w:tcPr>
          <w:p w14:paraId="6DD34320" w14:textId="6BC3CDB4"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USA</w:t>
            </w:r>
          </w:p>
        </w:tc>
        <w:tc>
          <w:tcPr>
            <w:tcW w:w="1710" w:type="dxa"/>
          </w:tcPr>
          <w:p w14:paraId="20AC232A" w14:textId="7F25F274"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ST1, LT3, ST2, ST3, LT1</w:t>
            </w:r>
          </w:p>
        </w:tc>
        <w:tc>
          <w:tcPr>
            <w:tcW w:w="1431" w:type="dxa"/>
          </w:tcPr>
          <w:p w14:paraId="77C68932" w14:textId="0A9265A3"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Field/Region</w:t>
            </w:r>
          </w:p>
        </w:tc>
        <w:tc>
          <w:tcPr>
            <w:tcW w:w="1137" w:type="dxa"/>
          </w:tcPr>
          <w:p w14:paraId="1DCFAF46" w14:textId="1D3899E1" w:rsidR="00537A56" w:rsidRPr="00EF0654"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c>
          <w:tcPr>
            <w:tcW w:w="460" w:type="dxa"/>
          </w:tcPr>
          <w:p w14:paraId="0B8CFABA" w14:textId="21961958" w:rsidR="00537A56" w:rsidRPr="00AD2ABD"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110</w:t>
            </w:r>
          </w:p>
        </w:tc>
        <w:tc>
          <w:tcPr>
            <w:tcW w:w="1203" w:type="dxa"/>
          </w:tcPr>
          <w:p w14:paraId="1F18BB48" w14:textId="16570FA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{"citationID":"aJjfhco8","properties":{"formattedCitation":"(Zhang et al., 2016)","plainCitation":"(Zhang et al., 2016)","noteIndex":0},"citationItems":[{"id":2682,"uris":["http://zotero.org/users/2311545/items/X7B65ABA"],"uri":["http://zotero.org/users/2311545/items/X7B65ABA"],"itemData":{"id":2682,"type":"article-journal","container-title":"Theoretical and Experimental Plant Physiology","DOI":"10.1007/s40626-016-0070-x","ISSN":"2197-0025","issue":"2","journalAbbreviation":"Theor. Exp. Plant Physiol.","language":"en","page":"143-157","source":"DOI.org (Crossref)","title":"The influence of grapevine rootstocks on scion growth and drought resistance","volume":"28","author":[{"family":"Zhang","given":"Li"},{"family":"Marguerit","given":"Elisa"},{"family":"Rossdeutsch","given":"Landry"},{"family":"Ollat","given":"Nathalie"},{"family":"Gambetta","given":"Gregory A."}],"issued":{"date-parts":[["2016",6]]}}}],"schema":"https://github.com/citation-style-language/schema/raw/master/csl-citation.json"}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(Zhang et al., 2016)</w:t>
            </w:r>
            <w:r>
              <w:rPr>
                <w:rFonts w:ascii="Calibri" w:eastAsia="Times New Roman" w:hAnsi="Calibri" w:cs="Calibri"/>
                <w:color w:val="000000"/>
                <w:sz w:val="16"/>
                <w:lang w:val="en-GB" w:eastAsia="en-GB"/>
              </w:rPr>
              <w:fldChar w:fldCharType="end"/>
            </w:r>
          </w:p>
        </w:tc>
        <w:tc>
          <w:tcPr>
            <w:tcW w:w="1269" w:type="dxa"/>
          </w:tcPr>
          <w:p w14:paraId="38DDF428" w14:textId="4608B603" w:rsidR="00537A56"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France</w:t>
            </w:r>
          </w:p>
        </w:tc>
        <w:tc>
          <w:tcPr>
            <w:tcW w:w="943" w:type="dxa"/>
          </w:tcPr>
          <w:p w14:paraId="65752CA9" w14:textId="67155800"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LT2</w:t>
            </w:r>
          </w:p>
        </w:tc>
        <w:tc>
          <w:tcPr>
            <w:tcW w:w="1625" w:type="dxa"/>
          </w:tcPr>
          <w:p w14:paraId="5AD1B696" w14:textId="35DC027D"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Plant</w:t>
            </w:r>
          </w:p>
        </w:tc>
        <w:tc>
          <w:tcPr>
            <w:tcW w:w="1341" w:type="dxa"/>
          </w:tcPr>
          <w:p w14:paraId="7BA35C74" w14:textId="545844AF" w:rsidR="00537A56" w:rsidRPr="00AC6698" w:rsidRDefault="00537A56" w:rsidP="00537A56">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Review</w:t>
            </w:r>
          </w:p>
        </w:tc>
      </w:tr>
      <w:tr w:rsidR="00537A56" w:rsidRPr="00EF0654" w14:paraId="1DDC38DD" w14:textId="451ED8E8" w:rsidTr="00537A56">
        <w:trPr>
          <w:trHeight w:val="340"/>
        </w:trPr>
        <w:tc>
          <w:tcPr>
            <w:cnfStyle w:val="001000000000" w:firstRow="0" w:lastRow="0" w:firstColumn="1" w:lastColumn="0" w:oddVBand="0" w:evenVBand="0" w:oddHBand="0" w:evenHBand="0" w:firstRowFirstColumn="0" w:firstRowLastColumn="0" w:lastRowFirstColumn="0" w:lastRowLastColumn="0"/>
            <w:tcW w:w="396" w:type="dxa"/>
            <w:hideMark/>
          </w:tcPr>
          <w:p w14:paraId="42290F8C" w14:textId="4FAE6B70" w:rsidR="00537A56" w:rsidRPr="00EF0654" w:rsidRDefault="00537A56" w:rsidP="00537A56">
            <w:pPr>
              <w:spacing w:before="0" w:after="0"/>
              <w:rPr>
                <w:rFonts w:ascii="Calibri" w:eastAsia="Times New Roman" w:hAnsi="Calibri" w:cs="Calibri"/>
                <w:color w:val="000000"/>
                <w:sz w:val="16"/>
                <w:lang w:val="en-GB" w:eastAsia="en-GB"/>
              </w:rPr>
            </w:pPr>
          </w:p>
        </w:tc>
        <w:tc>
          <w:tcPr>
            <w:tcW w:w="1190" w:type="dxa"/>
            <w:hideMark/>
          </w:tcPr>
          <w:p w14:paraId="705EA281" w14:textId="0886B31B"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p>
        </w:tc>
        <w:tc>
          <w:tcPr>
            <w:tcW w:w="859" w:type="dxa"/>
          </w:tcPr>
          <w:p w14:paraId="41EB957E" w14:textId="5A2D20E1"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p>
        </w:tc>
        <w:tc>
          <w:tcPr>
            <w:tcW w:w="1710" w:type="dxa"/>
          </w:tcPr>
          <w:p w14:paraId="1FC13C71" w14:textId="5CC30D8C"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p>
        </w:tc>
        <w:tc>
          <w:tcPr>
            <w:tcW w:w="1431" w:type="dxa"/>
          </w:tcPr>
          <w:p w14:paraId="512D6022" w14:textId="730BC362"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p>
        </w:tc>
        <w:tc>
          <w:tcPr>
            <w:tcW w:w="1137" w:type="dxa"/>
          </w:tcPr>
          <w:p w14:paraId="32F95631" w14:textId="742D5BEE" w:rsidR="00537A56" w:rsidRPr="00EF0654"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p>
        </w:tc>
        <w:tc>
          <w:tcPr>
            <w:tcW w:w="460" w:type="dxa"/>
          </w:tcPr>
          <w:p w14:paraId="2A8A12EA" w14:textId="594FCE28" w:rsidR="00537A56" w:rsidRPr="00AD2ABD"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16"/>
                <w:lang w:val="en-GB" w:eastAsia="en-GB"/>
              </w:rPr>
            </w:pPr>
            <w:r w:rsidRPr="00AD2ABD">
              <w:rPr>
                <w:rFonts w:ascii="Calibri" w:eastAsia="Times New Roman" w:hAnsi="Calibri" w:cs="Calibri"/>
                <w:b/>
                <w:color w:val="000000"/>
                <w:sz w:val="16"/>
                <w:lang w:val="en-GB" w:eastAsia="en-GB"/>
              </w:rPr>
              <w:t>111</w:t>
            </w:r>
          </w:p>
        </w:tc>
        <w:tc>
          <w:tcPr>
            <w:tcW w:w="1203" w:type="dxa"/>
          </w:tcPr>
          <w:p w14:paraId="2355F643" w14:textId="65A4B38A"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fldChar w:fldCharType="begin"/>
            </w:r>
            <w:r>
              <w:rPr>
                <w:rFonts w:ascii="Calibri" w:eastAsia="Times New Roman" w:hAnsi="Calibri" w:cs="Calibri"/>
                <w:color w:val="000000"/>
                <w:sz w:val="16"/>
                <w:lang w:val="en-GB" w:eastAsia="en-GB"/>
              </w:rPr>
              <w:instrText xml:space="preserve"> ADDIN ZOTERO_ITEM CSL_CITATION {"citationID":"DTGwSq7F","properties":{"formattedCitation":"(Valentini et al., 2019)","plainCitation":"(Valentini et al., 2019)","noteIndex":0},"citationItems":[{"id":2121,"uris":["http://zotero.org/users/2311545/items/NE72PI9U"],"uri":["http://zotero.org/users/2311545/items/NE72PI9U"],"itemData":{"id":2121,"type":"article-journal","abstract":"BACKGROUND: Vineyard strategies have recently been developed to fight the effects of global warming on grapevine, which is causing fast grape ripening, excessive sugar accumulation in berries and high alcohol levels in wines. Among these, we evaluate the effectiveness of post-veraison trimming to slow down sugar accumulation without modifying phenolic ripening, in Sangiovese vines grown in highly fertile and wellwatered soil.\nRESULTS: The removal of about two thirds of leaf area by shoot trimming after veraison led to sugar content reduction without effect on yield. Total and extractable anthocyanins, skin and seed tannins showed no significant variation at harvest after the treatment during the three years trial, while the replenishment of carbohydrates in canes at the end of the trial was negatively affected.\nCONCLUSIONS: These results indicate that in highly fertile and well-watered soil, post-veraison trimming may represent a powerful tool for decreasing sugar concentration at harvest without affecting yield and total and extractable phenolic compounds but, the starch reserves reduction compared to the control serves as a warning about repeated trimming over the years.","container-title":"Journal of the Science of Food and Agriculture","DOI":"10.1002/jsfa.9311","ISSN":"00225142","issue":"3","language":"en","page":"1358-1365","source":"Crossref","title":"Post-veraison trimming slow down sugar accumulation without modifying phenolic ripening in Sangiovese vines: Post-veraison trimming of Sangiovese vines","title-short":"Post-veraison trimming slow down sugar accumulation without modifying phenolic ripening in Sangiovese vines","volume":"99","author":[{"family":"Valentini","given":"Gabriele"},{"family":"Allegro","given":"Gianluca"},{"family":"Pastore","given":"Chiara"},{"family":"Colucci","given":"Emilia"},{"family":"Filippetti","given":"Ilaria"}],"issued":{"date-parts":[["2019",2]]}}}],"schema":"https://github.com/citation-style-language/schema/raw/master/csl-citation.json"} </w:instrText>
            </w:r>
            <w:r>
              <w:rPr>
                <w:rFonts w:ascii="Calibri" w:eastAsia="Times New Roman" w:hAnsi="Calibri" w:cs="Calibri"/>
                <w:color w:val="000000"/>
                <w:sz w:val="16"/>
                <w:lang w:val="en-GB" w:eastAsia="en-GB"/>
              </w:rPr>
              <w:fldChar w:fldCharType="separate"/>
            </w:r>
            <w:r w:rsidRPr="00AD2ABD">
              <w:rPr>
                <w:rFonts w:ascii="Calibri" w:hAnsi="Calibri"/>
                <w:sz w:val="16"/>
              </w:rPr>
              <w:t>(Valentini et al., 2019)</w:t>
            </w:r>
            <w:r>
              <w:rPr>
                <w:rFonts w:ascii="Calibri" w:eastAsia="Times New Roman" w:hAnsi="Calibri" w:cs="Calibri"/>
                <w:color w:val="000000"/>
                <w:sz w:val="16"/>
                <w:lang w:val="en-GB" w:eastAsia="en-GB"/>
              </w:rPr>
              <w:fldChar w:fldCharType="end"/>
            </w:r>
          </w:p>
        </w:tc>
        <w:tc>
          <w:tcPr>
            <w:tcW w:w="1269" w:type="dxa"/>
          </w:tcPr>
          <w:p w14:paraId="4C4C7B9B" w14:textId="573B6D1A" w:rsidR="00537A56" w:rsidRPr="00537A56"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537A56">
              <w:rPr>
                <w:rFonts w:ascii="Calibri" w:eastAsia="Times New Roman" w:hAnsi="Calibri" w:cs="Calibri"/>
                <w:color w:val="000000"/>
                <w:sz w:val="16"/>
                <w:lang w:val="en-GB" w:eastAsia="en-GB"/>
              </w:rPr>
              <w:t>Italy</w:t>
            </w:r>
          </w:p>
        </w:tc>
        <w:tc>
          <w:tcPr>
            <w:tcW w:w="943" w:type="dxa"/>
          </w:tcPr>
          <w:p w14:paraId="26031316" w14:textId="35EC7B8C"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Pr>
                <w:rFonts w:ascii="Calibri" w:eastAsia="Times New Roman" w:hAnsi="Calibri" w:cs="Calibri"/>
                <w:color w:val="000000"/>
                <w:sz w:val="16"/>
                <w:lang w:val="en-GB" w:eastAsia="en-GB"/>
              </w:rPr>
              <w:t>ST3</w:t>
            </w:r>
          </w:p>
        </w:tc>
        <w:tc>
          <w:tcPr>
            <w:tcW w:w="1625" w:type="dxa"/>
          </w:tcPr>
          <w:p w14:paraId="20E2FEC3" w14:textId="65B922EB"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Field</w:t>
            </w:r>
          </w:p>
        </w:tc>
        <w:tc>
          <w:tcPr>
            <w:tcW w:w="1341" w:type="dxa"/>
          </w:tcPr>
          <w:p w14:paraId="4B742568" w14:textId="0A7D799A" w:rsidR="00537A56" w:rsidRPr="00AC6698" w:rsidRDefault="00537A56" w:rsidP="00537A56">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lang w:val="en-GB" w:eastAsia="en-GB"/>
              </w:rPr>
            </w:pPr>
            <w:r w:rsidRPr="00AC6698">
              <w:rPr>
                <w:rFonts w:ascii="Calibri" w:eastAsia="Times New Roman" w:hAnsi="Calibri" w:cs="Calibri"/>
                <w:color w:val="000000"/>
                <w:sz w:val="16"/>
                <w:lang w:val="en-GB" w:eastAsia="en-GB"/>
              </w:rPr>
              <w:t>Experimental</w:t>
            </w:r>
          </w:p>
        </w:tc>
      </w:tr>
    </w:tbl>
    <w:p w14:paraId="5ACBED4D" w14:textId="6B306D02" w:rsidR="00AD2ABD" w:rsidRDefault="00AD2ABD">
      <w:pPr>
        <w:spacing w:before="0" w:after="200" w:line="276" w:lineRule="auto"/>
        <w:rPr>
          <w:rFonts w:cs="Times New Roman"/>
          <w:b/>
          <w:szCs w:val="24"/>
          <w:lang w:val="fr-FR"/>
        </w:rPr>
      </w:pPr>
    </w:p>
    <w:p w14:paraId="3BD2E554" w14:textId="39C227DA" w:rsidR="007066F6" w:rsidRDefault="007066F6">
      <w:pPr>
        <w:spacing w:before="0" w:after="200" w:line="276" w:lineRule="auto"/>
        <w:rPr>
          <w:rFonts w:cs="Times New Roman"/>
          <w:b/>
          <w:szCs w:val="24"/>
          <w:lang w:val="fr-FR"/>
        </w:rPr>
      </w:pPr>
      <w:proofErr w:type="spellStart"/>
      <w:r>
        <w:rPr>
          <w:rFonts w:cs="Times New Roman"/>
          <w:b/>
          <w:szCs w:val="24"/>
          <w:lang w:val="fr-FR"/>
        </w:rPr>
        <w:lastRenderedPageBreak/>
        <w:t>Bibliography</w:t>
      </w:r>
      <w:proofErr w:type="spellEnd"/>
      <w:r>
        <w:rPr>
          <w:rFonts w:cs="Times New Roman"/>
          <w:b/>
          <w:szCs w:val="24"/>
          <w:lang w:val="fr-FR"/>
        </w:rPr>
        <w:t xml:space="preserve"> : </w:t>
      </w:r>
      <w:bookmarkStart w:id="0" w:name="_GoBack"/>
      <w:bookmarkEnd w:id="0"/>
    </w:p>
    <w:p w14:paraId="78FAABDC" w14:textId="77777777" w:rsidR="00537A56" w:rsidRDefault="00AD2ABD" w:rsidP="00DD0840">
      <w:pPr>
        <w:pStyle w:val="Bibliographie"/>
        <w:spacing w:before="0" w:after="0"/>
      </w:pPr>
      <w:r>
        <w:rPr>
          <w:b/>
          <w:lang w:val="fr-FR"/>
        </w:rPr>
        <w:fldChar w:fldCharType="begin"/>
      </w:r>
      <w:r w:rsidRPr="00AD2ABD">
        <w:rPr>
          <w:b/>
          <w:lang w:val="en-GB"/>
        </w:rPr>
        <w:instrText xml:space="preserve"> ADDIN ZOTERO_BIBL {"uncited":[],"omitted":[],"custom":[]} CSL_BIBLIOGRAPHY </w:instrText>
      </w:r>
      <w:r>
        <w:rPr>
          <w:b/>
          <w:lang w:val="fr-FR"/>
        </w:rPr>
        <w:fldChar w:fldCharType="separate"/>
      </w:r>
      <w:r w:rsidR="00537A56">
        <w:t xml:space="preserve">Alonso, A. D., and Liu, Y. (2013). Climate Change in the Wine Sector of an Ultra‐Peripheral European Region: A Case Study. </w:t>
      </w:r>
      <w:r w:rsidR="00537A56">
        <w:rPr>
          <w:i/>
          <w:iCs/>
        </w:rPr>
        <w:t>Agroecology and Sustainable Food Systems</w:t>
      </w:r>
      <w:r w:rsidR="00537A56">
        <w:t xml:space="preserve"> 37, 291–315. doi:10.1080/10440046.2012.712089.</w:t>
      </w:r>
    </w:p>
    <w:p w14:paraId="43A01B9F" w14:textId="77777777" w:rsidR="00537A56" w:rsidRDefault="00537A56" w:rsidP="00DD0840">
      <w:pPr>
        <w:pStyle w:val="Bibliographie"/>
        <w:spacing w:before="0" w:after="0"/>
      </w:pPr>
      <w:r>
        <w:t xml:space="preserve">Amendola, C., Montagnoli, A., Terzaghi, M., Trupiano, D., Oliva, F., Baronti, S., et al. (2017). Short-term effects of biochar on grapevine fine root dynamics and arbuscular mycorrhizae production. </w:t>
      </w:r>
      <w:r>
        <w:rPr>
          <w:i/>
          <w:iCs/>
        </w:rPr>
        <w:t>Agriculture, Ecosystems &amp; Environment</w:t>
      </w:r>
      <w:r>
        <w:t xml:space="preserve"> 239, 236–245. doi:10.1016/j.agee.2017.01.025.</w:t>
      </w:r>
    </w:p>
    <w:p w14:paraId="7050709C" w14:textId="77777777" w:rsidR="00537A56" w:rsidRDefault="00537A56" w:rsidP="00DD0840">
      <w:pPr>
        <w:pStyle w:val="Bibliographie"/>
        <w:spacing w:before="0" w:after="0"/>
      </w:pPr>
      <w:r>
        <w:t xml:space="preserve">Aparicio, J., Tenza-Abril, A. J., Borg, M., Galea, J., and Candela, L. (2019). Agricultural irrigation of vine crops from desalinated and brackish groundwater under an economic perspective. A case study in Siġġiewi, Malta. </w:t>
      </w:r>
      <w:r>
        <w:rPr>
          <w:i/>
          <w:iCs/>
        </w:rPr>
        <w:t>Science of The Total Environment</w:t>
      </w:r>
      <w:r>
        <w:t xml:space="preserve"> 650, 734–740. doi:10.1016/j.scitotenv.2018.09.059.</w:t>
      </w:r>
    </w:p>
    <w:p w14:paraId="58FD064F" w14:textId="77777777" w:rsidR="00537A56" w:rsidRDefault="00537A56" w:rsidP="00DD0840">
      <w:pPr>
        <w:pStyle w:val="Bibliographie"/>
        <w:spacing w:before="0" w:after="0"/>
      </w:pPr>
      <w:r>
        <w:t xml:space="preserve">Attia, F., Martinez, L., and Lamaze, T. (2014). Foliar application of processed calcite particles improves leaf photosynthesis of potted &lt;em&gt;Vitis vinifera&lt;/em&gt; L. (var. ‘Cot’) grown under water deficit. </w:t>
      </w:r>
      <w:r>
        <w:rPr>
          <w:i/>
          <w:iCs/>
        </w:rPr>
        <w:t>1</w:t>
      </w:r>
      <w:r>
        <w:t xml:space="preserve"> 48, 237–245. doi:10.20870/oeno-one.2014.48.4.1691.</w:t>
      </w:r>
    </w:p>
    <w:p w14:paraId="7DE7E56E" w14:textId="77777777" w:rsidR="00537A56" w:rsidRDefault="00537A56" w:rsidP="00DD0840">
      <w:pPr>
        <w:pStyle w:val="Bibliographie"/>
        <w:spacing w:before="0" w:after="0"/>
      </w:pPr>
      <w:r>
        <w:t xml:space="preserve">Bardsley, D. K., Palazzo, E., and Pütz, M. (2018). Regional path dependence and climate change adaptation: A case study from the McLaren Vale, South Australia. </w:t>
      </w:r>
      <w:r>
        <w:rPr>
          <w:i/>
          <w:iCs/>
        </w:rPr>
        <w:t>Journal of Rural Studies</w:t>
      </w:r>
      <w:r>
        <w:t xml:space="preserve"> 63, 24–33. doi:10.1016/j.jrurstud.2018.08.015.</w:t>
      </w:r>
    </w:p>
    <w:p w14:paraId="445999E8" w14:textId="77777777" w:rsidR="00537A56" w:rsidRDefault="00537A56" w:rsidP="00DD0840">
      <w:pPr>
        <w:pStyle w:val="Bibliographie"/>
        <w:spacing w:before="0" w:after="0"/>
      </w:pPr>
      <w:r>
        <w:t xml:space="preserve">Baronti, S., Vaccari, F. P., Miglietta, F., Calzolari, C., Lugato, E., Orlandini, S., et al. (2014). Impact of biochar application on plant water relations in Vitis vinifera (L.). </w:t>
      </w:r>
      <w:r>
        <w:rPr>
          <w:i/>
          <w:iCs/>
        </w:rPr>
        <w:t>European Journal of Agronomy</w:t>
      </w:r>
      <w:r>
        <w:t xml:space="preserve"> 53, 38–44. doi:10.1016/j.eja.2013.11.003.</w:t>
      </w:r>
    </w:p>
    <w:p w14:paraId="3C723751" w14:textId="77777777" w:rsidR="00537A56" w:rsidRDefault="00537A56" w:rsidP="00DD0840">
      <w:pPr>
        <w:pStyle w:val="Bibliographie"/>
        <w:spacing w:before="0" w:after="0"/>
      </w:pPr>
      <w:r>
        <w:t xml:space="preserve">Battaglini, A., Barbeau, G., Bindi, M., and Badeck, F.-W. (2009). European winegrowers’ perceptions of climate change impact and options for adaptation. </w:t>
      </w:r>
      <w:r>
        <w:rPr>
          <w:i/>
          <w:iCs/>
        </w:rPr>
        <w:t>Regional Environmental Change</w:t>
      </w:r>
      <w:r>
        <w:t xml:space="preserve"> 9, 61–73. doi:10.1007/s10113-008-0053-9.</w:t>
      </w:r>
    </w:p>
    <w:p w14:paraId="04C0F6B2" w14:textId="77777777" w:rsidR="00537A56" w:rsidRPr="00537A56" w:rsidRDefault="00537A56" w:rsidP="00DD0840">
      <w:pPr>
        <w:pStyle w:val="Bibliographie"/>
        <w:spacing w:before="0" w:after="0"/>
        <w:rPr>
          <w:lang w:val="fr-FR"/>
        </w:rPr>
      </w:pPr>
      <w:r>
        <w:t xml:space="preserve">Belliveau, S., Smit, B., and Bradshaw, B. (2006). Multiple exposures and dynamic vulnerability: Evidence from the grape industry in the Okanagan Valley, Canada. </w:t>
      </w:r>
      <w:r w:rsidRPr="00537A56">
        <w:rPr>
          <w:i/>
          <w:iCs/>
          <w:lang w:val="fr-FR"/>
        </w:rPr>
        <w:t>Global Environmental Change</w:t>
      </w:r>
      <w:r w:rsidRPr="00537A56">
        <w:rPr>
          <w:lang w:val="fr-FR"/>
        </w:rPr>
        <w:t xml:space="preserve"> 16, 364–378. doi:10.1016/j.gloenvcha.2006.03.003.</w:t>
      </w:r>
    </w:p>
    <w:p w14:paraId="79C4BD16" w14:textId="77777777" w:rsidR="00537A56" w:rsidRDefault="00537A56" w:rsidP="00DD0840">
      <w:pPr>
        <w:pStyle w:val="Bibliographie"/>
        <w:spacing w:before="0" w:after="0"/>
      </w:pPr>
      <w:r w:rsidRPr="00537A56">
        <w:rPr>
          <w:lang w:val="fr-FR"/>
        </w:rPr>
        <w:t xml:space="preserve">Berdeja, M., Nicolas, P., Kappel, C., Dai, Z. W., Hilbert, G., Peccoux, A., et al. </w:t>
      </w:r>
      <w:r>
        <w:t xml:space="preserve">(2015). Water limitation and rootstock genotype interact to alter grape berry metabolism through transcriptome reprogramming. </w:t>
      </w:r>
      <w:r>
        <w:rPr>
          <w:i/>
          <w:iCs/>
        </w:rPr>
        <w:t>Hortic Res</w:t>
      </w:r>
      <w:r>
        <w:t xml:space="preserve"> 2, 15012. doi:10.1038/hortres.2015.12.</w:t>
      </w:r>
    </w:p>
    <w:p w14:paraId="0B96FE90" w14:textId="77777777" w:rsidR="00537A56" w:rsidRDefault="00537A56" w:rsidP="00DD0840">
      <w:pPr>
        <w:pStyle w:val="Bibliographie"/>
        <w:spacing w:before="0" w:after="0"/>
      </w:pPr>
      <w:r>
        <w:t xml:space="preserve">Bernardo, S., Dinis, L.-T., Machado, N., and Moutinho-Pereira, J. (2018). Grapevine abiotic stress assessment and search for sustainable adaptation strategies in Mediterranean-like climates. A review. </w:t>
      </w:r>
      <w:r>
        <w:rPr>
          <w:i/>
          <w:iCs/>
        </w:rPr>
        <w:t>Agronomy for Sustainable Development</w:t>
      </w:r>
      <w:r>
        <w:t xml:space="preserve"> 38. doi:10.1007/s13593-018-0544-0.</w:t>
      </w:r>
    </w:p>
    <w:p w14:paraId="3AB0A0AC" w14:textId="77777777" w:rsidR="00537A56" w:rsidRDefault="00537A56" w:rsidP="00DD0840">
      <w:pPr>
        <w:pStyle w:val="Bibliographie"/>
        <w:spacing w:before="0" w:after="0"/>
      </w:pPr>
      <w:r>
        <w:t xml:space="preserve">Bigard, A., Berhe, D. T., Maoddi, E., Sire, Y., Boursiquot, J.-M., Ojeda, H., et al. (2018). Vitis vinifera L. Fruit Diversity to Breed Varieties Anticipating Climate Changes. </w:t>
      </w:r>
      <w:r>
        <w:rPr>
          <w:i/>
          <w:iCs/>
        </w:rPr>
        <w:t>Front. Plant Sci.</w:t>
      </w:r>
      <w:r>
        <w:t xml:space="preserve"> 9, 455. doi:10.3389/fpls.2018.00455.</w:t>
      </w:r>
    </w:p>
    <w:p w14:paraId="2510AF77" w14:textId="77777777" w:rsidR="00537A56" w:rsidRPr="00537A56" w:rsidRDefault="00537A56" w:rsidP="00DD0840">
      <w:pPr>
        <w:pStyle w:val="Bibliographie"/>
        <w:spacing w:before="0" w:after="0"/>
        <w:rPr>
          <w:lang w:val="fr-FR"/>
        </w:rPr>
      </w:pPr>
      <w:r>
        <w:t xml:space="preserve">Bonada, M., Buesa, I., Moran, M. A., and Sadras, V. O. (2018). Interactive effects of warming and water deficit on Shiraz vine transpiration in the Barossa Valley, Australia. </w:t>
      </w:r>
      <w:r w:rsidRPr="00537A56">
        <w:rPr>
          <w:i/>
          <w:iCs/>
          <w:lang w:val="fr-FR"/>
        </w:rPr>
        <w:t>OENE One</w:t>
      </w:r>
      <w:r w:rsidRPr="00537A56">
        <w:rPr>
          <w:lang w:val="fr-FR"/>
        </w:rPr>
        <w:t xml:space="preserve"> 52. doi:10.20870/oeno-one.2018.52.2.2141.</w:t>
      </w:r>
    </w:p>
    <w:p w14:paraId="0C283EED" w14:textId="77777777" w:rsidR="00537A56" w:rsidRDefault="00537A56" w:rsidP="00DD0840">
      <w:pPr>
        <w:pStyle w:val="Bibliographie"/>
        <w:spacing w:before="0" w:after="0"/>
      </w:pPr>
      <w:r w:rsidRPr="00537A56">
        <w:rPr>
          <w:lang w:val="fr-FR"/>
        </w:rPr>
        <w:t xml:space="preserve">Buesa, I., Caccavello, G., Basile, B., Merli, M. C., Poni, S., Chirivella, C., et al. </w:t>
      </w:r>
      <w:r>
        <w:t xml:space="preserve">(2019). Delaying berry ripening of Bobal and Tempranillo grapevines by late leaf removal in a semi-arid and temperate-warm climate under different water regimes: Late leaf removal effects in Bobal and Tempranillo. </w:t>
      </w:r>
      <w:r>
        <w:rPr>
          <w:i/>
          <w:iCs/>
        </w:rPr>
        <w:t>Australian Journal of Grape and Wine Research</w:t>
      </w:r>
      <w:r>
        <w:t xml:space="preserve"> 25, 70–82. doi:10.1111/ajgw.12368.</w:t>
      </w:r>
    </w:p>
    <w:p w14:paraId="7F02C3A4" w14:textId="77777777" w:rsidR="00537A56" w:rsidRDefault="00537A56" w:rsidP="00DD0840">
      <w:pPr>
        <w:pStyle w:val="Bibliographie"/>
        <w:spacing w:before="0" w:after="0"/>
      </w:pPr>
      <w:r>
        <w:lastRenderedPageBreak/>
        <w:t xml:space="preserve">Caravia, L., Collins, C., Petrie, P. R., and Tyerman, S. D. (2016). Application of shade treatments during Shiraz berry ripening to reduce the impact of high temperature: Shade reduces impact of high temperature on Shiraz. </w:t>
      </w:r>
      <w:r>
        <w:rPr>
          <w:i/>
          <w:iCs/>
        </w:rPr>
        <w:t>Australian Journal of Grape and Wine Research</w:t>
      </w:r>
      <w:r>
        <w:t xml:space="preserve"> 22, 422–437. doi:10.1111/ajgw.12248.</w:t>
      </w:r>
    </w:p>
    <w:p w14:paraId="2818579A" w14:textId="77777777" w:rsidR="00537A56" w:rsidRDefault="00537A56" w:rsidP="00DD0840">
      <w:pPr>
        <w:pStyle w:val="Bibliographie"/>
        <w:spacing w:before="0" w:after="0"/>
      </w:pPr>
      <w:r>
        <w:t xml:space="preserve">Caravia, L., Pagay, V., Collins, C., and Tyerman, S. D. (2017). Application of sprinkler cooling within the bunch zone during ripening of Cabernet Sauvignon berries to reduce the impact of high temperature: Sprinkler cooling of Cabernet Sauvignon. </w:t>
      </w:r>
      <w:r>
        <w:rPr>
          <w:i/>
          <w:iCs/>
        </w:rPr>
        <w:t>Australian Journal of Grape and Wine Research</w:t>
      </w:r>
      <w:r>
        <w:t xml:space="preserve"> 23, 48–57. doi:10.1111/ajgw.12255.</w:t>
      </w:r>
    </w:p>
    <w:p w14:paraId="48E56D83" w14:textId="77777777" w:rsidR="00537A56" w:rsidRDefault="00537A56" w:rsidP="00DD0840">
      <w:pPr>
        <w:pStyle w:val="Bibliographie"/>
        <w:spacing w:before="0" w:after="0"/>
      </w:pPr>
      <w:r>
        <w:t xml:space="preserve">Carvalho, L. C., Coito, J. L., Gonçalves, E. F., Lopes, C., and Amâncio, S. (2018). Physiological and agronomical responses to environmental fluctuations of two Portuguese grapevine varieties during three field seasons. </w:t>
      </w:r>
      <w:r>
        <w:rPr>
          <w:i/>
          <w:iCs/>
        </w:rPr>
        <w:t>Ciência Téc. Vitiv.</w:t>
      </w:r>
      <w:r>
        <w:t xml:space="preserve"> 33, 1–14. doi:10.1051/ctv/20183301001.</w:t>
      </w:r>
    </w:p>
    <w:p w14:paraId="24A707C5" w14:textId="77777777" w:rsidR="00537A56" w:rsidRDefault="00537A56" w:rsidP="00DD0840">
      <w:pPr>
        <w:pStyle w:val="Bibliographie"/>
        <w:spacing w:before="0" w:after="0"/>
      </w:pPr>
      <w:r>
        <w:t xml:space="preserve">Carvalho, L. C., Silva, M., Coito, J. L., Rocheta, M. P., and Amâncio, S. (2017). Design of a Custom RT-qPCR Array for Assignment of Abiotic Stress Tolerance in Traditional Portuguese Grapevine Varieties. </w:t>
      </w:r>
      <w:r>
        <w:rPr>
          <w:i/>
          <w:iCs/>
        </w:rPr>
        <w:t>Front. Plant Sci.</w:t>
      </w:r>
      <w:r>
        <w:t xml:space="preserve"> 8. doi:10.3389/fpls.2017.01835.</w:t>
      </w:r>
    </w:p>
    <w:p w14:paraId="36E1C77D" w14:textId="77777777" w:rsidR="00537A56" w:rsidRPr="00537A56" w:rsidRDefault="00537A56" w:rsidP="00DD0840">
      <w:pPr>
        <w:pStyle w:val="Bibliographie"/>
        <w:spacing w:before="0" w:after="0"/>
        <w:rPr>
          <w:lang w:val="fr-FR"/>
        </w:rPr>
      </w:pPr>
      <w:r>
        <w:t xml:space="preserve">Carvalho-Santos, C., Nunes, J. P., Monteiro, A. T., Hein, L., and Honrado, J. P. (2016). Assessing the effects of land cover and future climate conditions on the provision of hydrological services in a medium-sized watershed of Portugal: Impacts of Land Cover and Future Climate on Hydrological Services. </w:t>
      </w:r>
      <w:r w:rsidRPr="00537A56">
        <w:rPr>
          <w:i/>
          <w:iCs/>
          <w:lang w:val="fr-FR"/>
        </w:rPr>
        <w:t>Hydrological Processes</w:t>
      </w:r>
      <w:r w:rsidRPr="00537A56">
        <w:rPr>
          <w:lang w:val="fr-FR"/>
        </w:rPr>
        <w:t xml:space="preserve"> 30, 720–738. doi:10.1002/hyp.10621.</w:t>
      </w:r>
    </w:p>
    <w:p w14:paraId="0EAEE5B9" w14:textId="77777777" w:rsidR="00537A56" w:rsidRDefault="00537A56" w:rsidP="00DD0840">
      <w:pPr>
        <w:pStyle w:val="Bibliographie"/>
        <w:spacing w:before="0" w:after="0"/>
      </w:pPr>
      <w:r w:rsidRPr="00537A56">
        <w:rPr>
          <w:lang w:val="fr-FR"/>
        </w:rPr>
        <w:t xml:space="preserve">Chrysargyris, A., Xylia, P., Litskas, V., Mandoulaki, A., Antoniou, D., Boyias, T., et al. </w:t>
      </w:r>
      <w:r>
        <w:t xml:space="preserve">(2018). Drought stress and soil management practices in grapevines in Cyprus under the threat of climate change. </w:t>
      </w:r>
      <w:r>
        <w:rPr>
          <w:i/>
          <w:iCs/>
        </w:rPr>
        <w:t>Journal of Water and Climate Change</w:t>
      </w:r>
      <w:r>
        <w:t>. doi:10.2166/wcc.2018.135.</w:t>
      </w:r>
    </w:p>
    <w:p w14:paraId="66AF9F7B" w14:textId="77777777" w:rsidR="00537A56" w:rsidRDefault="00537A56" w:rsidP="00DD0840">
      <w:pPr>
        <w:pStyle w:val="Bibliographie"/>
        <w:spacing w:before="0" w:after="0"/>
      </w:pPr>
      <w:r>
        <w:t xml:space="preserve">Cirigliano, P., Vincenza Chiriacò, M., CMCC – Fondazione Centro Euro-Mediterraneo sui Cambiamenti Climatici, Nunez, A., Universidad Autonoma de Chihuahua, Dal Monte, G., et al. </w:t>
      </w:r>
      <w:r w:rsidRPr="00537A56">
        <w:rPr>
          <w:lang w:val="fr-FR"/>
        </w:rPr>
        <w:t xml:space="preserve">(2017). Efecto combinado de la aplicación de riego y compost sobre la composición de la baya Montepulciano en un entorno volcánico de la región de Lacio (Italia central). </w:t>
      </w:r>
      <w:r>
        <w:rPr>
          <w:i/>
          <w:iCs/>
        </w:rPr>
        <w:t>Ciencia e investigación agraria</w:t>
      </w:r>
      <w:r>
        <w:t xml:space="preserve"> 44, 195–206. doi:10.7764/rcia.v44i2.1691.</w:t>
      </w:r>
    </w:p>
    <w:p w14:paraId="7A861124" w14:textId="77777777" w:rsidR="00537A56" w:rsidRDefault="00537A56" w:rsidP="00DD0840">
      <w:pPr>
        <w:pStyle w:val="Bibliographie"/>
        <w:spacing w:before="0" w:after="0"/>
      </w:pPr>
      <w:r>
        <w:t xml:space="preserve">Clingeleffer, P. R. (2010). Plant management research: status and what it can offer to address challenges and limitations. </w:t>
      </w:r>
      <w:r>
        <w:rPr>
          <w:i/>
          <w:iCs/>
        </w:rPr>
        <w:t>Australian Journal of Grape and Wine Research</w:t>
      </w:r>
      <w:r>
        <w:t xml:space="preserve"> 16, 25–32. doi:10.1111/j.1755-0238.2009.00075.x.</w:t>
      </w:r>
    </w:p>
    <w:p w14:paraId="044C7BA8" w14:textId="77777777" w:rsidR="00537A56" w:rsidRDefault="00537A56" w:rsidP="00DD0840">
      <w:pPr>
        <w:pStyle w:val="Bibliographie"/>
        <w:spacing w:before="0" w:after="0"/>
      </w:pPr>
      <w:r>
        <w:t xml:space="preserve">Concepción Ramos, M. (2016). Soil losses in rainfed Mediterranean vineyards under climate change scenarios. The effects of drainage terraces. </w:t>
      </w:r>
      <w:r>
        <w:rPr>
          <w:i/>
          <w:iCs/>
        </w:rPr>
        <w:t>AIMS Agriculture and Food</w:t>
      </w:r>
      <w:r>
        <w:t xml:space="preserve"> 1, 124–143. doi:10.3934/agrfood.2016.2.124.</w:t>
      </w:r>
    </w:p>
    <w:p w14:paraId="05308CF7" w14:textId="77777777" w:rsidR="00537A56" w:rsidRDefault="00537A56" w:rsidP="00DD0840">
      <w:pPr>
        <w:pStyle w:val="Bibliographie"/>
        <w:spacing w:before="0" w:after="0"/>
      </w:pPr>
      <w:r>
        <w:t xml:space="preserve">Corso, M., Vannozzi, A., Maza, E., Vitulo, N., Meggio, F., Pitacco, A., et al. (2015). Comprehensive transcript profiling of two grapevine rootstock genotypes contrasting in drought susceptibility links the phenylpropanoid pathway to enhanced tolerance. </w:t>
      </w:r>
      <w:r>
        <w:rPr>
          <w:i/>
          <w:iCs/>
        </w:rPr>
        <w:t>EXBOTJ</w:t>
      </w:r>
      <w:r>
        <w:t xml:space="preserve"> 66, 5739–5752. doi:10.1093/jxb/erv274.</w:t>
      </w:r>
    </w:p>
    <w:p w14:paraId="329C844C" w14:textId="77777777" w:rsidR="00537A56" w:rsidRDefault="00537A56" w:rsidP="00DD0840">
      <w:pPr>
        <w:pStyle w:val="Bibliographie"/>
        <w:spacing w:before="0" w:after="0"/>
      </w:pPr>
      <w:r>
        <w:t xml:space="preserve">Costa, J. M., Vaz, M., Escalona, J., Egipto, R., Lopes, C., Medrano, H., et al. (2016). Modern viticulture in southern Europe: Vulnerabilities and strategies for adaptation to water scarcity. </w:t>
      </w:r>
      <w:r>
        <w:rPr>
          <w:i/>
          <w:iCs/>
        </w:rPr>
        <w:t>Agricultural Water Management</w:t>
      </w:r>
      <w:r>
        <w:t xml:space="preserve"> 164, 5–18. doi:10.1016/j.agwat.2015.08.021.</w:t>
      </w:r>
    </w:p>
    <w:p w14:paraId="398C23AA" w14:textId="77777777" w:rsidR="00537A56" w:rsidRDefault="00537A56" w:rsidP="00DD0840">
      <w:pPr>
        <w:pStyle w:val="Bibliographie"/>
        <w:spacing w:before="0" w:after="0"/>
      </w:pPr>
      <w:r>
        <w:t xml:space="preserve">Dal Santo, S., Palliotti, A., Zenoni, S., Tornielli, G. B., Fasoli, M., Paci, P., et al. (2016). Distinct transcriptome responses to water limitation in isohydric and anisohydric grapevine cultivars. </w:t>
      </w:r>
      <w:r>
        <w:rPr>
          <w:i/>
          <w:iCs/>
        </w:rPr>
        <w:t>BMC Genomics</w:t>
      </w:r>
      <w:r>
        <w:t xml:space="preserve"> 17, 815. doi:10.1186/s12864-016-3136-x.</w:t>
      </w:r>
    </w:p>
    <w:p w14:paraId="5040F23F" w14:textId="77777777" w:rsidR="00537A56" w:rsidRPr="00537A56" w:rsidRDefault="00537A56" w:rsidP="00DD0840">
      <w:pPr>
        <w:pStyle w:val="Bibliographie"/>
        <w:spacing w:before="0" w:after="0"/>
        <w:rPr>
          <w:lang w:val="fr-FR"/>
        </w:rPr>
      </w:pPr>
      <w:r>
        <w:lastRenderedPageBreak/>
        <w:t xml:space="preserve">de C. Teixeira, A. H., Tonietto, J., Pereira, G. E., Hernandez, F. B. T., Angelotti, F., and Lopes, H. L. (2014). AGRO-CLIMATIC SUITABILITY DELIMITATION FOR TABLE AND WINE GRAPE CROPS UNDER IRRIGATION CONDITIONS IN NORTHEASTERN BRAZIL. </w:t>
      </w:r>
      <w:r w:rsidRPr="00537A56">
        <w:rPr>
          <w:i/>
          <w:iCs/>
          <w:lang w:val="fr-FR"/>
        </w:rPr>
        <w:t>Acta Hortic.</w:t>
      </w:r>
      <w:r w:rsidRPr="00537A56">
        <w:rPr>
          <w:lang w:val="fr-FR"/>
        </w:rPr>
        <w:t>, 277–286. doi:10.17660/ActaHortic.2014.1038.33.</w:t>
      </w:r>
    </w:p>
    <w:p w14:paraId="669A2B48" w14:textId="77777777" w:rsidR="00537A56" w:rsidRDefault="00537A56" w:rsidP="00DD0840">
      <w:pPr>
        <w:pStyle w:val="Bibliographie"/>
        <w:spacing w:before="0" w:after="0"/>
      </w:pPr>
      <w:r w:rsidRPr="00537A56">
        <w:rPr>
          <w:lang w:val="fr-FR"/>
        </w:rPr>
        <w:t xml:space="preserve">De Micco, V., Zalloni, E., Battipaglia, G., Erbaggio, A., Scognamiglio, P., Caputo, R., et al. </w:t>
      </w:r>
      <w:r>
        <w:t xml:space="preserve">(2018). Rootstock effect on tree-ring traits in grapevine under a climate change scenario. </w:t>
      </w:r>
      <w:r>
        <w:rPr>
          <w:i/>
          <w:iCs/>
        </w:rPr>
        <w:t>IAWA Journal</w:t>
      </w:r>
      <w:r>
        <w:t xml:space="preserve"> 39, 145–155. doi:10.1163/22941932-20170199.</w:t>
      </w:r>
    </w:p>
    <w:p w14:paraId="437B658A" w14:textId="77777777" w:rsidR="00537A56" w:rsidRDefault="00537A56" w:rsidP="00DD0840">
      <w:pPr>
        <w:pStyle w:val="Bibliographie"/>
        <w:spacing w:before="0" w:after="0"/>
      </w:pPr>
      <w:r>
        <w:t xml:space="preserve">Delay, E., Piou, C., and Quenol, H. (2015). The mountain environment, a driver for adaptation to climate change. </w:t>
      </w:r>
      <w:r>
        <w:rPr>
          <w:i/>
          <w:iCs/>
        </w:rPr>
        <w:t>Land Use Policy</w:t>
      </w:r>
      <w:r>
        <w:t xml:space="preserve"> 48, 51–62. doi:10.1016/j.landusepol.2015.05.008.</w:t>
      </w:r>
    </w:p>
    <w:p w14:paraId="6FF326B0" w14:textId="77777777" w:rsidR="00537A56" w:rsidRDefault="00537A56" w:rsidP="00DD0840">
      <w:pPr>
        <w:pStyle w:val="Bibliographie"/>
        <w:spacing w:before="0" w:after="0"/>
      </w:pPr>
      <w:r>
        <w:t xml:space="preserve">Dequin, S., Escudier, J.-L., Bely, M., Noble, J., Albertin, W., Masneuf-Pomarède, I., et al. (2017). How to adapt winemaking practices to modified grape composition under climate change conditions. </w:t>
      </w:r>
      <w:r>
        <w:rPr>
          <w:i/>
          <w:iCs/>
        </w:rPr>
        <w:t>1</w:t>
      </w:r>
      <w:r>
        <w:t xml:space="preserve"> 51, 205–214. doi:10.20870/oeno-one.2017.51.2.1584.</w:t>
      </w:r>
    </w:p>
    <w:p w14:paraId="5E2019AF" w14:textId="77777777" w:rsidR="00537A56" w:rsidRDefault="00537A56" w:rsidP="00DD0840">
      <w:pPr>
        <w:pStyle w:val="Bibliographie"/>
        <w:spacing w:before="0" w:after="0"/>
      </w:pPr>
      <w:r>
        <w:t xml:space="preserve">Diffenbaugh, N. S., White, M. A., Jones, G. V., and Ashfaq, M. (2011). Climate adaptation wedges: a case study of premium wine in the western United States. </w:t>
      </w:r>
      <w:r>
        <w:rPr>
          <w:i/>
          <w:iCs/>
        </w:rPr>
        <w:t>Environ. Res. Lett.</w:t>
      </w:r>
      <w:r>
        <w:t xml:space="preserve"> 6, 024024. doi:10.1088/1748-9326/6/2/024024.</w:t>
      </w:r>
    </w:p>
    <w:p w14:paraId="10863036" w14:textId="77777777" w:rsidR="00537A56" w:rsidRDefault="00537A56" w:rsidP="00DD0840">
      <w:pPr>
        <w:pStyle w:val="Bibliographie"/>
        <w:spacing w:before="0" w:after="0"/>
      </w:pPr>
      <w:r>
        <w:t xml:space="preserve">Dinis, L.-T., Bernardo, S., Luzio, A., Pinto, G., Meijón, M., Pintó-Marijuan, M., et al. (2018a). Kaolin modulates ABA and IAA dynamics and physiology of grapevine under Mediterranean summer stress. </w:t>
      </w:r>
      <w:r>
        <w:rPr>
          <w:i/>
          <w:iCs/>
        </w:rPr>
        <w:t>Journal of Plant Physiology</w:t>
      </w:r>
      <w:r>
        <w:t xml:space="preserve"> 220, 181–192. doi:10.1016/j.jplph.2017.11.007.</w:t>
      </w:r>
    </w:p>
    <w:p w14:paraId="06F42EBC" w14:textId="77777777" w:rsidR="00537A56" w:rsidRPr="00537A56" w:rsidRDefault="00537A56" w:rsidP="00DD0840">
      <w:pPr>
        <w:pStyle w:val="Bibliographie"/>
        <w:spacing w:before="0" w:after="0"/>
        <w:rPr>
          <w:lang w:val="fr-FR"/>
        </w:rPr>
      </w:pPr>
      <w:r>
        <w:t xml:space="preserve">Dinis, L.-T., Malheiro, A. C., Luzio, A., Fraga, H., Ferreira, H., Gonçalves, I., et al. (2018b). Improvement of grapevine physiology and yield under summer stress by kaolin-foliar application: water relations, photosynthesis and oxidative damage. </w:t>
      </w:r>
      <w:r w:rsidRPr="00537A56">
        <w:rPr>
          <w:i/>
          <w:iCs/>
          <w:lang w:val="fr-FR"/>
        </w:rPr>
        <w:t>Photosynthetica</w:t>
      </w:r>
      <w:r w:rsidRPr="00537A56">
        <w:rPr>
          <w:lang w:val="fr-FR"/>
        </w:rPr>
        <w:t xml:space="preserve"> 56, 641–651. doi:10.1007/s11099-017-0714-3.</w:t>
      </w:r>
    </w:p>
    <w:p w14:paraId="60B18EBA" w14:textId="77777777" w:rsidR="00537A56" w:rsidRDefault="00537A56" w:rsidP="00DD0840">
      <w:pPr>
        <w:pStyle w:val="Bibliographie"/>
        <w:spacing w:before="0" w:after="0"/>
      </w:pPr>
      <w:r w:rsidRPr="00537A56">
        <w:rPr>
          <w:lang w:val="fr-FR"/>
        </w:rPr>
        <w:t xml:space="preserve">dos Santos, T. P., Lopes, C. M., Lucília Rodrigues, M., de Souza, C. R., Ricardo-da-Silva, J. M., Maroco, J. P., et al. </w:t>
      </w:r>
      <w:r>
        <w:t xml:space="preserve">(2007). Effects of deficit irrigation strategies on cluster microclimate for improving fruit composition of Moscatel field-grown grapevines. </w:t>
      </w:r>
      <w:r>
        <w:rPr>
          <w:i/>
          <w:iCs/>
        </w:rPr>
        <w:t>Scientia Horticulturae</w:t>
      </w:r>
      <w:r>
        <w:t xml:space="preserve"> 112, 321–330. doi:10.1016/j.scienta.2007.01.006.</w:t>
      </w:r>
    </w:p>
    <w:p w14:paraId="16BD6AC3" w14:textId="77777777" w:rsidR="00537A56" w:rsidRDefault="00537A56" w:rsidP="00DD0840">
      <w:pPr>
        <w:pStyle w:val="Bibliographie"/>
        <w:spacing w:before="0" w:after="0"/>
      </w:pPr>
      <w:r>
        <w:t xml:space="preserve">Duchene, E. (2016). How can grapevine genetics contribute to the adaptation to climate change? </w:t>
      </w:r>
      <w:r>
        <w:rPr>
          <w:i/>
          <w:iCs/>
        </w:rPr>
        <w:t>OENO One</w:t>
      </w:r>
      <w:r>
        <w:t xml:space="preserve"> 50. doi:10.20870/oeno-one.2016.50.3.98.</w:t>
      </w:r>
    </w:p>
    <w:p w14:paraId="7BB5719C" w14:textId="77777777" w:rsidR="00537A56" w:rsidRDefault="00537A56" w:rsidP="00DD0840">
      <w:pPr>
        <w:pStyle w:val="Bibliographie"/>
        <w:spacing w:before="0" w:after="0"/>
      </w:pPr>
      <w:r>
        <w:t xml:space="preserve">Duchene, E., Butterlin, G., Dumas, V., and Merdinoglu, D. (2012). Towards the adaptation of grapevine varieties to climate change: QTLs and candidate genes for developmental stages. </w:t>
      </w:r>
      <w:r>
        <w:rPr>
          <w:i/>
          <w:iCs/>
        </w:rPr>
        <w:t>Theor. Appl. Genet.</w:t>
      </w:r>
      <w:r>
        <w:t xml:space="preserve"> 124, 623–635. doi:10.1007/s00122-011-1734-1.</w:t>
      </w:r>
    </w:p>
    <w:p w14:paraId="7AD46567" w14:textId="77777777" w:rsidR="00537A56" w:rsidRDefault="00537A56" w:rsidP="00DD0840">
      <w:pPr>
        <w:pStyle w:val="Bibliographie"/>
        <w:spacing w:before="0" w:after="0"/>
      </w:pPr>
      <w:r>
        <w:t xml:space="preserve">Fahey, D. J., and Rogiers, S. Y. (2019). Di-1-p-menthene reduces grape leaf and bunch transpiration. </w:t>
      </w:r>
      <w:r>
        <w:rPr>
          <w:i/>
          <w:iCs/>
        </w:rPr>
        <w:t>Australian Journal of Grape and Wine Research</w:t>
      </w:r>
      <w:r>
        <w:t xml:space="preserve"> 25, 134–141. doi:10.1111/ajgw.12371.</w:t>
      </w:r>
    </w:p>
    <w:p w14:paraId="41432AD0" w14:textId="77777777" w:rsidR="00537A56" w:rsidRDefault="00537A56" w:rsidP="00DD0840">
      <w:pPr>
        <w:pStyle w:val="Bibliographie"/>
        <w:spacing w:before="0" w:after="0"/>
      </w:pPr>
      <w:r>
        <w:t xml:space="preserve">Fleming, A., Rickards, L., and Dowd, A.-M. (2015). Understanding convergence and divergence in the framing of climate change responses: An analysis of two wine companies. </w:t>
      </w:r>
      <w:r>
        <w:rPr>
          <w:i/>
          <w:iCs/>
        </w:rPr>
        <w:t>Environmental Science &amp; Policy</w:t>
      </w:r>
      <w:r>
        <w:t xml:space="preserve"> 51, 202–214. doi:10.1016/j.envsci.2015.04.003.</w:t>
      </w:r>
    </w:p>
    <w:p w14:paraId="48CE33EC" w14:textId="77777777" w:rsidR="00537A56" w:rsidRDefault="00537A56" w:rsidP="00DD0840">
      <w:pPr>
        <w:pStyle w:val="Bibliographie"/>
        <w:spacing w:before="0" w:after="0"/>
      </w:pPr>
      <w:r>
        <w:t>Flexas, J., Galmã</w:t>
      </w:r>
      <w:r>
        <w:rPr>
          <w:rFonts w:cs="Times New Roman"/>
        </w:rPr>
        <w:t></w:t>
      </w:r>
      <w:r>
        <w:t>S, J., Gall</w:t>
      </w:r>
      <w:r>
        <w:rPr>
          <w:rFonts w:cs="Times New Roman"/>
        </w:rPr>
        <w:t>ã</w:t>
      </w:r>
      <w:r>
        <w:t>, A., Gul</w:t>
      </w:r>
      <w:r>
        <w:rPr>
          <w:rFonts w:cs="Times New Roman"/>
        </w:rPr>
        <w:t>ã</w:t>
      </w:r>
      <w:r>
        <w:t xml:space="preserve">As, J., Pou, A., Ribas-Carbo, M., et al. (2010). Improving water use efficiency in grapevines: potential physiological targets for biotechnological improvement. </w:t>
      </w:r>
      <w:r>
        <w:rPr>
          <w:i/>
          <w:iCs/>
        </w:rPr>
        <w:t>Australian Journal of Grape and Wine Research</w:t>
      </w:r>
      <w:r>
        <w:t xml:space="preserve"> 16, 106–121. doi:10.1111/j.1755-0238.2009.00057.x.</w:t>
      </w:r>
    </w:p>
    <w:p w14:paraId="29AAADB7" w14:textId="77777777" w:rsidR="00537A56" w:rsidRPr="00537A56" w:rsidRDefault="00537A56" w:rsidP="00DD0840">
      <w:pPr>
        <w:pStyle w:val="Bibliographie"/>
        <w:spacing w:before="0" w:after="0"/>
        <w:rPr>
          <w:lang w:val="fr-FR"/>
        </w:rPr>
      </w:pPr>
      <w:r w:rsidRPr="00537A56">
        <w:rPr>
          <w:lang w:val="fr-FR"/>
        </w:rPr>
        <w:t xml:space="preserve">Fraga, H., García de Cortázar Atauri, I., and Santos, J. A. (2018a). Viticultural irrigation demands under climate change scenarios in Portugal. </w:t>
      </w:r>
      <w:r w:rsidRPr="00537A56">
        <w:rPr>
          <w:i/>
          <w:iCs/>
          <w:lang w:val="fr-FR"/>
        </w:rPr>
        <w:t>Agricultural Water Management</w:t>
      </w:r>
      <w:r w:rsidRPr="00537A56">
        <w:rPr>
          <w:lang w:val="fr-FR"/>
        </w:rPr>
        <w:t xml:space="preserve"> 196, 66–74. doi:10.1016/j.agwat.2017.10.023.</w:t>
      </w:r>
    </w:p>
    <w:p w14:paraId="13D71C2D" w14:textId="77777777" w:rsidR="00537A56" w:rsidRDefault="00537A56" w:rsidP="00DD0840">
      <w:pPr>
        <w:pStyle w:val="Bibliographie"/>
        <w:spacing w:before="0" w:after="0"/>
      </w:pPr>
      <w:r w:rsidRPr="00537A56">
        <w:rPr>
          <w:lang w:val="fr-FR"/>
        </w:rPr>
        <w:lastRenderedPageBreak/>
        <w:t xml:space="preserve">Fraga, H., Pinto, J. G., and Santos, J. A. (2018b). </w:t>
      </w:r>
      <w:r>
        <w:t xml:space="preserve">Climate change projections for chilling and heat forcing conditions in European vineyards and olive orchards: a multi-model assessment. </w:t>
      </w:r>
      <w:r>
        <w:rPr>
          <w:i/>
          <w:iCs/>
        </w:rPr>
        <w:t>Climatic Change</w:t>
      </w:r>
      <w:r>
        <w:t>. doi:10.1007/s10584-018-2337-5.</w:t>
      </w:r>
    </w:p>
    <w:p w14:paraId="3E60A3E5" w14:textId="77777777" w:rsidR="00537A56" w:rsidRDefault="00537A56" w:rsidP="00DD0840">
      <w:pPr>
        <w:pStyle w:val="Bibliographie"/>
        <w:spacing w:before="0" w:after="0"/>
      </w:pPr>
      <w:r>
        <w:t xml:space="preserve">Fraga, H., and Santos, J. A. (2018). Vineyard mulching as a climate change adaptation measure: Future simulations for Alentejo, Portugal. </w:t>
      </w:r>
      <w:r>
        <w:rPr>
          <w:i/>
          <w:iCs/>
        </w:rPr>
        <w:t>Agricultural Systems</w:t>
      </w:r>
      <w:r>
        <w:t xml:space="preserve"> 164, 107–115. doi:10.1016/j.agsy.2018.04.006.</w:t>
      </w:r>
    </w:p>
    <w:p w14:paraId="1C7C4EDA" w14:textId="77777777" w:rsidR="00537A56" w:rsidRDefault="00537A56" w:rsidP="00DD0840">
      <w:pPr>
        <w:pStyle w:val="Bibliographie"/>
        <w:spacing w:before="0" w:after="0"/>
      </w:pPr>
      <w:r>
        <w:t xml:space="preserve">Franques, J., Araque, I., El Khoury, M., Lucas, P. M., Reguant, C., and Bordons, A. (2018). Selection and characterization of autochthonous strains of Oenococcus oeni for vinification in Priorat (Catalonia, Spain). </w:t>
      </w:r>
      <w:r>
        <w:rPr>
          <w:i/>
          <w:iCs/>
        </w:rPr>
        <w:t>OENE One</w:t>
      </w:r>
      <w:r>
        <w:t xml:space="preserve"> 52, 45–56. doi:10.20870/oeno-one.2018.52.1.1908.</w:t>
      </w:r>
    </w:p>
    <w:p w14:paraId="67E9BFAF" w14:textId="77777777" w:rsidR="00537A56" w:rsidRDefault="00537A56" w:rsidP="00DD0840">
      <w:pPr>
        <w:pStyle w:val="Bibliographie"/>
        <w:spacing w:before="0" w:after="0"/>
      </w:pPr>
      <w:r>
        <w:t xml:space="preserve">Fuhrer, J., Smith, P., and Gobiet, A. (2014). Implications of climate change scenarios for agriculture in alpine regions — A case study in the Swiss Rhone catchment. </w:t>
      </w:r>
      <w:r>
        <w:rPr>
          <w:i/>
          <w:iCs/>
        </w:rPr>
        <w:t>Science of The Total Environment</w:t>
      </w:r>
      <w:r>
        <w:t xml:space="preserve"> 493, 1232–1241. doi:10.1016/j.scitotenv.2013.06.038.</w:t>
      </w:r>
    </w:p>
    <w:p w14:paraId="0D6B8926" w14:textId="77777777" w:rsidR="00537A56" w:rsidRDefault="00537A56" w:rsidP="00DD0840">
      <w:pPr>
        <w:pStyle w:val="Bibliographie"/>
        <w:spacing w:before="0" w:after="0"/>
      </w:pPr>
      <w:r>
        <w:t xml:space="preserve">Galbreath, J. (2011). To What Extent is Business Responding to Climate Change? Evidence from a Global Wine Producer. </w:t>
      </w:r>
      <w:r>
        <w:rPr>
          <w:i/>
          <w:iCs/>
        </w:rPr>
        <w:t>J Bus Ethics</w:t>
      </w:r>
      <w:r>
        <w:t xml:space="preserve"> 104, 421–432. doi:10.1007/s10551-011-0919-5.</w:t>
      </w:r>
    </w:p>
    <w:p w14:paraId="717931D8" w14:textId="77777777" w:rsidR="00537A56" w:rsidRDefault="00537A56" w:rsidP="00DD0840">
      <w:pPr>
        <w:pStyle w:val="Bibliographie"/>
        <w:spacing w:before="0" w:after="0"/>
      </w:pPr>
      <w:r>
        <w:t xml:space="preserve">Galbreath, J. (2014). Climate Change Response: Evidence from the Margaret River Wine Region of Australia. </w:t>
      </w:r>
      <w:r>
        <w:rPr>
          <w:i/>
          <w:iCs/>
        </w:rPr>
        <w:t>Business Strategy and the Environment</w:t>
      </w:r>
      <w:r>
        <w:t xml:space="preserve"> 23, 89–104. doi:10.1002/bse.1762.</w:t>
      </w:r>
    </w:p>
    <w:p w14:paraId="517A30C4" w14:textId="77777777" w:rsidR="00537A56" w:rsidRDefault="00537A56" w:rsidP="00DD0840">
      <w:pPr>
        <w:pStyle w:val="Bibliographie"/>
        <w:spacing w:before="0" w:after="0"/>
      </w:pPr>
      <w:r>
        <w:t xml:space="preserve">Galbreath, J., Charles, D., and Oczkowski, E. (2016). The Drivers of Climate Change Innovations: Evidence from the Australian Wine Industry. </w:t>
      </w:r>
      <w:r>
        <w:rPr>
          <w:i/>
          <w:iCs/>
        </w:rPr>
        <w:t>J Bus Ethics</w:t>
      </w:r>
      <w:r>
        <w:t xml:space="preserve"> 135, 217–231. doi:10.1007/s10551-014-2461-8.</w:t>
      </w:r>
    </w:p>
    <w:p w14:paraId="57ADAE70" w14:textId="77777777" w:rsidR="00537A56" w:rsidRPr="00537A56" w:rsidRDefault="00537A56" w:rsidP="00DD0840">
      <w:pPr>
        <w:pStyle w:val="Bibliographie"/>
        <w:spacing w:before="0" w:after="0"/>
        <w:rPr>
          <w:lang w:val="fr-FR"/>
        </w:rPr>
      </w:pPr>
      <w:r>
        <w:t xml:space="preserve">Genesio, L., Miglietta, F., Baronti, S., and Vaccari, F. P. (2015). Biochar increases vineyard productivity without affecting grape quality: Results from a four years field experiment in Tuscany. </w:t>
      </w:r>
      <w:r w:rsidRPr="00537A56">
        <w:rPr>
          <w:i/>
          <w:iCs/>
          <w:lang w:val="fr-FR"/>
        </w:rPr>
        <w:t>Agriculture, Ecosystems &amp; Environment</w:t>
      </w:r>
      <w:r w:rsidRPr="00537A56">
        <w:rPr>
          <w:lang w:val="fr-FR"/>
        </w:rPr>
        <w:t xml:space="preserve"> 201, 20–25. doi:10.1016/j.agee.2014.11.021.</w:t>
      </w:r>
    </w:p>
    <w:p w14:paraId="3D09D35B" w14:textId="77777777" w:rsidR="00537A56" w:rsidRDefault="00537A56" w:rsidP="00DD0840">
      <w:pPr>
        <w:pStyle w:val="Bibliographie"/>
        <w:spacing w:before="0" w:after="0"/>
      </w:pPr>
      <w:r w:rsidRPr="00537A56">
        <w:rPr>
          <w:lang w:val="fr-FR"/>
        </w:rPr>
        <w:t xml:space="preserve">Georgopoulou, E., Mirasgedis, S., Sarafidis, Y., Vitaliotou, M., Lalas, D. P., Theloudis, I., et al. </w:t>
      </w:r>
      <w:r>
        <w:t xml:space="preserve">(2017). Climate change impacts and adaptation options for the Greek agriculture in 2021–2050: A monetary assessment. </w:t>
      </w:r>
      <w:r>
        <w:rPr>
          <w:i/>
          <w:iCs/>
        </w:rPr>
        <w:t>Climate Risk Management</w:t>
      </w:r>
      <w:r>
        <w:t xml:space="preserve"> 16, 164–182. doi:10.1016/j.crm.2017.02.002.</w:t>
      </w:r>
    </w:p>
    <w:p w14:paraId="3CFE2DA4" w14:textId="77777777" w:rsidR="00537A56" w:rsidRDefault="00537A56" w:rsidP="00DD0840">
      <w:pPr>
        <w:pStyle w:val="Bibliographie"/>
        <w:spacing w:before="0" w:after="0"/>
      </w:pPr>
      <w:r>
        <w:t xml:space="preserve">Gil, P. M., Lobos, P., Durán, K., Olguín, J., Cea, D., and Schaffer, B. (2018). Partial root-zone drying irrigation, shading, or mulching effects on water savings, productivity and quality of ‘Syrah’ grapevines. </w:t>
      </w:r>
      <w:r>
        <w:rPr>
          <w:i/>
          <w:iCs/>
        </w:rPr>
        <w:t>Scientia Horticulturae</w:t>
      </w:r>
      <w:r>
        <w:t xml:space="preserve"> 240, 478–483. doi:10.1016/j.scienta.2018.06.050.</w:t>
      </w:r>
    </w:p>
    <w:p w14:paraId="7E29AF69" w14:textId="77777777" w:rsidR="00537A56" w:rsidRDefault="00537A56" w:rsidP="00DD0840">
      <w:pPr>
        <w:pStyle w:val="Bibliographie"/>
        <w:spacing w:before="0" w:after="0"/>
      </w:pPr>
      <w:r>
        <w:t xml:space="preserve">Grantham, T. E., Merenlender, A. M., and Resh, V. H. (2010). Climatic influences and anthropogenic stressors: an integrated framework for streamflow management in Mediterranean-climate California, USA. </w:t>
      </w:r>
      <w:r>
        <w:rPr>
          <w:i/>
          <w:iCs/>
        </w:rPr>
        <w:t>Freshw. Biol.</w:t>
      </w:r>
      <w:r>
        <w:t xml:space="preserve"> 55, 188–204. doi:10.1111/j.1365-2427.2009.02379.x.</w:t>
      </w:r>
    </w:p>
    <w:p w14:paraId="203B5040" w14:textId="77777777" w:rsidR="00537A56" w:rsidRDefault="00537A56" w:rsidP="00DD0840">
      <w:pPr>
        <w:pStyle w:val="Bibliographie"/>
        <w:spacing w:before="0" w:after="0"/>
      </w:pPr>
      <w:r>
        <w:t xml:space="preserve">Hannah, L., Roehrdanz, P. R., Ikegami, M., Shepard, A. V., Shaw, M. R., Tabor, G., et al. (2013). Climate change, wine, and conservation. </w:t>
      </w:r>
      <w:r>
        <w:rPr>
          <w:i/>
          <w:iCs/>
        </w:rPr>
        <w:t>Proceedings of the National Academy of Sciences</w:t>
      </w:r>
      <w:r>
        <w:t xml:space="preserve"> 110, 6907–6912.</w:t>
      </w:r>
    </w:p>
    <w:p w14:paraId="1E825987" w14:textId="77777777" w:rsidR="00537A56" w:rsidRDefault="00537A56" w:rsidP="00DD0840">
      <w:pPr>
        <w:pStyle w:val="Bibliographie"/>
        <w:spacing w:before="0" w:after="0"/>
      </w:pPr>
      <w:r>
        <w:t xml:space="preserve">Holland, T., and Smit, B. (2014). Recent climate change in the Prince Edward County winegrowing region, Ontario, Canada: implications for adaptation in a fledgling wine industry. </w:t>
      </w:r>
      <w:r>
        <w:rPr>
          <w:i/>
          <w:iCs/>
        </w:rPr>
        <w:t>Reg Environ Change</w:t>
      </w:r>
      <w:r>
        <w:t xml:space="preserve"> 14, 1109–1121. doi:10.1007/s10113-013-0555-y.</w:t>
      </w:r>
    </w:p>
    <w:p w14:paraId="09B16551" w14:textId="77777777" w:rsidR="00537A56" w:rsidRDefault="00537A56" w:rsidP="00DD0840">
      <w:pPr>
        <w:pStyle w:val="Bibliographie"/>
        <w:spacing w:before="0" w:after="0"/>
      </w:pPr>
      <w:r>
        <w:t xml:space="preserve">Hopper, D. W., Ghan, R., Schlauch, K. A., and Cramer, G. R. (2016). Transcriptomic network analyses of leaf dehydration responses identify highly connected ABA and ethylene signaling hubs in three grapevine species differing in drought tolerance. </w:t>
      </w:r>
      <w:r>
        <w:rPr>
          <w:i/>
          <w:iCs/>
        </w:rPr>
        <w:t>BMC Plant Biology</w:t>
      </w:r>
      <w:r>
        <w:t xml:space="preserve"> 16, 118. doi:10.1186/s12870-016-0804-6.</w:t>
      </w:r>
    </w:p>
    <w:p w14:paraId="75887CA9" w14:textId="77777777" w:rsidR="00537A56" w:rsidRDefault="00537A56" w:rsidP="00DD0840">
      <w:pPr>
        <w:pStyle w:val="Bibliographie"/>
        <w:spacing w:before="0" w:after="0"/>
      </w:pPr>
      <w:r>
        <w:lastRenderedPageBreak/>
        <w:t xml:space="preserve">Hunter, J. J., Volschenk, C. G., and Zorer, R. (2016). Vineyard row orientation of Vitis vinifera L. cv. Shiraz/101-14 Mgt: Climatic profiles and vine physiological status. </w:t>
      </w:r>
      <w:r>
        <w:rPr>
          <w:i/>
          <w:iCs/>
        </w:rPr>
        <w:t>Agricultural and Forest Meteorology</w:t>
      </w:r>
      <w:r>
        <w:t xml:space="preserve"> 228–229, 104–119. doi:10.1016/j.agrformet.2016.06.013.</w:t>
      </w:r>
    </w:p>
    <w:p w14:paraId="10234DFE" w14:textId="77777777" w:rsidR="00537A56" w:rsidRDefault="00537A56" w:rsidP="00DD0840">
      <w:pPr>
        <w:pStyle w:val="Bibliographie"/>
        <w:spacing w:before="0" w:after="0"/>
      </w:pPr>
      <w:r>
        <w:t xml:space="preserve">Kapur, B., Steduto, P., and Todorovic, M. (2007). Prediction of Climatic Change for the Next 100 Years in the Apulia Region, Southern Italy. </w:t>
      </w:r>
      <w:r>
        <w:rPr>
          <w:i/>
          <w:iCs/>
        </w:rPr>
        <w:t>Ital J Agronomy</w:t>
      </w:r>
      <w:r>
        <w:t xml:space="preserve"> 2, 365. doi:10.4081/ija.2007.365.</w:t>
      </w:r>
    </w:p>
    <w:p w14:paraId="3573C0A5" w14:textId="77777777" w:rsidR="00537A56" w:rsidRDefault="00537A56" w:rsidP="00DD0840">
      <w:pPr>
        <w:pStyle w:val="Bibliographie"/>
        <w:spacing w:before="0" w:after="0"/>
      </w:pPr>
      <w:r>
        <w:t xml:space="preserve">Keller, M. (2010). Managing grapevines to optimise fruit development in a challenging environment: a climate change primer for viticulturists. </w:t>
      </w:r>
      <w:r>
        <w:rPr>
          <w:i/>
          <w:iCs/>
        </w:rPr>
        <w:t>Australian Journal of Grape and Wine Research</w:t>
      </w:r>
      <w:r>
        <w:t xml:space="preserve"> 16, 56–69. doi:10.1111/j.1755-0238.2009.00077.x.</w:t>
      </w:r>
    </w:p>
    <w:p w14:paraId="34B25CB3" w14:textId="77777777" w:rsidR="00537A56" w:rsidRDefault="00537A56" w:rsidP="00DD0840">
      <w:pPr>
        <w:pStyle w:val="Bibliographie"/>
        <w:spacing w:before="0" w:after="0"/>
      </w:pPr>
      <w:r>
        <w:t xml:space="preserve">Lereboullet, A.-L., Beltrando, G., and Bardsley, D. K. (2013). Socio-ecological adaptation to climate change: A comparative case study from the Mediterranean wine industry in France and Australia. </w:t>
      </w:r>
      <w:r>
        <w:rPr>
          <w:i/>
          <w:iCs/>
        </w:rPr>
        <w:t>Agriculture, Ecosystems &amp; Environment</w:t>
      </w:r>
      <w:r>
        <w:t xml:space="preserve"> 164, 273–285. doi:10.1016/j.agee.2012.10.008.</w:t>
      </w:r>
    </w:p>
    <w:p w14:paraId="399B01F0" w14:textId="77777777" w:rsidR="00537A56" w:rsidRDefault="00537A56" w:rsidP="00DD0840">
      <w:pPr>
        <w:pStyle w:val="Bibliographie"/>
        <w:spacing w:before="0" w:after="0"/>
      </w:pPr>
      <w:r>
        <w:t xml:space="preserve">Levy, M. A., and Lubell, M. N. (2018). Innovation, cooperation, and the structure of three regional sustainable agriculture networks in California. </w:t>
      </w:r>
      <w:r>
        <w:rPr>
          <w:i/>
          <w:iCs/>
        </w:rPr>
        <w:t>Reg Environ Change</w:t>
      </w:r>
      <w:r>
        <w:t xml:space="preserve"> 18, 1235–1246. doi:10.1007/s10113-017-1258-6.</w:t>
      </w:r>
    </w:p>
    <w:p w14:paraId="0AA635E6" w14:textId="77777777" w:rsidR="00537A56" w:rsidRDefault="00537A56" w:rsidP="00DD0840">
      <w:pPr>
        <w:pStyle w:val="Bibliographie"/>
        <w:spacing w:before="0" w:after="0"/>
      </w:pPr>
      <w:r>
        <w:t xml:space="preserve">Lobos, G. A., Acevedo-Opazo, C., Guajardo-Moreno, A., Valdés-Gómez, H., Taylor, J. A., and Laurie, V. F. (2015). Effects of kaolin-based particle film and fruit zone netting on Cabernet Sauvignon grapevine physiology and fruit quality. </w:t>
      </w:r>
      <w:r>
        <w:rPr>
          <w:i/>
          <w:iCs/>
        </w:rPr>
        <w:t>1</w:t>
      </w:r>
      <w:r>
        <w:t xml:space="preserve"> 49, 137–144. doi:10.20870/oeno-one.2015.49.2.86.</w:t>
      </w:r>
    </w:p>
    <w:p w14:paraId="256E66A3" w14:textId="77777777" w:rsidR="00537A56" w:rsidRDefault="00537A56" w:rsidP="00DD0840">
      <w:pPr>
        <w:pStyle w:val="Bibliographie"/>
        <w:spacing w:before="0" w:after="0"/>
      </w:pPr>
      <w:r>
        <w:t xml:space="preserve">Londo, J. P., and Johnson, L. M. (2014). Variation in the chilling requirement and budburst rate of wild Vitis species. </w:t>
      </w:r>
      <w:r>
        <w:rPr>
          <w:i/>
          <w:iCs/>
        </w:rPr>
        <w:t>Environmental and Experimental Botany</w:t>
      </w:r>
      <w:r>
        <w:t xml:space="preserve"> 106, 138–147. doi:10.1016/j.envexpbot.2013.12.012.</w:t>
      </w:r>
    </w:p>
    <w:p w14:paraId="176449E4" w14:textId="77777777" w:rsidR="00537A56" w:rsidRDefault="00537A56" w:rsidP="00DD0840">
      <w:pPr>
        <w:pStyle w:val="Bibliographie"/>
        <w:spacing w:before="0" w:after="0"/>
      </w:pPr>
      <w:r>
        <w:t xml:space="preserve">Malacarne, G., Pilati, S., Valentini, S., Asnicar, F., Moretto, M., Sonego, P., et al. (2018). Discovering Causal Relationships in Grapevine Expression Data to Expand Gene Networks. A Case Study: Four Networks Related to Climate Change. </w:t>
      </w:r>
      <w:r>
        <w:rPr>
          <w:i/>
          <w:iCs/>
        </w:rPr>
        <w:t>Front. Plant Sci.</w:t>
      </w:r>
      <w:r>
        <w:t xml:space="preserve"> 9. doi:10.3389/fpls.2018.01385.</w:t>
      </w:r>
    </w:p>
    <w:p w14:paraId="7D737F06" w14:textId="77777777" w:rsidR="00537A56" w:rsidRDefault="00537A56" w:rsidP="00DD0840">
      <w:pPr>
        <w:pStyle w:val="Bibliographie"/>
        <w:spacing w:before="0" w:after="0"/>
      </w:pPr>
      <w:r>
        <w:t xml:space="preserve">Martínez-Lüscher, J., Chen, C. C. L., Brillante, L., and Kurtural, S. K. (2017). Partial Solar Radiation Exclusion with Color Shade Nets Reduces the Degradation of Organic Acids and Flavonoids of Grape Berry ( </w:t>
      </w:r>
      <w:r>
        <w:rPr>
          <w:i/>
          <w:iCs/>
        </w:rPr>
        <w:t>Vitis vinifera</w:t>
      </w:r>
      <w:r>
        <w:t xml:space="preserve"> L.). </w:t>
      </w:r>
      <w:r>
        <w:rPr>
          <w:i/>
          <w:iCs/>
        </w:rPr>
        <w:t>Journal of Agricultural and Food Chemistry</w:t>
      </w:r>
      <w:r>
        <w:t xml:space="preserve"> 65, 10693–10702. doi:10.1021/acs.jafc.7b04163.</w:t>
      </w:r>
    </w:p>
    <w:p w14:paraId="52DD0928" w14:textId="77777777" w:rsidR="00537A56" w:rsidRDefault="00537A56" w:rsidP="00DD0840">
      <w:pPr>
        <w:pStyle w:val="Bibliographie"/>
        <w:spacing w:before="0" w:after="0"/>
      </w:pPr>
      <w:r w:rsidRPr="00537A56">
        <w:rPr>
          <w:lang w:val="fr-FR"/>
        </w:rPr>
        <w:t xml:space="preserve">Medrano, H., Tomás, M., Martorell, S., Escalona, J.-M., Pou, A., Fuentes, S., et al. </w:t>
      </w:r>
      <w:r>
        <w:t xml:space="preserve">(2015). Improving water use efficiency of vineyards in semi-arid regions. A review. </w:t>
      </w:r>
      <w:r>
        <w:rPr>
          <w:i/>
          <w:iCs/>
        </w:rPr>
        <w:t>Agronomy for Sustainable Development</w:t>
      </w:r>
      <w:r>
        <w:t xml:space="preserve"> 35, 499–517. doi:10.1007/s13593-014-0280-z.</w:t>
      </w:r>
    </w:p>
    <w:p w14:paraId="04B526AA" w14:textId="77777777" w:rsidR="00537A56" w:rsidRDefault="00537A56" w:rsidP="00DD0840">
      <w:pPr>
        <w:pStyle w:val="Bibliographie"/>
        <w:spacing w:before="0" w:after="0"/>
      </w:pPr>
      <w:r>
        <w:t xml:space="preserve">Meggio, F., Prinsi, B., Negri, A. S., Lorenzo, G. S. D., Lucchini, G., Pitacco, A., et al. (2014). Biochemical and physiological responses of two grapevine rootstock genotypes to drought and salt treatments. </w:t>
      </w:r>
      <w:r>
        <w:rPr>
          <w:i/>
          <w:iCs/>
        </w:rPr>
        <w:t>Australian Journal of Grape and Wine Research</w:t>
      </w:r>
      <w:r>
        <w:t xml:space="preserve"> 20, 310–323. doi:10.1111/ajgw.12071.</w:t>
      </w:r>
    </w:p>
    <w:p w14:paraId="34990726" w14:textId="77777777" w:rsidR="00537A56" w:rsidRDefault="00537A56" w:rsidP="00DD0840">
      <w:pPr>
        <w:pStyle w:val="Bibliographie"/>
        <w:spacing w:before="0" w:after="0"/>
      </w:pPr>
      <w:r>
        <w:t xml:space="preserve">Milla‐Tapia, A., Gómez, S., Moncada, X., León, P., Ibacache, A., Rosas, M., et al. (2013). Naturalised grapevines collected from arid regions in Northern Chile exhibit a high level of genetic diversity. </w:t>
      </w:r>
      <w:r>
        <w:rPr>
          <w:i/>
          <w:iCs/>
        </w:rPr>
        <w:t>Australian Journal of Grape and Wine Research</w:t>
      </w:r>
      <w:r>
        <w:t xml:space="preserve"> 19, 299–310. doi:10.1111/ajgw.12020.</w:t>
      </w:r>
    </w:p>
    <w:p w14:paraId="6DB409E7" w14:textId="77777777" w:rsidR="00537A56" w:rsidRDefault="00537A56" w:rsidP="00DD0840">
      <w:pPr>
        <w:pStyle w:val="Bibliographie"/>
        <w:spacing w:before="0" w:after="0"/>
      </w:pPr>
      <w:r>
        <w:t xml:space="preserve">Mirás-Avalos, J. M., Trigo-Córdoba, E., Bouzas-Cid, Y., and Orriols-Fernández, I. (2016). Irrigation effects on the performance of grapevine (Vitis vinifera L.) cv. ‘Albariño’ under the humid climate of Galicia. </w:t>
      </w:r>
      <w:r>
        <w:rPr>
          <w:i/>
          <w:iCs/>
        </w:rPr>
        <w:t>OENO One</w:t>
      </w:r>
      <w:r>
        <w:t xml:space="preserve"> 50. doi:10.20870/oeno-one.2016.50.4.63.</w:t>
      </w:r>
    </w:p>
    <w:p w14:paraId="2EECDF9A" w14:textId="77777777" w:rsidR="00537A56" w:rsidRDefault="00537A56" w:rsidP="00DD0840">
      <w:pPr>
        <w:pStyle w:val="Bibliographie"/>
        <w:spacing w:before="0" w:after="0"/>
      </w:pPr>
      <w:r>
        <w:lastRenderedPageBreak/>
        <w:t xml:space="preserve">Mirás-Avalos, J. M., Uriarte, D., Lakso, A. N., and Intrigliolo, D. S. (2018). Modeling grapevine performance with ‘VitiSim’, a weather-based carbon balance model: Water status and climate change scenarios. </w:t>
      </w:r>
      <w:r>
        <w:rPr>
          <w:i/>
          <w:iCs/>
        </w:rPr>
        <w:t>Scientia Horticulturae</w:t>
      </w:r>
      <w:r>
        <w:t xml:space="preserve"> 240, 561–571. doi:10.1016/j.scienta.2018.06.065.</w:t>
      </w:r>
    </w:p>
    <w:p w14:paraId="504AD403" w14:textId="77777777" w:rsidR="00537A56" w:rsidRDefault="00537A56" w:rsidP="00DD0840">
      <w:pPr>
        <w:pStyle w:val="Bibliographie"/>
        <w:spacing w:before="0" w:after="0"/>
      </w:pPr>
      <w:r>
        <w:t xml:space="preserve">Molitor, D., Schultz, M., Mannes, R., Pallez-Barthel, M., Hoffmann, L., and Beyer, M. (2019). Semi-Minimal Pruned Hedge: A Potential Climate Change Adaptation Strategy in Viticulture. </w:t>
      </w:r>
      <w:r>
        <w:rPr>
          <w:i/>
          <w:iCs/>
        </w:rPr>
        <w:t>Agronomy</w:t>
      </w:r>
      <w:r>
        <w:t xml:space="preserve"> 9, 173. doi:10.3390/agronomy9040173.</w:t>
      </w:r>
    </w:p>
    <w:p w14:paraId="61B4525A" w14:textId="77777777" w:rsidR="00537A56" w:rsidRDefault="00537A56" w:rsidP="00DD0840">
      <w:pPr>
        <w:pStyle w:val="Bibliographie"/>
        <w:spacing w:before="0" w:after="0"/>
      </w:pPr>
      <w:r>
        <w:t xml:space="preserve">Montana, E., Diaz, H. P., and Hurlbert, M. (2016). Development, local livelihoods, and vulnerabilities to global environmental change in the South American Dry Andes. </w:t>
      </w:r>
      <w:r>
        <w:rPr>
          <w:i/>
          <w:iCs/>
        </w:rPr>
        <w:t>Reg. Envir. Chang.</w:t>
      </w:r>
      <w:r>
        <w:t xml:space="preserve"> 16, 2215–2228. doi:10.1007/s10113-015-0888-9.</w:t>
      </w:r>
    </w:p>
    <w:p w14:paraId="5DC829AD" w14:textId="77777777" w:rsidR="00537A56" w:rsidRDefault="00537A56" w:rsidP="00DD0840">
      <w:pPr>
        <w:pStyle w:val="Bibliographie"/>
        <w:spacing w:before="0" w:after="0"/>
      </w:pPr>
      <w:r>
        <w:t xml:space="preserve">Montaña, E., Diaz, H. P., and Hurlbert, M. (2016). Development, local livelihoods, and vulnerabilities to global environmental change in the South American Dry Andes. </w:t>
      </w:r>
      <w:r>
        <w:rPr>
          <w:i/>
          <w:iCs/>
        </w:rPr>
        <w:t>Reg Environ Change</w:t>
      </w:r>
      <w:r>
        <w:t xml:space="preserve"> 16, 2215–2228. doi:10.1007/s10113-015-0888-9.</w:t>
      </w:r>
    </w:p>
    <w:p w14:paraId="62F3A9A9" w14:textId="77777777" w:rsidR="00537A56" w:rsidRDefault="00537A56" w:rsidP="00DD0840">
      <w:pPr>
        <w:pStyle w:val="Bibliographie"/>
        <w:spacing w:before="0" w:after="0"/>
      </w:pPr>
      <w:r>
        <w:t xml:space="preserve">Mosedale, J. R., Abernethy, K. E., Smart, R. E., Wilson, R. J., and Maclean, I. M. D. (2016). Climate change impacts and adaptive strategies: lessons from the grapevine. </w:t>
      </w:r>
      <w:r>
        <w:rPr>
          <w:i/>
          <w:iCs/>
        </w:rPr>
        <w:t>Global Change Biology</w:t>
      </w:r>
      <w:r>
        <w:t xml:space="preserve"> 22, 3814–3828. doi:10.1111/gcb.13406.</w:t>
      </w:r>
    </w:p>
    <w:p w14:paraId="38C0B41A" w14:textId="77777777" w:rsidR="00537A56" w:rsidRDefault="00537A56" w:rsidP="00DD0840">
      <w:pPr>
        <w:pStyle w:val="Bibliographie"/>
        <w:spacing w:before="0" w:after="0"/>
      </w:pPr>
      <w:r>
        <w:t xml:space="preserve">Neethling, E., Petitjean, T., Quénol, H., and Barbeau, G. (2017). Assessing local climate vulnerability and winegrowers’ adaptive processes in the context of climate change. </w:t>
      </w:r>
      <w:r>
        <w:rPr>
          <w:i/>
          <w:iCs/>
        </w:rPr>
        <w:t>Mitigation and Adaptation Strategies for Global Change</w:t>
      </w:r>
      <w:r>
        <w:t xml:space="preserve"> 22, 777–803. doi:10.1007/s11027-015-9698-0.</w:t>
      </w:r>
    </w:p>
    <w:p w14:paraId="53CA1F03" w14:textId="77777777" w:rsidR="00537A56" w:rsidRDefault="00537A56" w:rsidP="00DD0840">
      <w:pPr>
        <w:pStyle w:val="Bibliographie"/>
        <w:spacing w:before="0" w:after="0"/>
      </w:pPr>
      <w:r>
        <w:t xml:space="preserve">Nicholas, K. A., and Durham, W. H. (2012). Farm-scale adaptation and vulnerability to environmental stresses: Insights from winegrowing in Northern California. </w:t>
      </w:r>
      <w:r>
        <w:rPr>
          <w:i/>
          <w:iCs/>
        </w:rPr>
        <w:t>Global Environmental Change</w:t>
      </w:r>
      <w:r>
        <w:t xml:space="preserve"> 22, 483–494. doi:10.1016/j.gloenvcha.2012.01.001.</w:t>
      </w:r>
    </w:p>
    <w:p w14:paraId="0C14A091" w14:textId="77777777" w:rsidR="00537A56" w:rsidRDefault="00537A56" w:rsidP="00DD0840">
      <w:pPr>
        <w:pStyle w:val="Bibliographie"/>
        <w:spacing w:before="0" w:after="0"/>
      </w:pPr>
      <w:r>
        <w:t xml:space="preserve">Olen, B., Wu, J., and Langpap, C. (2016). Irrigation Decisions for Major West Coast Crops: Water Scarcity and Climatic Determinants. </w:t>
      </w:r>
      <w:r>
        <w:rPr>
          <w:i/>
          <w:iCs/>
        </w:rPr>
        <w:t>American Journal of Agricultural Economics</w:t>
      </w:r>
      <w:r>
        <w:t xml:space="preserve"> 98, 254–275. doi:10.1093/ajae/aav036.</w:t>
      </w:r>
    </w:p>
    <w:p w14:paraId="0E60926D" w14:textId="77777777" w:rsidR="00537A56" w:rsidRPr="00537A56" w:rsidRDefault="00537A56" w:rsidP="00DD0840">
      <w:pPr>
        <w:pStyle w:val="Bibliographie"/>
        <w:spacing w:before="0" w:after="0"/>
        <w:rPr>
          <w:lang w:val="fr-FR"/>
        </w:rPr>
      </w:pPr>
      <w:r>
        <w:t xml:space="preserve">Paciello, P., Mencarelli, F., Palliotti, A., Ceccantoni, B., Thibon, C., Darriet, P., et al. (2017). Nebulized water cooling of the canopy affects leaf temperature, berry composition and wine quality of Sauvignon blanc: Nebulized water cooling of the canopy affects wine quality of Sauvignon blanc. </w:t>
      </w:r>
      <w:r w:rsidRPr="00537A56">
        <w:rPr>
          <w:i/>
          <w:iCs/>
          <w:lang w:val="fr-FR"/>
        </w:rPr>
        <w:t>J. Sci. Food Agric.</w:t>
      </w:r>
      <w:r w:rsidRPr="00537A56">
        <w:rPr>
          <w:lang w:val="fr-FR"/>
        </w:rPr>
        <w:t xml:space="preserve"> 97, 1267–1275. doi:10.1002/jsfa.7860.</w:t>
      </w:r>
    </w:p>
    <w:p w14:paraId="29DE1878" w14:textId="77777777" w:rsidR="00537A56" w:rsidRDefault="00537A56" w:rsidP="00DD0840">
      <w:pPr>
        <w:pStyle w:val="Bibliographie"/>
        <w:spacing w:before="0" w:after="0"/>
      </w:pPr>
      <w:r w:rsidRPr="00537A56">
        <w:rPr>
          <w:lang w:val="fr-FR"/>
        </w:rPr>
        <w:t xml:space="preserve">Pagliarani, C., Vitali, M., Ferrero, M., Vitulo, N., Incarbone, M., Lovisolo, C., et al. </w:t>
      </w:r>
      <w:r>
        <w:t xml:space="preserve">(2017). The Accumulation of miRNAs Differentially Modulated by Drought Stress Is Affected by Grafting in Grapevine. </w:t>
      </w:r>
      <w:r>
        <w:rPr>
          <w:i/>
          <w:iCs/>
        </w:rPr>
        <w:t>Plant Physiol</w:t>
      </w:r>
      <w:r>
        <w:t xml:space="preserve"> 173, 2180–2195. doi:10.1104/pp.16.01119.</w:t>
      </w:r>
    </w:p>
    <w:p w14:paraId="485D8843" w14:textId="77777777" w:rsidR="00537A56" w:rsidRDefault="00537A56" w:rsidP="00DD0840">
      <w:pPr>
        <w:pStyle w:val="Bibliographie"/>
        <w:spacing w:before="0" w:after="0"/>
      </w:pPr>
      <w:r>
        <w:t xml:space="preserve">Palliotti, A., Panara, F., Famiani, F., Sabbatini, P., Howell, G. S., Silvestroni, O., et al. (2013). Postveraison Application of Antitranspirant Di-1- </w:t>
      </w:r>
      <w:r>
        <w:rPr>
          <w:i/>
          <w:iCs/>
        </w:rPr>
        <w:t>p</w:t>
      </w:r>
      <w:r>
        <w:t xml:space="preserve"> -Menthene to Control Sugar Accumulation in Sangiovese Grapevines. </w:t>
      </w:r>
      <w:r>
        <w:rPr>
          <w:i/>
          <w:iCs/>
        </w:rPr>
        <w:t>Am. J. Enol. Vitic.</w:t>
      </w:r>
      <w:r>
        <w:t xml:space="preserve"> 64, 378–385. doi:10.5344/ajev.2013.13015.</w:t>
      </w:r>
    </w:p>
    <w:p w14:paraId="474155EB" w14:textId="77777777" w:rsidR="00537A56" w:rsidRDefault="00537A56" w:rsidP="00DD0840">
      <w:pPr>
        <w:pStyle w:val="Bibliographie"/>
        <w:spacing w:before="0" w:after="0"/>
      </w:pPr>
      <w:r>
        <w:t xml:space="preserve">Palliotti, A., Tombesi, S., Silvestroni, O., Lanari, V., Gatti, M., and Poni, S. (2014). Changes in vineyard establishment and canopy management urged by earlier climate-related grape ripening: A review. </w:t>
      </w:r>
      <w:r>
        <w:rPr>
          <w:i/>
          <w:iCs/>
        </w:rPr>
        <w:t>Scientia Horticulturae</w:t>
      </w:r>
      <w:r>
        <w:t xml:space="preserve"> 178, 43–54. doi:10.1016/j.scienta.2014.07.039.</w:t>
      </w:r>
    </w:p>
    <w:p w14:paraId="308A0192" w14:textId="77777777" w:rsidR="00537A56" w:rsidRDefault="00537A56" w:rsidP="00DD0840">
      <w:pPr>
        <w:pStyle w:val="Bibliographie"/>
        <w:spacing w:before="0" w:after="0"/>
      </w:pPr>
      <w:r>
        <w:t xml:space="preserve">Petrie, P. R., Brooke, S. J., Moran, M. A., and Sadras, V. O. (2017). Pruning after budburst to delay and spread grape maturity. </w:t>
      </w:r>
      <w:r>
        <w:rPr>
          <w:i/>
          <w:iCs/>
        </w:rPr>
        <w:t>Australian Journal of Grape and Wine Research</w:t>
      </w:r>
      <w:r>
        <w:t xml:space="preserve"> 23, 378–389. doi:10.1111/ajgw.12303.</w:t>
      </w:r>
    </w:p>
    <w:p w14:paraId="396B18C7" w14:textId="77777777" w:rsidR="00537A56" w:rsidRDefault="00537A56" w:rsidP="00DD0840">
      <w:pPr>
        <w:pStyle w:val="Bibliographie"/>
        <w:spacing w:before="0" w:after="0"/>
      </w:pPr>
      <w:r>
        <w:t xml:space="preserve">Phogat, V., Cox, J. W., and Šimůnek, J. (2018). Identifying the future water and salinity risks to irrigated viticulture in the Murray-Darling Basin, South Australia. </w:t>
      </w:r>
      <w:r>
        <w:rPr>
          <w:i/>
          <w:iCs/>
        </w:rPr>
        <w:t>Agricultural Water Management</w:t>
      </w:r>
      <w:r>
        <w:t xml:space="preserve"> 201, 107–117. doi:10.1016/j.agwat.2018.01.025.</w:t>
      </w:r>
    </w:p>
    <w:p w14:paraId="5CA262DB" w14:textId="77777777" w:rsidR="00537A56" w:rsidRDefault="00537A56" w:rsidP="00DD0840">
      <w:pPr>
        <w:pStyle w:val="Bibliographie"/>
        <w:spacing w:before="0" w:after="0"/>
      </w:pPr>
      <w:r>
        <w:lastRenderedPageBreak/>
        <w:t>Pickering, K., Plummer, R., and Pickering, G. (2014). DETERMINING ADAPTIVE CAPACITY TO CLIMATE CHANGE IN THE GRAPE AND WINE INDUSTRY. 7.</w:t>
      </w:r>
    </w:p>
    <w:p w14:paraId="5CB76038" w14:textId="77777777" w:rsidR="00537A56" w:rsidRPr="00537A56" w:rsidRDefault="00537A56" w:rsidP="00DD0840">
      <w:pPr>
        <w:pStyle w:val="Bibliographie"/>
        <w:spacing w:before="0" w:after="0"/>
        <w:rPr>
          <w:lang w:val="fr-FR"/>
        </w:rPr>
      </w:pPr>
      <w:r>
        <w:t xml:space="preserve">Pieri, P., Lebon, E., and Brisson, N. (2012). CLIMATE CHANGE IMPACT ON FRENCH VINEYARDS AS PREDICTED BY MODELS. </w:t>
      </w:r>
      <w:r w:rsidRPr="00537A56">
        <w:rPr>
          <w:i/>
          <w:iCs/>
          <w:lang w:val="fr-FR"/>
        </w:rPr>
        <w:t>Acta Horticulturae</w:t>
      </w:r>
      <w:r w:rsidRPr="00537A56">
        <w:rPr>
          <w:lang w:val="fr-FR"/>
        </w:rPr>
        <w:t>, 29–37. doi:10.17660/ActaHortic.2012.931.2.</w:t>
      </w:r>
    </w:p>
    <w:p w14:paraId="01F33D6F" w14:textId="77777777" w:rsidR="00537A56" w:rsidRDefault="00537A56" w:rsidP="00DD0840">
      <w:pPr>
        <w:pStyle w:val="Bibliographie"/>
        <w:spacing w:before="0" w:after="0"/>
      </w:pPr>
      <w:r w:rsidRPr="00537A56">
        <w:rPr>
          <w:lang w:val="fr-FR"/>
        </w:rPr>
        <w:t xml:space="preserve">Poni, S., Gatti, M., Palliotti, A., Dai, Z., Duchêne, E., Truong, T.-T., et al. </w:t>
      </w:r>
      <w:r>
        <w:t xml:space="preserve">(2018). Grapevine quality: A multiple choice issue. </w:t>
      </w:r>
      <w:r>
        <w:rPr>
          <w:i/>
          <w:iCs/>
        </w:rPr>
        <w:t>Scientia Horticulturae</w:t>
      </w:r>
      <w:r>
        <w:t xml:space="preserve"> 234, 445–462. doi:10.1016/j.scienta.2017.12.035.</w:t>
      </w:r>
    </w:p>
    <w:p w14:paraId="6B886CD1" w14:textId="77777777" w:rsidR="00537A56" w:rsidRDefault="00537A56" w:rsidP="00DD0840">
      <w:pPr>
        <w:pStyle w:val="Bibliographie"/>
        <w:spacing w:before="0" w:after="0"/>
      </w:pPr>
      <w:r>
        <w:t xml:space="preserve">Ramos, M. C., and Martínez-Casasnovas, J. A. (2010). Soil water balance in rainfed vineyards of the Penedès region (Northeastern Spain) affected by rainfall characteristics and land levelling: influence on grape yield. </w:t>
      </w:r>
      <w:r>
        <w:rPr>
          <w:i/>
          <w:iCs/>
        </w:rPr>
        <w:t>Plant Soil</w:t>
      </w:r>
      <w:r>
        <w:t xml:space="preserve"> 333, 375–389. doi:10.1007/s11104-010-0353-y.</w:t>
      </w:r>
    </w:p>
    <w:p w14:paraId="6BC36F2F" w14:textId="77777777" w:rsidR="00537A56" w:rsidRDefault="00537A56" w:rsidP="00DD0840">
      <w:pPr>
        <w:pStyle w:val="Bibliographie"/>
        <w:spacing w:before="0" w:after="0"/>
      </w:pPr>
      <w:r>
        <w:t xml:space="preserve">Raymond, C. M., and Spoehr, J. (2013). The acceptability of climate change in agricultural communities: Comparing responses across variability and change. </w:t>
      </w:r>
      <w:r>
        <w:rPr>
          <w:i/>
          <w:iCs/>
        </w:rPr>
        <w:t>Journal of Environmental Management</w:t>
      </w:r>
      <w:r>
        <w:t xml:space="preserve"> 115, 69–77. doi:10.1016/j.jenvman.2012.11.003.</w:t>
      </w:r>
    </w:p>
    <w:p w14:paraId="438D4626" w14:textId="77777777" w:rsidR="00537A56" w:rsidRDefault="00537A56" w:rsidP="00DD0840">
      <w:pPr>
        <w:pStyle w:val="Bibliographie"/>
        <w:spacing w:before="0" w:after="0"/>
      </w:pPr>
      <w:r>
        <w:t xml:space="preserve">Resco, P., Iglesias, A., Bardají, I., and Sotés, V. (2016). Exploring adaptation choices for grapevine regions in Spain. </w:t>
      </w:r>
      <w:r>
        <w:rPr>
          <w:i/>
          <w:iCs/>
        </w:rPr>
        <w:t>Reg Environ Change</w:t>
      </w:r>
      <w:r>
        <w:t xml:space="preserve"> 16, 979–993. doi:10.1007/s10113-015-0811-4.</w:t>
      </w:r>
    </w:p>
    <w:p w14:paraId="1DC9052F" w14:textId="77777777" w:rsidR="00537A56" w:rsidRDefault="00537A56" w:rsidP="00DD0840">
      <w:pPr>
        <w:pStyle w:val="Bibliographie"/>
        <w:spacing w:before="0" w:after="0"/>
      </w:pPr>
      <w:r>
        <w:t xml:space="preserve">Reshef, N., Agam, N., and Fait, A. (2018). Grape Berry Acclimation to Excessive Solar Irradiance Leads to Repartitioning between Major Flavonoid Groups. </w:t>
      </w:r>
      <w:r>
        <w:rPr>
          <w:i/>
          <w:iCs/>
        </w:rPr>
        <w:t>J. Agric. Food Chem.</w:t>
      </w:r>
      <w:r>
        <w:t xml:space="preserve"> 66, 3624–3636. doi:10.1021/acs.jafc.7b04881.</w:t>
      </w:r>
    </w:p>
    <w:p w14:paraId="43D8ACB2" w14:textId="77777777" w:rsidR="00537A56" w:rsidRDefault="00537A56" w:rsidP="00DD0840">
      <w:pPr>
        <w:pStyle w:val="Bibliographie"/>
        <w:spacing w:before="0" w:after="0"/>
      </w:pPr>
      <w:r>
        <w:t xml:space="preserve">Romero, P., Botía, P., and Navarro, J. M. (2018). Selecting rootstocks to improve vine performance and vineyard sustainability in deficit irrigated Monastrell grapevines under semiarid conditions. </w:t>
      </w:r>
      <w:r>
        <w:rPr>
          <w:i/>
          <w:iCs/>
        </w:rPr>
        <w:t>Agricultural Water Management</w:t>
      </w:r>
      <w:r>
        <w:t xml:space="preserve"> 209, 73–93. doi:10.1016/j.agwat.2018.07.012.</w:t>
      </w:r>
    </w:p>
    <w:p w14:paraId="6A661396" w14:textId="77777777" w:rsidR="00537A56" w:rsidRDefault="00537A56" w:rsidP="00DD0840">
      <w:pPr>
        <w:pStyle w:val="Bibliographie"/>
        <w:spacing w:before="0" w:after="0"/>
      </w:pPr>
      <w:r>
        <w:t xml:space="preserve">Ronco, P., Zennaro, F., Torresan, S., Critto, A., Santini, M., Trabucco, A., et al. (2017). A risk assessment framework for irrigated agriculture under climate change. </w:t>
      </w:r>
      <w:r>
        <w:rPr>
          <w:i/>
          <w:iCs/>
        </w:rPr>
        <w:t>Advances in Water Resources</w:t>
      </w:r>
      <w:r>
        <w:t xml:space="preserve"> 110, 562–578. doi:10.1016/j.advwatres.2017.08.003.</w:t>
      </w:r>
    </w:p>
    <w:p w14:paraId="690A430C" w14:textId="77777777" w:rsidR="00537A56" w:rsidRDefault="00537A56" w:rsidP="00DD0840">
      <w:pPr>
        <w:pStyle w:val="Bibliographie"/>
        <w:spacing w:before="0" w:after="0"/>
      </w:pPr>
      <w:r>
        <w:t>Sabir, A. (2016). Vegetative and Reproductive Growth Responses of Grapevine cv. “Italia” (Vitis vinifera L.) Grafted on Different Rootstocks to Contrasting Soil Water Status. 13.</w:t>
      </w:r>
    </w:p>
    <w:p w14:paraId="49BB103B" w14:textId="77777777" w:rsidR="00537A56" w:rsidRDefault="00537A56" w:rsidP="00DD0840">
      <w:pPr>
        <w:pStyle w:val="Bibliographie"/>
        <w:spacing w:before="0" w:after="0"/>
      </w:pPr>
      <w:r>
        <w:t xml:space="preserve">Sacchelli, S., Fabbrizzi, S., and Menghini, S. (2016). Climate Change, Wine and Sustainability: A Quantitative Discourse Analysis of the International Scientific Literature. </w:t>
      </w:r>
      <w:r>
        <w:rPr>
          <w:i/>
          <w:iCs/>
        </w:rPr>
        <w:t>Agriculture and Agricultural Science Procedia</w:t>
      </w:r>
      <w:r>
        <w:t xml:space="preserve"> 8, 167–175. doi:10.1016/j.aaspro.2016.02.090.</w:t>
      </w:r>
    </w:p>
    <w:p w14:paraId="286A7E5A" w14:textId="77777777" w:rsidR="00537A56" w:rsidRDefault="00537A56" w:rsidP="00DD0840">
      <w:pPr>
        <w:pStyle w:val="Bibliographie"/>
        <w:spacing w:before="0" w:after="0"/>
      </w:pPr>
      <w:r>
        <w:t xml:space="preserve">Santesteban, L. G., Miranda, C., Urrestarazu, J., Loidi, M., and Royo, J. B. (2017). Severe trimming and enhanced competition of laterals as a tool to delay ripening in Tempranillo vineyards under semiarid conditions. </w:t>
      </w:r>
      <w:r>
        <w:rPr>
          <w:i/>
          <w:iCs/>
        </w:rPr>
        <w:t>OENO One</w:t>
      </w:r>
      <w:r>
        <w:t xml:space="preserve"> 51, 191–203. doi:10.20870/oeno-one.2017.51.2.1583.</w:t>
      </w:r>
    </w:p>
    <w:p w14:paraId="187E1126" w14:textId="77777777" w:rsidR="00537A56" w:rsidRDefault="00537A56" w:rsidP="00DD0840">
      <w:pPr>
        <w:pStyle w:val="Bibliographie"/>
        <w:spacing w:before="0" w:after="0"/>
      </w:pPr>
      <w:r>
        <w:t xml:space="preserve">Savi, T., Petruzzellis, F., Martellos, S., Stenni, B., Dal Borgo, A., Zini, L., et al. (2018). Vineyard water relations in a karstic area: deep roots and irrigation management. </w:t>
      </w:r>
      <w:r>
        <w:rPr>
          <w:i/>
          <w:iCs/>
        </w:rPr>
        <w:t>Agriculture, Ecosystems &amp; Environment</w:t>
      </w:r>
      <w:r>
        <w:t xml:space="preserve"> 263, 53–59. doi:10.1016/j.agee.2018.05.009.</w:t>
      </w:r>
    </w:p>
    <w:p w14:paraId="3764991A" w14:textId="77777777" w:rsidR="00537A56" w:rsidRDefault="00537A56" w:rsidP="00DD0840">
      <w:pPr>
        <w:pStyle w:val="Bibliographie"/>
        <w:spacing w:before="0" w:after="0"/>
      </w:pPr>
      <w:r>
        <w:t xml:space="preserve">Schelezki, O. J., Smith, P. A., Hranilovic, A., Bindon, K. A., and Jeffery, D. W. (2018). Comparison of consecutive harvests versus blending treatments to produce lower alcohol wines from Cabernet Sauvignon grapes: Impact on polysaccharide and tannin content and composition. </w:t>
      </w:r>
      <w:r>
        <w:rPr>
          <w:i/>
          <w:iCs/>
        </w:rPr>
        <w:t>Food Chemistry</w:t>
      </w:r>
      <w:r>
        <w:t xml:space="preserve"> 244, 50–59. doi:10.1016/j.foodchem.2017.10.024.</w:t>
      </w:r>
    </w:p>
    <w:p w14:paraId="29523A10" w14:textId="77777777" w:rsidR="00537A56" w:rsidRDefault="00537A56" w:rsidP="00DD0840">
      <w:pPr>
        <w:pStyle w:val="Bibliographie"/>
        <w:spacing w:before="0" w:after="0"/>
      </w:pPr>
      <w:r>
        <w:t xml:space="preserve">Șerdinescu, A., Pîrcălabu, L., and Fotescu, L. (2014). Influence of soil maintenance systems and fruit load on grapes quality under drought conditions. </w:t>
      </w:r>
      <w:r>
        <w:rPr>
          <w:i/>
          <w:iCs/>
        </w:rPr>
        <w:t>Scientific Papers - Series B, Horticulture</w:t>
      </w:r>
      <w:r>
        <w:t>, 201–204.</w:t>
      </w:r>
    </w:p>
    <w:p w14:paraId="528A3374" w14:textId="77777777" w:rsidR="00537A56" w:rsidRDefault="00537A56" w:rsidP="00DD0840">
      <w:pPr>
        <w:pStyle w:val="Bibliographie"/>
        <w:spacing w:before="0" w:after="0"/>
      </w:pPr>
      <w:r>
        <w:lastRenderedPageBreak/>
        <w:t xml:space="preserve">Serra, I., Strever, A., Myburgh, P. A., and Deloire, A. (2014). Review: the interaction between rootstocks and cultivars (Vitis vinifera L.) to enhance drought tolerance in grapevine. </w:t>
      </w:r>
      <w:r>
        <w:rPr>
          <w:i/>
          <w:iCs/>
        </w:rPr>
        <w:t>Australian Journal of Grape and Wine Research</w:t>
      </w:r>
      <w:r>
        <w:t xml:space="preserve"> 20, 1–14. doi:10.1111/ajgw.12054.</w:t>
      </w:r>
    </w:p>
    <w:p w14:paraId="1AE4D976" w14:textId="77777777" w:rsidR="00537A56" w:rsidRDefault="00537A56" w:rsidP="00DD0840">
      <w:pPr>
        <w:pStyle w:val="Bibliographie"/>
        <w:spacing w:before="0" w:after="0"/>
      </w:pPr>
      <w:r>
        <w:t xml:space="preserve">Simonneau, T., Lebon, E., Coupel-Ledru, A., Marguerit, E., Rossdeutsch, L., and Ollat, N. (2017). Adapting plant material to face water stress in vineyards: which physiological targets for an optimal control of plant water status? </w:t>
      </w:r>
      <w:r>
        <w:rPr>
          <w:i/>
          <w:iCs/>
        </w:rPr>
        <w:t>1</w:t>
      </w:r>
      <w:r>
        <w:t xml:space="preserve"> 51, 167–179. doi:10.20870/oeno-one.2017.51.2.1870.</w:t>
      </w:r>
    </w:p>
    <w:p w14:paraId="5877420E" w14:textId="77777777" w:rsidR="00537A56" w:rsidRDefault="00537A56" w:rsidP="00DD0840">
      <w:pPr>
        <w:pStyle w:val="Bibliographie"/>
        <w:spacing w:before="0" w:after="0"/>
      </w:pPr>
      <w:r>
        <w:t xml:space="preserve">Stoll, M., Bischoff-Schaefer, M., Lafontaine, M., Tittmann, S., and Henschke, J. (2013). IMPACT OF VARIOUS LEAF AREA MODIFICATIONS ON BERRY MATURATION IN VITIS VINIFERA L. “RIESLING.” </w:t>
      </w:r>
      <w:r>
        <w:rPr>
          <w:i/>
          <w:iCs/>
        </w:rPr>
        <w:t>Acta Hortic.</w:t>
      </w:r>
      <w:r>
        <w:t>, 293–299. doi:10.17660/ActaHortic.2013.978.34.</w:t>
      </w:r>
    </w:p>
    <w:p w14:paraId="722E0A25" w14:textId="77777777" w:rsidR="00537A56" w:rsidRPr="00537A56" w:rsidRDefault="00537A56" w:rsidP="00DD0840">
      <w:pPr>
        <w:pStyle w:val="Bibliographie"/>
        <w:spacing w:before="0" w:after="0"/>
        <w:rPr>
          <w:lang w:val="fr-FR"/>
        </w:rPr>
      </w:pPr>
      <w:r>
        <w:t xml:space="preserve">Tissot, C., Neethling, E., Rouan, M., Barbeau, G., Quenol, H., and Le Coq, C. (2017). Modeling Environmental Impacts on Viticultural Ecosystems: A First Case Study in a Regulated Wine Producing Area. </w:t>
      </w:r>
      <w:r>
        <w:rPr>
          <w:i/>
          <w:iCs/>
        </w:rPr>
        <w:t xml:space="preserve">Int. J. Agric. </w:t>
      </w:r>
      <w:r w:rsidRPr="00537A56">
        <w:rPr>
          <w:i/>
          <w:iCs/>
          <w:lang w:val="fr-FR"/>
        </w:rPr>
        <w:t>Environ. Inf. Syst.</w:t>
      </w:r>
      <w:r w:rsidRPr="00537A56">
        <w:rPr>
          <w:lang w:val="fr-FR"/>
        </w:rPr>
        <w:t xml:space="preserve"> 8, 1–20. doi:10.4018/IJAEIS.2017070101.</w:t>
      </w:r>
    </w:p>
    <w:p w14:paraId="6B481F55" w14:textId="77777777" w:rsidR="00537A56" w:rsidRDefault="00537A56" w:rsidP="00DD0840">
      <w:pPr>
        <w:pStyle w:val="Bibliographie"/>
        <w:spacing w:before="0" w:after="0"/>
      </w:pPr>
      <w:r w:rsidRPr="00537A56">
        <w:rPr>
          <w:lang w:val="fr-FR"/>
        </w:rPr>
        <w:t xml:space="preserve">Tomás, M., Medrano, H., Escalona, J. M., Martorell, S., Pou, A., Ribas-Carbó, M., et al. </w:t>
      </w:r>
      <w:r>
        <w:t xml:space="preserve">(2014). Variability of water use efficiency in grapevines. </w:t>
      </w:r>
      <w:r>
        <w:rPr>
          <w:i/>
          <w:iCs/>
        </w:rPr>
        <w:t>Environmental and Experimental Botany</w:t>
      </w:r>
      <w:r>
        <w:t xml:space="preserve"> 103, 148–157. doi:10.1016/j.envexpbot.2013.09.003.</w:t>
      </w:r>
    </w:p>
    <w:p w14:paraId="48E6DD50" w14:textId="77777777" w:rsidR="00537A56" w:rsidRDefault="00537A56" w:rsidP="00DD0840">
      <w:pPr>
        <w:pStyle w:val="Bibliographie"/>
        <w:spacing w:before="0" w:after="0"/>
      </w:pPr>
      <w:r>
        <w:t xml:space="preserve">Tomaz, A., Pacheco, C. A., and Coleto Martinez, J. M. (2017). Influence of cover cropping on water uptake dynamics in an irrigated Mediterranean vineyard: Cover Cropping and Water Uptake Dynamics. </w:t>
      </w:r>
      <w:r>
        <w:rPr>
          <w:i/>
          <w:iCs/>
        </w:rPr>
        <w:t>Irrig. and Drain.</w:t>
      </w:r>
      <w:r>
        <w:t xml:space="preserve"> 66, 387–395. doi:10.1002/ird.2115.</w:t>
      </w:r>
    </w:p>
    <w:p w14:paraId="5BC53362" w14:textId="77777777" w:rsidR="00537A56" w:rsidRDefault="00537A56" w:rsidP="00DD0840">
      <w:pPr>
        <w:pStyle w:val="Bibliographie"/>
        <w:spacing w:before="0" w:after="0"/>
      </w:pPr>
      <w:r>
        <w:t xml:space="preserve">Torres, N., Goicoechea, N., and Carmen Antolín, M. (2018a). Influence of irrigation strategy and mycorrhizal inoculation on fruit quality in different clones of Tempranillo grown under elevated temperatures. </w:t>
      </w:r>
      <w:r>
        <w:rPr>
          <w:i/>
          <w:iCs/>
        </w:rPr>
        <w:t>Agricultural Water Management</w:t>
      </w:r>
      <w:r>
        <w:t xml:space="preserve"> 202, 285–298. doi:10.1016/j.agwat.2017.12.004.</w:t>
      </w:r>
    </w:p>
    <w:p w14:paraId="375110F7" w14:textId="77777777" w:rsidR="00537A56" w:rsidRDefault="00537A56" w:rsidP="00DD0840">
      <w:pPr>
        <w:pStyle w:val="Bibliographie"/>
        <w:spacing w:before="0" w:after="0"/>
      </w:pPr>
      <w:r>
        <w:t xml:space="preserve">Torres, N., Goicoechea, N., Zamarreño, A. M., and Carmen Antolín, M. (2018b). Mycorrhizal symbiosis affects ABA metabolism during berry ripening in Vitis vinifera L. cv. Tempranillo grown under climate change scenarios. </w:t>
      </w:r>
      <w:r>
        <w:rPr>
          <w:i/>
          <w:iCs/>
        </w:rPr>
        <w:t>Plant Science</w:t>
      </w:r>
      <w:r>
        <w:t xml:space="preserve"> 274, 383–393. doi:10.1016/j.plantsci.2018.06.009.</w:t>
      </w:r>
    </w:p>
    <w:p w14:paraId="3C04AFD1" w14:textId="77777777" w:rsidR="00537A56" w:rsidRDefault="00537A56" w:rsidP="00DD0840">
      <w:pPr>
        <w:pStyle w:val="Bibliographie"/>
        <w:spacing w:before="0" w:after="0"/>
      </w:pPr>
      <w:r>
        <w:t xml:space="preserve">Torres, N., Hilbert, G., Luquin, J., Goicoechea, N., and Antolín, M. C. (2017). Flavonoid and amino acid profiling on Vitis vinifera L. cv Tempranillo subjected to deficit irrigation under elevated temperatures. </w:t>
      </w:r>
      <w:r>
        <w:rPr>
          <w:i/>
          <w:iCs/>
        </w:rPr>
        <w:t>Journal of Food Composition and Analysis</w:t>
      </w:r>
      <w:r>
        <w:t xml:space="preserve"> 62, 51–62. doi:10.1016/j.jfca.2017.05.001.</w:t>
      </w:r>
    </w:p>
    <w:p w14:paraId="1AD9C7D5" w14:textId="77777777" w:rsidR="00537A56" w:rsidRDefault="00537A56" w:rsidP="00DD0840">
      <w:pPr>
        <w:pStyle w:val="Bibliographie"/>
        <w:spacing w:before="0" w:after="0"/>
      </w:pPr>
      <w:r>
        <w:t xml:space="preserve">Trigo-Córdoba, E., Bouzas-Cid, Y., Orriols-Fernández, I., and Mirás-Avalos, J. M. (2015). Effects of deficit irrigation on the performance of grapevine (Vitis vinifera L.) cv. ‘Godello’ and ‘Treixadura’ in Ribeiro, NW Spain. </w:t>
      </w:r>
      <w:r>
        <w:rPr>
          <w:i/>
          <w:iCs/>
        </w:rPr>
        <w:t>Agricultural Water Management</w:t>
      </w:r>
      <w:r>
        <w:t xml:space="preserve"> 161, 20–30. doi:10.1016/j.agwat.2015.07.011.</w:t>
      </w:r>
    </w:p>
    <w:p w14:paraId="2FD4073A" w14:textId="77777777" w:rsidR="00537A56" w:rsidRDefault="00537A56" w:rsidP="00DD0840">
      <w:pPr>
        <w:pStyle w:val="Bibliographie"/>
        <w:spacing w:before="0" w:after="0"/>
      </w:pPr>
      <w:r>
        <w:t xml:space="preserve">Trouvelot, S., Bonneau, L., Redecker, D., van Tuinen, D., Adrian, M., and Wipf, D. (2015). Arbuscular mycorrhiza symbiosis in viticulture: a review. </w:t>
      </w:r>
      <w:r>
        <w:rPr>
          <w:i/>
          <w:iCs/>
        </w:rPr>
        <w:t>Agron. Sustain. Dev.</w:t>
      </w:r>
      <w:r>
        <w:t xml:space="preserve"> 35, 1449–1467. doi:10.1007/s13593-015-0329-7.</w:t>
      </w:r>
    </w:p>
    <w:p w14:paraId="74261588" w14:textId="77777777" w:rsidR="00537A56" w:rsidRDefault="00537A56" w:rsidP="00DD0840">
      <w:pPr>
        <w:pStyle w:val="Bibliographie"/>
        <w:spacing w:before="0" w:after="0"/>
      </w:pPr>
      <w:r>
        <w:t xml:space="preserve">Valentini, G., Allegro, G., Pastore, C., Colucci, E., and Filippetti, I. (2019). Post-veraison trimming slow down sugar accumulation without modifying phenolic ripening in Sangiovese vines: Post-veraison trimming of Sangiovese vines. </w:t>
      </w:r>
      <w:r>
        <w:rPr>
          <w:i/>
          <w:iCs/>
        </w:rPr>
        <w:t>Journal of the Science of Food and Agriculture</w:t>
      </w:r>
      <w:r>
        <w:t xml:space="preserve"> 99, 1358–1365. doi:10.1002/jsfa.9311.</w:t>
      </w:r>
    </w:p>
    <w:p w14:paraId="7414FDF6" w14:textId="77777777" w:rsidR="00537A56" w:rsidRDefault="00537A56" w:rsidP="00DD0840">
      <w:pPr>
        <w:pStyle w:val="Bibliographie"/>
        <w:spacing w:before="0" w:after="0"/>
      </w:pPr>
      <w:r>
        <w:t xml:space="preserve">van Leeuwen, C., and Darriet, P. (2016). The Impact of Climate Change on Viticulture and Wine Quality. </w:t>
      </w:r>
      <w:r>
        <w:rPr>
          <w:i/>
          <w:iCs/>
        </w:rPr>
        <w:t>Journal of Wine Economics</w:t>
      </w:r>
      <w:r>
        <w:t xml:space="preserve"> 11, 150–167. doi:10.1017/jwe.2015.21.</w:t>
      </w:r>
    </w:p>
    <w:p w14:paraId="645FB46F" w14:textId="77777777" w:rsidR="00537A56" w:rsidRDefault="00537A56" w:rsidP="00DD0840">
      <w:pPr>
        <w:pStyle w:val="Bibliographie"/>
        <w:spacing w:before="0" w:after="0"/>
      </w:pPr>
      <w:r>
        <w:lastRenderedPageBreak/>
        <w:t xml:space="preserve">Van Leeuwen, C., Pieri, P., Gowdy, M., Ollat, N., and Roby, J.-P. (2019). Reduced density is an environmental friendly and cost effective solution to increase resilence to drought in vineyards in a contexte of climate change. </w:t>
      </w:r>
      <w:r>
        <w:rPr>
          <w:i/>
          <w:iCs/>
        </w:rPr>
        <w:t>OENO One</w:t>
      </w:r>
      <w:r>
        <w:t xml:space="preserve"> 53, 129–146. doi:10.20870/oeno-one.2019.53.2.2420.</w:t>
      </w:r>
    </w:p>
    <w:p w14:paraId="469A0015" w14:textId="77777777" w:rsidR="00537A56" w:rsidRDefault="00537A56" w:rsidP="00DD0840">
      <w:pPr>
        <w:pStyle w:val="Bibliographie"/>
        <w:spacing w:before="0" w:after="0"/>
      </w:pPr>
      <w:r>
        <w:t xml:space="preserve">Vaz, M., Coelho, R., Rato, A., Samara-Lima, R., Silva, L. L., Campostrini, E., et al. (2016). Adaptive strategies of two Mediterranean grapevines varieties (Aragonez syn. Tempranillo and Trincadeira) face drought: physiological and structural responses. </w:t>
      </w:r>
      <w:r>
        <w:rPr>
          <w:i/>
          <w:iCs/>
        </w:rPr>
        <w:t>Theor. Exp. Plant Physiol.</w:t>
      </w:r>
      <w:r>
        <w:t xml:space="preserve"> 28, 205–220. doi:10.1007/s40626-016-0074-6.</w:t>
      </w:r>
    </w:p>
    <w:p w14:paraId="1D0205D7" w14:textId="77777777" w:rsidR="00537A56" w:rsidRDefault="00537A56" w:rsidP="00DD0840">
      <w:pPr>
        <w:pStyle w:val="Bibliographie"/>
        <w:spacing w:before="0" w:after="0"/>
      </w:pPr>
      <w:r>
        <w:t xml:space="preserve">Wenter, A., Zanotelli, D., Montagnani, L., Tagliavini, M., and Andreotti, C. (2018). Effect of different timings and intensities of water stress on yield and berry composition of grapevine (cv. Sauvignon blanc) in a mountain environment. </w:t>
      </w:r>
      <w:r>
        <w:rPr>
          <w:i/>
          <w:iCs/>
        </w:rPr>
        <w:t>Scientia Horticulturae</w:t>
      </w:r>
      <w:r>
        <w:t xml:space="preserve"> 236, 137–145. doi:10.1016/j.scienta.2018.03.037.</w:t>
      </w:r>
    </w:p>
    <w:p w14:paraId="71A6C545" w14:textId="77777777" w:rsidR="00537A56" w:rsidRDefault="00537A56" w:rsidP="00DD0840">
      <w:pPr>
        <w:pStyle w:val="Bibliographie"/>
        <w:spacing w:before="0" w:after="0"/>
      </w:pPr>
      <w:r>
        <w:t xml:space="preserve">Wolkovich, E. M., Burge, D. O., Walker, M. A., and Nicholas, K. A. (2017). Phenological diversity provides opportunities for climate change adaptation in winegrapes. </w:t>
      </w:r>
      <w:r>
        <w:rPr>
          <w:i/>
          <w:iCs/>
        </w:rPr>
        <w:t>Journal of Ecology</w:t>
      </w:r>
      <w:r>
        <w:t xml:space="preserve"> 105, 905–912. doi:10.1111/1365-2745.12786.</w:t>
      </w:r>
    </w:p>
    <w:p w14:paraId="25EAE2CD" w14:textId="77777777" w:rsidR="00537A56" w:rsidRDefault="00537A56" w:rsidP="00DD0840">
      <w:pPr>
        <w:pStyle w:val="Bibliographie"/>
        <w:spacing w:before="0" w:after="0"/>
      </w:pPr>
      <w:r>
        <w:t xml:space="preserve">Zhang, L., Marguerit, E., Rossdeutsch, L., Ollat, N., and Gambetta, G. A. (2016). The influence of grapevine rootstocks on scion growth and drought resistance. </w:t>
      </w:r>
      <w:r>
        <w:rPr>
          <w:i/>
          <w:iCs/>
        </w:rPr>
        <w:t>Theor. Exp. Plant Physiol.</w:t>
      </w:r>
      <w:r>
        <w:t xml:space="preserve"> 28, 143–157. doi:10.1007/s40626-016-0070-x.</w:t>
      </w:r>
    </w:p>
    <w:p w14:paraId="3F0B9A54" w14:textId="77777777" w:rsidR="00537A56" w:rsidRDefault="00537A56" w:rsidP="00DD0840">
      <w:pPr>
        <w:pStyle w:val="Bibliographie"/>
        <w:spacing w:before="0" w:after="0"/>
      </w:pPr>
      <w:r>
        <w:t xml:space="preserve">Zhu, X., Moriondo, M., van Ierland, E. C., Trombi, G., and Bindi, M. (2016). A model-based assessment of adaptation options for Chianti wine production in Tuscany (Italy) under climate change. </w:t>
      </w:r>
      <w:r>
        <w:rPr>
          <w:i/>
          <w:iCs/>
        </w:rPr>
        <w:t>Reg Environ Change</w:t>
      </w:r>
      <w:r>
        <w:t xml:space="preserve"> 16, 85–96. doi:10.1007/s10113-014-0622-z.</w:t>
      </w:r>
    </w:p>
    <w:p w14:paraId="666D9CD2" w14:textId="3A8145A4" w:rsidR="00CD39DD" w:rsidRPr="00AD2ABD" w:rsidRDefault="00AD2ABD" w:rsidP="00DD0840">
      <w:pPr>
        <w:spacing w:before="0" w:after="0" w:line="276" w:lineRule="auto"/>
        <w:rPr>
          <w:rFonts w:cs="Times New Roman"/>
          <w:b/>
          <w:szCs w:val="24"/>
          <w:lang w:val="en-GB"/>
        </w:rPr>
      </w:pPr>
      <w:r>
        <w:rPr>
          <w:rFonts w:cs="Times New Roman"/>
          <w:b/>
          <w:szCs w:val="24"/>
          <w:lang w:val="fr-FR"/>
        </w:rPr>
        <w:fldChar w:fldCharType="end"/>
      </w:r>
      <w:r w:rsidR="00CD39DD" w:rsidRPr="00AD2ABD">
        <w:rPr>
          <w:rFonts w:cs="Times New Roman"/>
          <w:b/>
          <w:szCs w:val="24"/>
          <w:lang w:val="en-GB"/>
        </w:rPr>
        <w:br w:type="page"/>
      </w:r>
    </w:p>
    <w:p w14:paraId="04CDEAC5" w14:textId="614600C4" w:rsidR="00AD49E0" w:rsidRDefault="00AD49E0" w:rsidP="00AD49E0">
      <w:pPr>
        <w:keepNext/>
        <w:rPr>
          <w:rFonts w:cs="Times New Roman"/>
          <w:szCs w:val="24"/>
        </w:rPr>
      </w:pPr>
      <w:r w:rsidRPr="0001436A">
        <w:rPr>
          <w:rFonts w:cs="Times New Roman"/>
          <w:b/>
          <w:szCs w:val="24"/>
        </w:rPr>
        <w:lastRenderedPageBreak/>
        <w:t xml:space="preserve">Supplementary </w:t>
      </w:r>
      <w:r>
        <w:rPr>
          <w:rFonts w:cs="Times New Roman"/>
          <w:b/>
          <w:szCs w:val="24"/>
        </w:rPr>
        <w:t>Figure</w:t>
      </w:r>
      <w:r w:rsidRPr="0001436A">
        <w:rPr>
          <w:rFonts w:cs="Times New Roman"/>
          <w:b/>
          <w:szCs w:val="24"/>
        </w:rPr>
        <w:t xml:space="preserve"> </w:t>
      </w:r>
      <w:r>
        <w:rPr>
          <w:rFonts w:cs="Times New Roman"/>
          <w:b/>
          <w:szCs w:val="24"/>
        </w:rPr>
        <w:t>1</w:t>
      </w:r>
      <w:r w:rsidRPr="0001436A">
        <w:rPr>
          <w:rFonts w:cs="Times New Roman"/>
          <w:b/>
          <w:szCs w:val="24"/>
        </w:rPr>
        <w:t>.</w:t>
      </w:r>
      <w:r w:rsidRPr="001549D3">
        <w:rPr>
          <w:rFonts w:cs="Times New Roman"/>
          <w:szCs w:val="24"/>
        </w:rPr>
        <w:t xml:space="preserve"> </w:t>
      </w:r>
      <w:r>
        <w:rPr>
          <w:rFonts w:cs="Times New Roman"/>
          <w:szCs w:val="24"/>
        </w:rPr>
        <w:t xml:space="preserve">Number of results by study and by adaptation </w:t>
      </w:r>
      <w:r w:rsidRPr="00DB4AAA">
        <w:rPr>
          <w:rFonts w:cs="Times New Roman"/>
          <w:szCs w:val="24"/>
        </w:rPr>
        <w:t xml:space="preserve">indicating a </w:t>
      </w:r>
      <w:r>
        <w:rPr>
          <w:rFonts w:cs="Times New Roman"/>
          <w:szCs w:val="24"/>
        </w:rPr>
        <w:t>quantitative impact of adaptation on various outputs</w:t>
      </w:r>
      <w:r w:rsidR="00D42AA9">
        <w:rPr>
          <w:rFonts w:cs="Times New Roman"/>
          <w:szCs w:val="24"/>
        </w:rPr>
        <w:t xml:space="preserve"> (FWE: freshwater ecosystem, BC: berry composition, Y: yield, P: phenology, WS: water status)</w:t>
      </w:r>
      <w:r>
        <w:rPr>
          <w:rFonts w:cs="Times New Roman"/>
          <w:szCs w:val="24"/>
        </w:rPr>
        <w:t>, summarized in Figure 5</w:t>
      </w:r>
      <w:r w:rsidR="00D7661A">
        <w:rPr>
          <w:rFonts w:cs="Times New Roman"/>
          <w:szCs w:val="24"/>
        </w:rPr>
        <w:t xml:space="preserve">See in the material and method (Section 2) the signification of </w:t>
      </w:r>
      <w:r w:rsidR="00D42AA9">
        <w:rPr>
          <w:rFonts w:cs="Times New Roman"/>
          <w:szCs w:val="24"/>
        </w:rPr>
        <w:t>Negative</w:t>
      </w:r>
      <w:r w:rsidR="00D7661A">
        <w:rPr>
          <w:rFonts w:cs="Times New Roman"/>
          <w:szCs w:val="24"/>
        </w:rPr>
        <w:t xml:space="preserve"> (N)</w:t>
      </w:r>
      <w:r w:rsidR="00D42AA9">
        <w:rPr>
          <w:rFonts w:cs="Times New Roman"/>
          <w:szCs w:val="24"/>
        </w:rPr>
        <w:t>,</w:t>
      </w:r>
      <w:r w:rsidR="00D7661A">
        <w:rPr>
          <w:rFonts w:cs="Times New Roman"/>
          <w:szCs w:val="24"/>
        </w:rPr>
        <w:t xml:space="preserve"> Neutral and </w:t>
      </w:r>
      <w:r w:rsidR="00D42AA9">
        <w:rPr>
          <w:rFonts w:cs="Times New Roman"/>
          <w:szCs w:val="24"/>
        </w:rPr>
        <w:t>Positive</w:t>
      </w:r>
      <w:r w:rsidR="00D7661A">
        <w:rPr>
          <w:rFonts w:cs="Times New Roman"/>
          <w:szCs w:val="24"/>
        </w:rPr>
        <w:t xml:space="preserve"> (P)</w:t>
      </w:r>
      <w:r>
        <w:rPr>
          <w:rFonts w:cs="Times New Roman"/>
          <w:szCs w:val="24"/>
        </w:rPr>
        <w:t xml:space="preserve"> </w:t>
      </w:r>
      <w:r w:rsidR="00D7661A">
        <w:rPr>
          <w:rFonts w:cs="Times New Roman"/>
          <w:szCs w:val="24"/>
        </w:rPr>
        <w:t xml:space="preserve">effects. </w:t>
      </w:r>
    </w:p>
    <w:p w14:paraId="49BC25D6" w14:textId="2EB7087E" w:rsidR="00D42AA9" w:rsidRDefault="00D42AA9" w:rsidP="00D42AA9">
      <w:pPr>
        <w:keepNext/>
        <w:rPr>
          <w:rFonts w:cs="Times New Roman"/>
          <w:szCs w:val="24"/>
        </w:rPr>
      </w:pPr>
      <w:r>
        <w:rPr>
          <w:rFonts w:cs="Times New Roman"/>
          <w:szCs w:val="24"/>
        </w:rPr>
        <w:t>A)</w:t>
      </w:r>
      <w:r w:rsidRPr="00D42AA9">
        <w:rPr>
          <w:rFonts w:cs="Times New Roman"/>
          <w:szCs w:val="24"/>
        </w:rPr>
        <w:t xml:space="preserve"> </w:t>
      </w:r>
      <w:r>
        <w:rPr>
          <w:rFonts w:cs="Times New Roman"/>
          <w:szCs w:val="24"/>
        </w:rPr>
        <w:t>Long-term adaptation</w:t>
      </w:r>
      <w:r w:rsidR="00D7661A">
        <w:rPr>
          <w:rFonts w:cs="Times New Roman"/>
          <w:szCs w:val="24"/>
        </w:rPr>
        <w:t>s</w:t>
      </w:r>
    </w:p>
    <w:p w14:paraId="046EA980" w14:textId="48769143" w:rsidR="00D42AA9" w:rsidRDefault="00D7661A" w:rsidP="00DB4AAA">
      <w:pPr>
        <w:keepNext/>
        <w:rPr>
          <w:rFonts w:cs="Times New Roman"/>
          <w:szCs w:val="24"/>
        </w:rPr>
      </w:pPr>
      <w:r>
        <w:rPr>
          <w:rFonts w:cs="Times New Roman"/>
          <w:noProof/>
          <w:szCs w:val="24"/>
          <w:lang w:val="en-GB" w:eastAsia="en-GB"/>
        </w:rPr>
        <w:drawing>
          <wp:inline distT="0" distB="0" distL="0" distR="0" wp14:anchorId="7AA05834" wp14:editId="5F8D0B3C">
            <wp:extent cx="7062627" cy="482600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9950" cy="4831004"/>
                    </a:xfrm>
                    <a:prstGeom prst="rect">
                      <a:avLst/>
                    </a:prstGeom>
                    <a:noFill/>
                  </pic:spPr>
                </pic:pic>
              </a:graphicData>
            </a:graphic>
          </wp:inline>
        </w:drawing>
      </w:r>
    </w:p>
    <w:p w14:paraId="6842BB01" w14:textId="0789A83D" w:rsidR="00DB4AAA" w:rsidRPr="00017630" w:rsidRDefault="00D42AA9" w:rsidP="00017630">
      <w:pPr>
        <w:keepNext/>
        <w:rPr>
          <w:rFonts w:cs="Times New Roman"/>
          <w:szCs w:val="24"/>
        </w:rPr>
      </w:pPr>
      <w:r>
        <w:rPr>
          <w:rFonts w:cs="Times New Roman"/>
          <w:szCs w:val="24"/>
        </w:rPr>
        <w:lastRenderedPageBreak/>
        <w:t>B) Short term adaptation</w:t>
      </w:r>
      <w:r w:rsidR="00D7661A">
        <w:rPr>
          <w:rFonts w:cs="Times New Roman"/>
          <w:szCs w:val="24"/>
        </w:rPr>
        <w:t>s</w:t>
      </w:r>
      <w:r>
        <w:rPr>
          <w:rFonts w:cs="Times New Roman"/>
          <w:szCs w:val="24"/>
        </w:rPr>
        <w:t xml:space="preserve"> (HM: Harvest and post-harvest management)</w:t>
      </w:r>
      <w:r w:rsidR="00A21E28">
        <w:rPr>
          <w:rFonts w:cs="Times New Roman"/>
          <w:noProof/>
          <w:szCs w:val="24"/>
          <w:lang w:val="en-GB" w:eastAsia="en-GB"/>
        </w:rPr>
        <w:drawing>
          <wp:inline distT="0" distB="0" distL="0" distR="0" wp14:anchorId="7B031366" wp14:editId="562E9FB9">
            <wp:extent cx="7797056" cy="5391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7494" cy="5405282"/>
                    </a:xfrm>
                    <a:prstGeom prst="rect">
                      <a:avLst/>
                    </a:prstGeom>
                    <a:noFill/>
                  </pic:spPr>
                </pic:pic>
              </a:graphicData>
            </a:graphic>
          </wp:inline>
        </w:drawing>
      </w:r>
      <w:r w:rsidR="00DB4AAA">
        <w:rPr>
          <w:rFonts w:cs="Times New Roman"/>
          <w:b/>
          <w:szCs w:val="24"/>
        </w:rPr>
        <w:br w:type="page"/>
      </w:r>
    </w:p>
    <w:p w14:paraId="3AE196DF" w14:textId="5DB29061" w:rsidR="00994A3D" w:rsidRDefault="002F5D48" w:rsidP="002B4A57">
      <w:pPr>
        <w:keepNext/>
        <w:rPr>
          <w:rFonts w:cs="Times New Roman"/>
          <w:szCs w:val="24"/>
        </w:rPr>
      </w:pPr>
      <w:r w:rsidRPr="0001436A">
        <w:rPr>
          <w:rFonts w:cs="Times New Roman"/>
          <w:b/>
          <w:szCs w:val="24"/>
        </w:rPr>
        <w:lastRenderedPageBreak/>
        <w:t xml:space="preserve">Supplementary </w:t>
      </w:r>
      <w:r>
        <w:rPr>
          <w:rFonts w:cs="Times New Roman"/>
          <w:b/>
          <w:szCs w:val="24"/>
        </w:rPr>
        <w:t>Table</w:t>
      </w:r>
      <w:r w:rsidRPr="0001436A">
        <w:rPr>
          <w:rFonts w:cs="Times New Roman"/>
          <w:b/>
          <w:szCs w:val="24"/>
        </w:rPr>
        <w:t xml:space="preserve"> </w:t>
      </w:r>
      <w:r w:rsidR="00017630">
        <w:rPr>
          <w:rFonts w:cs="Times New Roman"/>
          <w:b/>
          <w:szCs w:val="24"/>
        </w:rPr>
        <w:t>2</w:t>
      </w:r>
      <w:r w:rsidRPr="0001436A">
        <w:rPr>
          <w:rFonts w:cs="Times New Roman"/>
          <w:b/>
          <w:szCs w:val="24"/>
        </w:rPr>
        <w:t>.</w:t>
      </w:r>
      <w:r w:rsidRPr="001549D3">
        <w:rPr>
          <w:rFonts w:cs="Times New Roman"/>
          <w:szCs w:val="24"/>
        </w:rPr>
        <w:t xml:space="preserve"> </w:t>
      </w:r>
      <w:r w:rsidR="00CD39DD">
        <w:rPr>
          <w:rFonts w:cs="Times New Roman"/>
          <w:szCs w:val="24"/>
        </w:rPr>
        <w:t>Complete list of i</w:t>
      </w:r>
      <w:r w:rsidR="00CD39DD" w:rsidRPr="00CD39DD">
        <w:rPr>
          <w:rFonts w:cs="Times New Roman"/>
          <w:szCs w:val="24"/>
        </w:rPr>
        <w:t>ndicators of evaluation</w:t>
      </w:r>
      <w:r w:rsidR="0016459F">
        <w:rPr>
          <w:rFonts w:cs="Times New Roman"/>
          <w:szCs w:val="24"/>
        </w:rPr>
        <w:t xml:space="preserve"> with associated references</w:t>
      </w:r>
      <w:r w:rsidR="00AB675F">
        <w:rPr>
          <w:rFonts w:cs="Times New Roman"/>
          <w:szCs w:val="24"/>
        </w:rPr>
        <w:t xml:space="preserve"> (</w:t>
      </w:r>
      <w:proofErr w:type="spellStart"/>
      <w:r w:rsidR="00AB675F">
        <w:rPr>
          <w:rFonts w:cs="Times New Roman"/>
          <w:szCs w:val="24"/>
        </w:rPr>
        <w:t>m</w:t>
      </w:r>
      <w:r w:rsidR="00C34525">
        <w:rPr>
          <w:rFonts w:cs="Times New Roman"/>
          <w:szCs w:val="24"/>
        </w:rPr>
        <w:t>anag</w:t>
      </w:r>
      <w:proofErr w:type="spellEnd"/>
      <w:r w:rsidR="00C34525">
        <w:rPr>
          <w:rFonts w:cs="Times New Roman"/>
          <w:szCs w:val="24"/>
        </w:rPr>
        <w:t xml:space="preserve"> = management</w:t>
      </w:r>
      <w:r w:rsidR="00AB675F">
        <w:rPr>
          <w:rFonts w:cs="Times New Roman"/>
          <w:szCs w:val="24"/>
        </w:rPr>
        <w:t>, select = selection)</w:t>
      </w:r>
    </w:p>
    <w:tbl>
      <w:tblPr>
        <w:tblW w:w="5016" w:type="pct"/>
        <w:tblInd w:w="-856" w:type="dxa"/>
        <w:tblLook w:val="04A0" w:firstRow="1" w:lastRow="0" w:firstColumn="1" w:lastColumn="0" w:noHBand="0" w:noVBand="1"/>
      </w:tblPr>
      <w:tblGrid>
        <w:gridCol w:w="1062"/>
        <w:gridCol w:w="1921"/>
        <w:gridCol w:w="2267"/>
        <w:gridCol w:w="1418"/>
        <w:gridCol w:w="1701"/>
        <w:gridCol w:w="1276"/>
        <w:gridCol w:w="1559"/>
        <w:gridCol w:w="1276"/>
        <w:gridCol w:w="1127"/>
      </w:tblGrid>
      <w:tr w:rsidR="009349CB" w:rsidRPr="00CD39DD" w14:paraId="1AD7B90E" w14:textId="77777777" w:rsidTr="00645340">
        <w:trPr>
          <w:gridAfter w:val="6"/>
          <w:wAfter w:w="3070" w:type="pct"/>
          <w:cantSplit/>
        </w:trPr>
        <w:tc>
          <w:tcPr>
            <w:tcW w:w="1096" w:type="pct"/>
            <w:gridSpan w:val="2"/>
            <w:vMerge w:val="restart"/>
            <w:tcBorders>
              <w:right w:val="nil"/>
            </w:tcBorders>
          </w:tcPr>
          <w:p w14:paraId="3DFA3F36" w14:textId="77777777" w:rsidR="009349CB" w:rsidRPr="00CD39DD" w:rsidRDefault="009349CB" w:rsidP="00AB675F">
            <w:pPr>
              <w:keepNext/>
              <w:spacing w:before="0" w:after="0" w:line="300" w:lineRule="atLeast"/>
              <w:jc w:val="both"/>
              <w:rPr>
                <w:rFonts w:ascii="Calibri" w:eastAsia="Calibri" w:hAnsi="Calibri" w:cs="Times New Roman"/>
                <w:sz w:val="18"/>
                <w:lang w:val="en-GB"/>
              </w:rPr>
            </w:pPr>
          </w:p>
        </w:tc>
        <w:tc>
          <w:tcPr>
            <w:tcW w:w="833" w:type="pct"/>
            <w:tcBorders>
              <w:top w:val="single" w:sz="4" w:space="0" w:color="auto"/>
              <w:left w:val="nil"/>
              <w:bottom w:val="single" w:sz="4" w:space="0" w:color="auto"/>
              <w:right w:val="nil"/>
            </w:tcBorders>
          </w:tcPr>
          <w:p w14:paraId="4457DD26" w14:textId="77777777" w:rsidR="009349CB" w:rsidRPr="00CD39DD" w:rsidRDefault="009349CB" w:rsidP="00AB675F">
            <w:pPr>
              <w:keepNext/>
              <w:spacing w:before="0" w:after="0" w:line="300" w:lineRule="atLeast"/>
              <w:jc w:val="both"/>
              <w:rPr>
                <w:rFonts w:ascii="Calibri" w:eastAsia="Calibri" w:hAnsi="Calibri" w:cs="Times New Roman"/>
                <w:sz w:val="18"/>
                <w:lang w:val="en-GB"/>
              </w:rPr>
            </w:pPr>
            <w:r w:rsidRPr="00CD39DD">
              <w:rPr>
                <w:rFonts w:ascii="Calibri" w:eastAsia="Calibri" w:hAnsi="Calibri" w:cs="Times New Roman"/>
                <w:sz w:val="18"/>
                <w:lang w:val="en-GB"/>
              </w:rPr>
              <w:t>Adaptations</w:t>
            </w:r>
          </w:p>
        </w:tc>
      </w:tr>
      <w:tr w:rsidR="009349CB" w:rsidRPr="00CD39DD" w14:paraId="4FA26053" w14:textId="77777777" w:rsidTr="00645340">
        <w:trPr>
          <w:cantSplit/>
        </w:trPr>
        <w:tc>
          <w:tcPr>
            <w:tcW w:w="1096" w:type="pct"/>
            <w:gridSpan w:val="2"/>
            <w:vMerge/>
            <w:tcBorders>
              <w:bottom w:val="single" w:sz="4" w:space="0" w:color="auto"/>
              <w:right w:val="nil"/>
            </w:tcBorders>
          </w:tcPr>
          <w:p w14:paraId="60E3217B" w14:textId="77777777" w:rsidR="009349CB" w:rsidRPr="00CD39DD" w:rsidRDefault="009349CB" w:rsidP="00AB675F">
            <w:pPr>
              <w:keepNext/>
              <w:spacing w:before="0" w:after="0" w:line="300" w:lineRule="atLeast"/>
              <w:jc w:val="both"/>
              <w:rPr>
                <w:rFonts w:ascii="Calibri" w:eastAsia="Calibri" w:hAnsi="Calibri" w:cs="Times New Roman"/>
                <w:sz w:val="18"/>
                <w:lang w:val="en-GB"/>
              </w:rPr>
            </w:pPr>
          </w:p>
        </w:tc>
        <w:tc>
          <w:tcPr>
            <w:tcW w:w="833" w:type="pct"/>
            <w:tcBorders>
              <w:top w:val="single" w:sz="4" w:space="0" w:color="auto"/>
              <w:left w:val="nil"/>
              <w:bottom w:val="single" w:sz="4" w:space="0" w:color="auto"/>
              <w:right w:val="nil"/>
            </w:tcBorders>
          </w:tcPr>
          <w:p w14:paraId="04884BE5" w14:textId="77777777" w:rsidR="009349CB" w:rsidRPr="00CD39DD" w:rsidRDefault="009349CB" w:rsidP="00AB675F">
            <w:pPr>
              <w:keepNext/>
              <w:spacing w:before="0" w:after="0" w:line="300" w:lineRule="atLeast"/>
              <w:jc w:val="both"/>
              <w:rPr>
                <w:rFonts w:ascii="Calibri" w:eastAsia="Calibri" w:hAnsi="Calibri" w:cs="Times New Roman"/>
                <w:sz w:val="18"/>
                <w:lang w:val="en-GB"/>
              </w:rPr>
            </w:pPr>
            <w:r w:rsidRPr="00CD39DD">
              <w:rPr>
                <w:rFonts w:ascii="Calibri" w:eastAsia="Calibri" w:hAnsi="Calibri" w:cs="Times New Roman"/>
                <w:sz w:val="18"/>
                <w:lang w:val="en-GB"/>
              </w:rPr>
              <w:t>Irrigation</w:t>
            </w:r>
          </w:p>
        </w:tc>
        <w:tc>
          <w:tcPr>
            <w:tcW w:w="521" w:type="pct"/>
            <w:tcBorders>
              <w:top w:val="single" w:sz="4" w:space="0" w:color="auto"/>
              <w:left w:val="nil"/>
              <w:bottom w:val="single" w:sz="4" w:space="0" w:color="auto"/>
              <w:right w:val="nil"/>
            </w:tcBorders>
          </w:tcPr>
          <w:p w14:paraId="7BD44C5B" w14:textId="77777777" w:rsidR="009349CB" w:rsidRPr="00CD39DD" w:rsidRDefault="009349CB" w:rsidP="00AB675F">
            <w:pPr>
              <w:keepNext/>
              <w:spacing w:before="0" w:after="0" w:line="300" w:lineRule="atLeast"/>
              <w:jc w:val="both"/>
              <w:rPr>
                <w:rFonts w:ascii="Calibri" w:eastAsia="Calibri" w:hAnsi="Calibri" w:cs="Times New Roman"/>
                <w:sz w:val="18"/>
                <w:lang w:val="en-GB"/>
              </w:rPr>
            </w:pPr>
            <w:r w:rsidRPr="00CD39DD">
              <w:rPr>
                <w:rFonts w:ascii="Calibri" w:eastAsia="Calibri" w:hAnsi="Calibri" w:cs="Times New Roman"/>
                <w:sz w:val="18"/>
                <w:lang w:val="en-GB"/>
              </w:rPr>
              <w:t>Plant material</w:t>
            </w:r>
          </w:p>
        </w:tc>
        <w:tc>
          <w:tcPr>
            <w:tcW w:w="625" w:type="pct"/>
            <w:tcBorders>
              <w:top w:val="single" w:sz="4" w:space="0" w:color="auto"/>
              <w:left w:val="nil"/>
              <w:bottom w:val="single" w:sz="4" w:space="0" w:color="auto"/>
              <w:right w:val="nil"/>
            </w:tcBorders>
            <w:vAlign w:val="center"/>
          </w:tcPr>
          <w:p w14:paraId="1A8239CB" w14:textId="77777777" w:rsidR="009349CB" w:rsidRPr="00CD39DD" w:rsidRDefault="009349CB" w:rsidP="00AB675F">
            <w:pPr>
              <w:keepNext/>
              <w:spacing w:before="0" w:after="0" w:line="300" w:lineRule="atLeast"/>
              <w:jc w:val="both"/>
              <w:rPr>
                <w:rFonts w:ascii="Calibri" w:eastAsia="Calibri" w:hAnsi="Calibri" w:cs="Times New Roman"/>
                <w:sz w:val="18"/>
                <w:lang w:val="en-GB"/>
              </w:rPr>
            </w:pPr>
            <w:r w:rsidRPr="00CD39DD">
              <w:rPr>
                <w:rFonts w:ascii="Calibri" w:eastAsia="Calibri" w:hAnsi="Calibri" w:cs="Times New Roman"/>
                <w:sz w:val="18"/>
                <w:lang w:val="en-GB"/>
              </w:rPr>
              <w:t xml:space="preserve">Canopy </w:t>
            </w:r>
            <w:proofErr w:type="spellStart"/>
            <w:r w:rsidRPr="00CD39DD">
              <w:rPr>
                <w:rFonts w:ascii="Calibri" w:eastAsia="Calibri" w:hAnsi="Calibri" w:cs="Times New Roman"/>
                <w:sz w:val="18"/>
                <w:lang w:val="en-GB"/>
              </w:rPr>
              <w:t>manag</w:t>
            </w:r>
            <w:proofErr w:type="spellEnd"/>
            <w:r w:rsidRPr="00CD39DD">
              <w:rPr>
                <w:rFonts w:ascii="Calibri" w:eastAsia="Calibri" w:hAnsi="Calibri" w:cs="Times New Roman"/>
                <w:sz w:val="18"/>
                <w:lang w:val="en-GB"/>
              </w:rPr>
              <w:t>.</w:t>
            </w:r>
          </w:p>
        </w:tc>
        <w:tc>
          <w:tcPr>
            <w:tcW w:w="469" w:type="pct"/>
            <w:tcBorders>
              <w:top w:val="single" w:sz="4" w:space="0" w:color="auto"/>
              <w:left w:val="nil"/>
              <w:bottom w:val="single" w:sz="4" w:space="0" w:color="auto"/>
              <w:right w:val="nil"/>
            </w:tcBorders>
            <w:vAlign w:val="center"/>
          </w:tcPr>
          <w:p w14:paraId="10EFE89B" w14:textId="77777777" w:rsidR="009349CB" w:rsidRPr="00CD39DD" w:rsidRDefault="009349CB" w:rsidP="00AB675F">
            <w:pPr>
              <w:keepNext/>
              <w:spacing w:before="0" w:after="0" w:line="300" w:lineRule="atLeast"/>
              <w:jc w:val="both"/>
              <w:rPr>
                <w:rFonts w:ascii="Calibri" w:eastAsia="Calibri" w:hAnsi="Calibri" w:cs="Times New Roman"/>
                <w:sz w:val="18"/>
                <w:lang w:val="en-GB"/>
              </w:rPr>
            </w:pPr>
            <w:r w:rsidRPr="00CD39DD">
              <w:rPr>
                <w:rFonts w:ascii="Calibri" w:eastAsia="Calibri" w:hAnsi="Calibri" w:cs="Times New Roman"/>
                <w:sz w:val="18"/>
                <w:lang w:val="en-GB"/>
              </w:rPr>
              <w:t xml:space="preserve">Soil </w:t>
            </w:r>
            <w:proofErr w:type="spellStart"/>
            <w:r w:rsidRPr="00CD39DD">
              <w:rPr>
                <w:rFonts w:ascii="Calibri" w:eastAsia="Calibri" w:hAnsi="Calibri" w:cs="Times New Roman"/>
                <w:sz w:val="18"/>
                <w:lang w:val="en-GB"/>
              </w:rPr>
              <w:t>manag</w:t>
            </w:r>
            <w:proofErr w:type="spellEnd"/>
            <w:r w:rsidRPr="00CD39DD">
              <w:rPr>
                <w:rFonts w:ascii="Calibri" w:eastAsia="Calibri" w:hAnsi="Calibri" w:cs="Times New Roman"/>
                <w:sz w:val="18"/>
                <w:lang w:val="en-GB"/>
              </w:rPr>
              <w:t>.</w:t>
            </w:r>
          </w:p>
        </w:tc>
        <w:tc>
          <w:tcPr>
            <w:tcW w:w="573" w:type="pct"/>
            <w:tcBorders>
              <w:top w:val="single" w:sz="4" w:space="0" w:color="auto"/>
              <w:left w:val="nil"/>
              <w:bottom w:val="single" w:sz="4" w:space="0" w:color="auto"/>
              <w:right w:val="nil"/>
            </w:tcBorders>
          </w:tcPr>
          <w:p w14:paraId="5027C4E3" w14:textId="65E4B899" w:rsidR="009349CB" w:rsidRPr="00CD39DD" w:rsidRDefault="009349CB" w:rsidP="00AB675F">
            <w:pPr>
              <w:keepNext/>
              <w:spacing w:before="0" w:after="0" w:line="300" w:lineRule="atLeast"/>
              <w:jc w:val="both"/>
              <w:rPr>
                <w:rFonts w:ascii="Calibri" w:eastAsia="Calibri" w:hAnsi="Calibri" w:cs="Times New Roman"/>
                <w:sz w:val="18"/>
                <w:lang w:val="en-GB"/>
              </w:rPr>
            </w:pPr>
            <w:r>
              <w:rPr>
                <w:rFonts w:ascii="Calibri" w:eastAsia="Calibri" w:hAnsi="Calibri" w:cs="Times New Roman"/>
                <w:sz w:val="18"/>
                <w:lang w:val="en-GB"/>
              </w:rPr>
              <w:t>Vineyard design</w:t>
            </w:r>
          </w:p>
        </w:tc>
        <w:tc>
          <w:tcPr>
            <w:tcW w:w="469" w:type="pct"/>
            <w:tcBorders>
              <w:top w:val="single" w:sz="4" w:space="0" w:color="auto"/>
              <w:left w:val="nil"/>
              <w:bottom w:val="single" w:sz="4" w:space="0" w:color="auto"/>
              <w:right w:val="nil"/>
            </w:tcBorders>
          </w:tcPr>
          <w:p w14:paraId="20B91FDE" w14:textId="77777777" w:rsidR="009349CB" w:rsidRPr="00CD39DD" w:rsidRDefault="009349CB" w:rsidP="00AB675F">
            <w:pPr>
              <w:keepNext/>
              <w:spacing w:before="0" w:after="0" w:line="300" w:lineRule="atLeast"/>
              <w:jc w:val="both"/>
              <w:rPr>
                <w:rFonts w:ascii="Calibri" w:eastAsia="Calibri" w:hAnsi="Calibri" w:cs="Times New Roman"/>
                <w:sz w:val="18"/>
                <w:lang w:val="en-GB"/>
              </w:rPr>
            </w:pPr>
            <w:r w:rsidRPr="00CD39DD">
              <w:rPr>
                <w:rFonts w:ascii="Calibri" w:eastAsia="Calibri" w:hAnsi="Calibri" w:cs="Times New Roman"/>
                <w:sz w:val="18"/>
                <w:lang w:val="en-GB"/>
              </w:rPr>
              <w:t>Farm strategy</w:t>
            </w:r>
          </w:p>
        </w:tc>
        <w:tc>
          <w:tcPr>
            <w:tcW w:w="414" w:type="pct"/>
            <w:tcBorders>
              <w:top w:val="single" w:sz="4" w:space="0" w:color="auto"/>
              <w:left w:val="nil"/>
              <w:bottom w:val="single" w:sz="4" w:space="0" w:color="auto"/>
            </w:tcBorders>
          </w:tcPr>
          <w:p w14:paraId="79085499" w14:textId="44B22063" w:rsidR="009349CB" w:rsidRPr="00CD39DD" w:rsidRDefault="009349CB" w:rsidP="00AB675F">
            <w:pPr>
              <w:keepNext/>
              <w:spacing w:before="0" w:after="0" w:line="300" w:lineRule="atLeast"/>
              <w:jc w:val="both"/>
              <w:rPr>
                <w:rFonts w:ascii="Calibri" w:eastAsia="Calibri" w:hAnsi="Calibri" w:cs="Times New Roman"/>
                <w:sz w:val="18"/>
                <w:lang w:val="en-GB"/>
              </w:rPr>
            </w:pPr>
            <w:r w:rsidRPr="00CD39DD">
              <w:rPr>
                <w:rFonts w:ascii="Calibri" w:eastAsia="Calibri" w:hAnsi="Calibri" w:cs="Times New Roman"/>
                <w:sz w:val="18"/>
                <w:lang w:val="en-GB"/>
              </w:rPr>
              <w:t>Site select</w:t>
            </w:r>
            <w:r w:rsidR="00645340">
              <w:rPr>
                <w:rFonts w:ascii="Calibri" w:eastAsia="Calibri" w:hAnsi="Calibri" w:cs="Times New Roman"/>
                <w:sz w:val="18"/>
                <w:lang w:val="en-GB"/>
              </w:rPr>
              <w:t>.</w:t>
            </w:r>
          </w:p>
        </w:tc>
      </w:tr>
      <w:tr w:rsidR="00AB675F" w:rsidRPr="00CD39DD" w14:paraId="2E305266" w14:textId="77777777" w:rsidTr="00645340">
        <w:trPr>
          <w:cantSplit/>
        </w:trPr>
        <w:tc>
          <w:tcPr>
            <w:tcW w:w="390" w:type="pct"/>
            <w:vMerge w:val="restart"/>
            <w:tcBorders>
              <w:right w:val="nil"/>
            </w:tcBorders>
          </w:tcPr>
          <w:p w14:paraId="23563BFA" w14:textId="77777777" w:rsidR="009349CB" w:rsidRPr="00CD39DD" w:rsidRDefault="009349CB"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Plant scale</w:t>
            </w:r>
          </w:p>
        </w:tc>
        <w:tc>
          <w:tcPr>
            <w:tcW w:w="706" w:type="pct"/>
            <w:tcBorders>
              <w:left w:val="nil"/>
              <w:right w:val="nil"/>
            </w:tcBorders>
          </w:tcPr>
          <w:p w14:paraId="3E47A7E8" w14:textId="77777777" w:rsidR="009349CB" w:rsidRPr="00CD39DD" w:rsidRDefault="009349CB"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Gas exchanges*</w:t>
            </w:r>
          </w:p>
        </w:tc>
        <w:tc>
          <w:tcPr>
            <w:tcW w:w="833" w:type="pct"/>
            <w:tcBorders>
              <w:top w:val="single" w:sz="4" w:space="0" w:color="auto"/>
              <w:left w:val="nil"/>
              <w:right w:val="nil"/>
            </w:tcBorders>
          </w:tcPr>
          <w:p w14:paraId="5E015110" w14:textId="592C828F"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1" w:name="_Ref42348846"/>
            <w:r w:rsidRPr="0015499D">
              <w:rPr>
                <w:rStyle w:val="Appeldenotedefin"/>
                <w:sz w:val="20"/>
                <w:vertAlign w:val="baseline"/>
              </w:rPr>
              <w:endnoteReference w:id="1"/>
            </w:r>
            <w:bookmarkEnd w:id="1"/>
            <w:r w:rsidRPr="0015499D">
              <w:rPr>
                <w:rFonts w:ascii="Calibri" w:eastAsia="Calibri" w:hAnsi="Calibri" w:cs="Calibri"/>
                <w:sz w:val="20"/>
                <w:szCs w:val="24"/>
                <w:lang w:val="en-GB"/>
              </w:rPr>
              <w:t xml:space="preserve">, </w:t>
            </w:r>
            <w:bookmarkStart w:id="2" w:name="_Ref42348981"/>
            <w:r w:rsidRPr="0015499D">
              <w:rPr>
                <w:rStyle w:val="Appeldenotedefin"/>
                <w:sz w:val="20"/>
                <w:vertAlign w:val="baseline"/>
              </w:rPr>
              <w:endnoteReference w:id="2"/>
            </w:r>
            <w:bookmarkEnd w:id="2"/>
            <w:r w:rsidRPr="0015499D">
              <w:rPr>
                <w:rFonts w:ascii="Calibri" w:eastAsia="Calibri" w:hAnsi="Calibri" w:cs="Calibri"/>
                <w:sz w:val="20"/>
                <w:szCs w:val="24"/>
                <w:lang w:val="en-GB"/>
              </w:rPr>
              <w:t xml:space="preserve">, </w:t>
            </w:r>
            <w:bookmarkStart w:id="3" w:name="_Ref42349136"/>
            <w:r w:rsidRPr="0015499D">
              <w:rPr>
                <w:rStyle w:val="Appeldenotedefin"/>
                <w:sz w:val="20"/>
                <w:vertAlign w:val="baseline"/>
              </w:rPr>
              <w:endnoteReference w:id="3"/>
            </w:r>
            <w:bookmarkEnd w:id="3"/>
            <w:r w:rsidRPr="0015499D">
              <w:rPr>
                <w:rFonts w:ascii="Calibri" w:eastAsia="Calibri" w:hAnsi="Calibri" w:cs="Calibri"/>
                <w:sz w:val="20"/>
                <w:szCs w:val="24"/>
                <w:lang w:val="en-GB"/>
              </w:rPr>
              <w:t>,</w:t>
            </w:r>
            <w:bookmarkStart w:id="4" w:name="_Ref42349223"/>
            <w:r w:rsidRPr="0015499D">
              <w:rPr>
                <w:rFonts w:ascii="Calibri" w:eastAsia="Calibri" w:hAnsi="Calibri" w:cs="Calibri"/>
                <w:sz w:val="20"/>
                <w:szCs w:val="24"/>
                <w:lang w:val="en-GB"/>
              </w:rPr>
              <w:t xml:space="preserve"> </w:t>
            </w:r>
            <w:r w:rsidRPr="0015499D">
              <w:rPr>
                <w:rStyle w:val="Appeldenotedefin"/>
                <w:sz w:val="20"/>
                <w:vertAlign w:val="baseline"/>
              </w:rPr>
              <w:endnoteReference w:id="4"/>
            </w:r>
            <w:bookmarkEnd w:id="4"/>
            <w:r w:rsidRPr="0015499D">
              <w:rPr>
                <w:rFonts w:ascii="Calibri" w:eastAsia="Calibri" w:hAnsi="Calibri" w:cs="Calibri"/>
                <w:sz w:val="20"/>
                <w:szCs w:val="24"/>
                <w:lang w:val="en-GB"/>
              </w:rPr>
              <w:t xml:space="preserve">, </w:t>
            </w:r>
            <w:bookmarkStart w:id="5" w:name="_Ref42349340"/>
            <w:r w:rsidRPr="0015499D">
              <w:rPr>
                <w:rStyle w:val="Appeldenotedefin"/>
                <w:sz w:val="20"/>
                <w:vertAlign w:val="baseline"/>
              </w:rPr>
              <w:endnoteReference w:id="5"/>
            </w:r>
            <w:bookmarkStart w:id="6" w:name="_Ref42349415"/>
            <w:bookmarkEnd w:id="5"/>
            <w:r w:rsidRPr="0015499D">
              <w:rPr>
                <w:rFonts w:ascii="Calibri" w:eastAsia="Calibri" w:hAnsi="Calibri" w:cs="Calibri"/>
                <w:sz w:val="20"/>
                <w:szCs w:val="24"/>
                <w:lang w:val="en-GB"/>
              </w:rPr>
              <w:t xml:space="preserve">, </w:t>
            </w:r>
            <w:r w:rsidRPr="0015499D">
              <w:rPr>
                <w:rStyle w:val="Appeldenotedefin"/>
                <w:sz w:val="20"/>
                <w:vertAlign w:val="baseline"/>
              </w:rPr>
              <w:endnoteReference w:id="6"/>
            </w:r>
            <w:bookmarkEnd w:id="6"/>
          </w:p>
        </w:tc>
        <w:tc>
          <w:tcPr>
            <w:tcW w:w="521" w:type="pct"/>
            <w:tcBorders>
              <w:top w:val="single" w:sz="4" w:space="0" w:color="auto"/>
              <w:left w:val="nil"/>
              <w:right w:val="nil"/>
            </w:tcBorders>
          </w:tcPr>
          <w:p w14:paraId="738FAE39" w14:textId="2D3096FC" w:rsidR="00AB675F" w:rsidRPr="00AB675F" w:rsidRDefault="00AB675F" w:rsidP="00AB675F">
            <w:pPr>
              <w:keepNext/>
              <w:spacing w:before="0" w:after="0" w:line="300" w:lineRule="atLeast"/>
              <w:jc w:val="both"/>
              <w:rPr>
                <w:rFonts w:ascii="Calibri" w:eastAsia="Calibri" w:hAnsi="Calibri" w:cs="Times New Roman"/>
                <w:sz w:val="20"/>
                <w:szCs w:val="24"/>
                <w:lang w:val="en-GB"/>
              </w:rPr>
            </w:pPr>
            <w:r w:rsidRPr="00AB675F">
              <w:rPr>
                <w:rFonts w:ascii="Calibri" w:eastAsia="Calibri" w:hAnsi="Calibri" w:cs="Calibri"/>
                <w:sz w:val="20"/>
                <w:szCs w:val="24"/>
                <w:lang w:val="en-GB"/>
              </w:rPr>
              <w:fldChar w:fldCharType="begin"/>
            </w:r>
            <w:r w:rsidRPr="00AB675F">
              <w:rPr>
                <w:rFonts w:ascii="Calibri" w:eastAsia="Calibri" w:hAnsi="Calibri" w:cs="Times New Roman"/>
                <w:sz w:val="20"/>
                <w:szCs w:val="24"/>
                <w:lang w:val="en-GB"/>
              </w:rPr>
              <w:instrText xml:space="preserve"> NOTEREF _Ref42349223 \h </w:instrText>
            </w:r>
            <w:r w:rsidRPr="00AB675F">
              <w:rPr>
                <w:rFonts w:ascii="Calibri" w:eastAsia="Calibri" w:hAnsi="Calibri" w:cs="Calibri"/>
                <w:sz w:val="20"/>
                <w:szCs w:val="24"/>
                <w:lang w:val="en-GB"/>
              </w:rPr>
              <w:instrText xml:space="preserve"> \* MERGEFORMAT </w:instrText>
            </w:r>
            <w:r w:rsidRPr="00AB675F">
              <w:rPr>
                <w:rFonts w:ascii="Calibri" w:eastAsia="Calibri" w:hAnsi="Calibri" w:cs="Calibri"/>
                <w:sz w:val="20"/>
                <w:szCs w:val="24"/>
                <w:lang w:val="en-GB"/>
              </w:rPr>
            </w:r>
            <w:r w:rsidRPr="00AB675F">
              <w:rPr>
                <w:rFonts w:ascii="Calibri" w:eastAsia="Calibri" w:hAnsi="Calibri" w:cs="Calibri"/>
                <w:sz w:val="20"/>
                <w:szCs w:val="24"/>
                <w:lang w:val="en-GB"/>
              </w:rPr>
              <w:fldChar w:fldCharType="separate"/>
            </w:r>
            <w:r w:rsidRPr="00AB675F">
              <w:rPr>
                <w:rFonts w:ascii="Calibri" w:eastAsia="Calibri" w:hAnsi="Calibri" w:cs="Times New Roman"/>
                <w:sz w:val="20"/>
                <w:szCs w:val="24"/>
                <w:lang w:val="en-GB"/>
              </w:rPr>
              <w:t>4</w:t>
            </w:r>
            <w:r w:rsidRPr="00AB675F">
              <w:rPr>
                <w:rFonts w:ascii="Calibri" w:eastAsia="Calibri" w:hAnsi="Calibri" w:cs="Calibri"/>
                <w:sz w:val="20"/>
                <w:szCs w:val="24"/>
                <w:lang w:val="en-GB"/>
              </w:rPr>
              <w:fldChar w:fldCharType="end"/>
            </w:r>
          </w:p>
        </w:tc>
        <w:tc>
          <w:tcPr>
            <w:tcW w:w="625" w:type="pct"/>
            <w:tcBorders>
              <w:top w:val="single" w:sz="4" w:space="0" w:color="auto"/>
              <w:left w:val="nil"/>
              <w:right w:val="nil"/>
            </w:tcBorders>
          </w:tcPr>
          <w:p w14:paraId="6A1BB19F" w14:textId="33755A8E" w:rsidR="00AB675F" w:rsidRPr="00AB675F" w:rsidRDefault="00AB675F" w:rsidP="00AB675F">
            <w:pPr>
              <w:keepNext/>
              <w:spacing w:before="0" w:after="0" w:line="300" w:lineRule="atLeast"/>
              <w:jc w:val="both"/>
              <w:rPr>
                <w:rFonts w:ascii="Calibri" w:eastAsia="Calibri" w:hAnsi="Calibri" w:cs="Times New Roman"/>
                <w:sz w:val="20"/>
                <w:szCs w:val="24"/>
                <w:lang w:val="en-GB"/>
              </w:rPr>
            </w:pPr>
            <w:bookmarkStart w:id="7" w:name="_Ref42351177"/>
            <w:r w:rsidRPr="00AB675F">
              <w:rPr>
                <w:rStyle w:val="Appeldenotedefin"/>
                <w:sz w:val="20"/>
                <w:vertAlign w:val="baseline"/>
              </w:rPr>
              <w:endnoteReference w:id="7"/>
            </w:r>
            <w:bookmarkStart w:id="8" w:name="_Ref42351332"/>
            <w:bookmarkEnd w:id="7"/>
            <w:r w:rsidRPr="00AB675F">
              <w:rPr>
                <w:rFonts w:ascii="Calibri" w:eastAsia="Calibri" w:hAnsi="Calibri" w:cs="Times New Roman"/>
                <w:sz w:val="20"/>
                <w:szCs w:val="24"/>
                <w:lang w:val="en-GB"/>
              </w:rPr>
              <w:t>,</w:t>
            </w:r>
            <w:bookmarkStart w:id="9" w:name="_Ref56249554"/>
            <w:r w:rsidRPr="00AB675F">
              <w:rPr>
                <w:rStyle w:val="Appeldenotedefin"/>
                <w:sz w:val="2"/>
                <w:vertAlign w:val="baseline"/>
              </w:rPr>
              <w:endnoteReference w:id="8"/>
            </w:r>
            <w:bookmarkEnd w:id="9"/>
            <w:r w:rsidRPr="00AB675F">
              <w:rPr>
                <w:rFonts w:ascii="Calibri" w:eastAsia="Calibri" w:hAnsi="Calibri" w:cs="Times New Roman"/>
                <w:sz w:val="20"/>
                <w:szCs w:val="24"/>
                <w:lang w:val="en-GB"/>
              </w:rPr>
              <w:t xml:space="preserve"> </w:t>
            </w:r>
            <w:r w:rsidRPr="00AB675F">
              <w:rPr>
                <w:rStyle w:val="Appeldenotedefin"/>
                <w:sz w:val="20"/>
                <w:vertAlign w:val="baseline"/>
              </w:rPr>
              <w:endnoteReference w:id="9"/>
            </w:r>
            <w:bookmarkEnd w:id="8"/>
            <w:r w:rsidRPr="00AB675F">
              <w:rPr>
                <w:rFonts w:ascii="Calibri" w:eastAsia="Calibri" w:hAnsi="Calibri" w:cs="Times New Roman"/>
                <w:sz w:val="20"/>
                <w:szCs w:val="24"/>
                <w:lang w:val="en-GB"/>
              </w:rPr>
              <w:t xml:space="preserve">, </w:t>
            </w:r>
            <w:bookmarkStart w:id="10" w:name="_Ref42351384"/>
            <w:r w:rsidRPr="00AB675F">
              <w:rPr>
                <w:rStyle w:val="Appeldenotedefin"/>
                <w:sz w:val="20"/>
                <w:vertAlign w:val="baseline"/>
              </w:rPr>
              <w:endnoteReference w:id="10"/>
            </w:r>
            <w:bookmarkEnd w:id="10"/>
            <w:r w:rsidRPr="00AB675F">
              <w:rPr>
                <w:rFonts w:ascii="Calibri" w:eastAsia="Calibri" w:hAnsi="Calibri" w:cs="Times New Roman"/>
                <w:sz w:val="20"/>
                <w:szCs w:val="24"/>
                <w:lang w:val="en-GB"/>
              </w:rPr>
              <w:t xml:space="preserve">, </w:t>
            </w:r>
            <w:bookmarkStart w:id="11" w:name="_Ref42351439"/>
            <w:r w:rsidRPr="00AB675F">
              <w:rPr>
                <w:rStyle w:val="Appeldenotedefin"/>
                <w:sz w:val="20"/>
                <w:vertAlign w:val="baseline"/>
              </w:rPr>
              <w:endnoteReference w:id="11"/>
            </w:r>
            <w:bookmarkEnd w:id="11"/>
            <w:r w:rsidRPr="00AB675F">
              <w:rPr>
                <w:rFonts w:ascii="Calibri" w:eastAsia="Calibri" w:hAnsi="Calibri" w:cs="Times New Roman"/>
                <w:sz w:val="20"/>
                <w:szCs w:val="24"/>
                <w:lang w:val="en-GB"/>
              </w:rPr>
              <w:t xml:space="preserve">, </w:t>
            </w:r>
            <w:bookmarkStart w:id="12" w:name="_Ref42351478"/>
            <w:r w:rsidRPr="00AB675F">
              <w:rPr>
                <w:rStyle w:val="Appeldenotedefin"/>
                <w:sz w:val="20"/>
                <w:vertAlign w:val="baseline"/>
              </w:rPr>
              <w:endnoteReference w:id="12"/>
            </w:r>
            <w:bookmarkEnd w:id="12"/>
          </w:p>
        </w:tc>
        <w:tc>
          <w:tcPr>
            <w:tcW w:w="469" w:type="pct"/>
            <w:tcBorders>
              <w:left w:val="nil"/>
              <w:right w:val="nil"/>
            </w:tcBorders>
          </w:tcPr>
          <w:p w14:paraId="437A16C6" w14:textId="35844385"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Pr>
                <w:rFonts w:ascii="Calibri" w:eastAsia="Calibri" w:hAnsi="Calibri" w:cs="Times New Roman"/>
                <w:sz w:val="20"/>
                <w:szCs w:val="24"/>
                <w:lang w:val="en-GB"/>
              </w:rPr>
              <w:t>8</w:t>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_Ref42348981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w:t>
            </w:r>
            <w:r w:rsidRPr="0015499D">
              <w:rPr>
                <w:rFonts w:ascii="Calibri" w:eastAsia="Calibri" w:hAnsi="Calibri" w:cs="Times New Roman"/>
                <w:sz w:val="20"/>
                <w:szCs w:val="24"/>
                <w:lang w:val="en-GB"/>
              </w:rPr>
              <w:fldChar w:fldCharType="end"/>
            </w:r>
          </w:p>
        </w:tc>
        <w:tc>
          <w:tcPr>
            <w:tcW w:w="573" w:type="pct"/>
            <w:tcBorders>
              <w:left w:val="nil"/>
              <w:right w:val="nil"/>
            </w:tcBorders>
          </w:tcPr>
          <w:p w14:paraId="50EF88AD" w14:textId="1C0015A7"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13" w:name="_Ref42351523"/>
            <w:r w:rsidRPr="0015499D">
              <w:rPr>
                <w:rStyle w:val="Appeldenotedefin"/>
                <w:sz w:val="20"/>
                <w:vertAlign w:val="baseline"/>
              </w:rPr>
              <w:endnoteReference w:id="13"/>
            </w:r>
            <w:bookmarkEnd w:id="13"/>
            <w:r w:rsidRPr="0015499D">
              <w:rPr>
                <w:rFonts w:ascii="Calibri" w:eastAsia="Calibri" w:hAnsi="Calibri" w:cs="Times New Roman"/>
                <w:sz w:val="20"/>
                <w:szCs w:val="24"/>
                <w:lang w:val="en-GB"/>
              </w:rPr>
              <w:t xml:space="preserve">, </w:t>
            </w:r>
            <w:bookmarkStart w:id="14" w:name="_Ref42351557"/>
            <w:r w:rsidRPr="0015499D">
              <w:rPr>
                <w:rStyle w:val="Appeldenotedefin"/>
                <w:sz w:val="20"/>
                <w:vertAlign w:val="baseline"/>
              </w:rPr>
              <w:endnoteReference w:id="14"/>
            </w:r>
            <w:bookmarkEnd w:id="14"/>
            <w:r>
              <w:rPr>
                <w:rFonts w:ascii="Calibri" w:eastAsia="Calibri" w:hAnsi="Calibri" w:cs="Times New Roman"/>
                <w:sz w:val="20"/>
                <w:szCs w:val="24"/>
                <w:lang w:val="en-GB"/>
              </w:rPr>
              <w:t>, 44</w:t>
            </w:r>
          </w:p>
        </w:tc>
        <w:tc>
          <w:tcPr>
            <w:tcW w:w="469" w:type="pct"/>
            <w:tcBorders>
              <w:left w:val="nil"/>
              <w:right w:val="nil"/>
            </w:tcBorders>
          </w:tcPr>
          <w:p w14:paraId="105B3CDA"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173A2F2B"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64D44C1B" w14:textId="77777777" w:rsidTr="00645340">
        <w:trPr>
          <w:cantSplit/>
        </w:trPr>
        <w:tc>
          <w:tcPr>
            <w:tcW w:w="390" w:type="pct"/>
            <w:vMerge/>
            <w:tcBorders>
              <w:right w:val="nil"/>
            </w:tcBorders>
          </w:tcPr>
          <w:p w14:paraId="0ED5DB5D"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3D4D3D20"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Net photosynthesis</w:t>
            </w:r>
          </w:p>
        </w:tc>
        <w:tc>
          <w:tcPr>
            <w:tcW w:w="833" w:type="pct"/>
            <w:tcBorders>
              <w:left w:val="nil"/>
              <w:right w:val="nil"/>
            </w:tcBorders>
          </w:tcPr>
          <w:p w14:paraId="572ED342"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_Ref42349136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3</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_Ref42349340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bookmarkStart w:id="15" w:name="_Ref42349482"/>
            <w:r w:rsidRPr="0015499D">
              <w:rPr>
                <w:rStyle w:val="Appeldenotedefin"/>
                <w:sz w:val="20"/>
                <w:vertAlign w:val="baseline"/>
              </w:rPr>
              <w:endnoteReference w:id="15"/>
            </w:r>
            <w:bookmarkEnd w:id="15"/>
          </w:p>
        </w:tc>
        <w:tc>
          <w:tcPr>
            <w:tcW w:w="521" w:type="pct"/>
            <w:tcBorders>
              <w:left w:val="nil"/>
              <w:right w:val="nil"/>
            </w:tcBorders>
          </w:tcPr>
          <w:p w14:paraId="3A6B74A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bookmarkStart w:id="16" w:name="_Ref42351086"/>
            <w:r w:rsidRPr="0015499D">
              <w:rPr>
                <w:rStyle w:val="Appeldenotedefin"/>
                <w:sz w:val="20"/>
                <w:vertAlign w:val="baseline"/>
              </w:rPr>
              <w:endnoteReference w:id="16"/>
            </w:r>
            <w:bookmarkEnd w:id="16"/>
            <w:r w:rsidRPr="0015499D">
              <w:rPr>
                <w:rFonts w:ascii="Calibri" w:eastAsia="Calibri" w:hAnsi="Calibri" w:cs="Calibri"/>
                <w:sz w:val="20"/>
                <w:szCs w:val="24"/>
                <w:lang w:val="en-GB"/>
              </w:rPr>
              <w:t xml:space="preserve"> </w:t>
            </w:r>
          </w:p>
        </w:tc>
        <w:tc>
          <w:tcPr>
            <w:tcW w:w="625" w:type="pct"/>
            <w:tcBorders>
              <w:left w:val="nil"/>
              <w:right w:val="nil"/>
            </w:tcBorders>
          </w:tcPr>
          <w:p w14:paraId="4765FC4F" w14:textId="1403D0A3"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_Ref42351177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7</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bookmarkStart w:id="17" w:name="_Ref42351648"/>
            <w:r w:rsidRPr="0015499D">
              <w:rPr>
                <w:rStyle w:val="Appeldenotedefin"/>
                <w:sz w:val="20"/>
                <w:vertAlign w:val="baseline"/>
              </w:rPr>
              <w:endnoteReference w:id="17"/>
            </w:r>
            <w:bookmarkEnd w:id="17"/>
            <w:r>
              <w:rPr>
                <w:rFonts w:ascii="Calibri" w:eastAsia="Calibri" w:hAnsi="Calibri" w:cs="Times New Roman"/>
                <w:sz w:val="20"/>
                <w:szCs w:val="24"/>
                <w:lang w:val="en-GB"/>
              </w:rPr>
              <w:t>,</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fr-FR"/>
              </w:rPr>
              <w:instrText xml:space="preserve"> NOTEREF _Ref42351332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fr-FR"/>
              </w:rPr>
              <w:t>9</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Times New Roman"/>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Times New Roman"/>
                <w:sz w:val="20"/>
                <w:szCs w:val="24"/>
                <w:lang w:val="fr-FR"/>
              </w:rPr>
              <w:instrText xml:space="preserve"> NOTEREF _Ref42351384 \h </w:instrText>
            </w:r>
            <w:r w:rsidRPr="0015499D">
              <w:rPr>
                <w:rFonts w:ascii="Calibri" w:eastAsia="Calibri" w:hAnsi="Calibri" w:cs="Calibri"/>
                <w:sz w:val="20"/>
                <w:szCs w:val="24"/>
                <w:lang w:val="fr-FR"/>
              </w:rPr>
              <w:instrText xml:space="preserve">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Times New Roman"/>
                <w:sz w:val="20"/>
                <w:szCs w:val="24"/>
                <w:lang w:val="fr-FR"/>
              </w:rPr>
              <w:t>10</w:t>
            </w:r>
            <w:r w:rsidRPr="0015499D">
              <w:rPr>
                <w:rFonts w:ascii="Calibri" w:eastAsia="Calibri" w:hAnsi="Calibri" w:cs="Calibri"/>
                <w:sz w:val="20"/>
                <w:szCs w:val="24"/>
                <w:lang w:val="fr-FR"/>
              </w:rPr>
              <w:fldChar w:fldCharType="end"/>
            </w:r>
            <w:r w:rsidRPr="0015499D">
              <w:rPr>
                <w:rFonts w:ascii="Calibri" w:eastAsia="Calibri" w:hAnsi="Calibri" w:cs="Calibri"/>
                <w:sz w:val="20"/>
                <w:szCs w:val="24"/>
                <w:lang w:val="fr-FR"/>
              </w:rPr>
              <w:t>,</w:t>
            </w:r>
            <w:r w:rsidRPr="0015499D">
              <w:rPr>
                <w:rFonts w:ascii="Calibri" w:eastAsia="Calibri" w:hAnsi="Calibri" w:cs="Times New Roman"/>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_Ref42351478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12</w:t>
            </w:r>
            <w:r w:rsidRPr="0015499D">
              <w:rPr>
                <w:rFonts w:ascii="Calibri" w:eastAsia="Calibri" w:hAnsi="Calibri" w:cs="Calibri"/>
                <w:sz w:val="20"/>
                <w:szCs w:val="24"/>
                <w:lang w:val="fr-FR"/>
              </w:rPr>
              <w:fldChar w:fldCharType="end"/>
            </w:r>
          </w:p>
        </w:tc>
        <w:tc>
          <w:tcPr>
            <w:tcW w:w="469" w:type="pct"/>
            <w:tcBorders>
              <w:left w:val="nil"/>
              <w:right w:val="nil"/>
            </w:tcBorders>
          </w:tcPr>
          <w:p w14:paraId="2E8D48E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_Ref42349482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_Ref42351246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8</w:t>
            </w:r>
            <w:r w:rsidRPr="0015499D">
              <w:rPr>
                <w:rFonts w:ascii="Calibri" w:eastAsia="Calibri" w:hAnsi="Calibri" w:cs="Times New Roman"/>
                <w:sz w:val="20"/>
                <w:szCs w:val="24"/>
                <w:lang w:val="en-GB"/>
              </w:rPr>
              <w:fldChar w:fldCharType="end"/>
            </w:r>
          </w:p>
        </w:tc>
        <w:tc>
          <w:tcPr>
            <w:tcW w:w="573" w:type="pct"/>
            <w:tcBorders>
              <w:left w:val="nil"/>
              <w:right w:val="nil"/>
            </w:tcBorders>
          </w:tcPr>
          <w:p w14:paraId="18C33730" w14:textId="17FF066A"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_Ref42349482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_Ref42351523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13</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_Ref42351557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14</w:t>
            </w:r>
            <w:r w:rsidRPr="0015499D">
              <w:rPr>
                <w:rFonts w:ascii="Calibri" w:eastAsia="Calibri" w:hAnsi="Calibri" w:cs="Times New Roman"/>
                <w:sz w:val="20"/>
                <w:szCs w:val="24"/>
                <w:lang w:val="en-GB"/>
              </w:rPr>
              <w:fldChar w:fldCharType="end"/>
            </w:r>
            <w:r>
              <w:rPr>
                <w:rFonts w:ascii="Calibri" w:eastAsia="Calibri" w:hAnsi="Calibri" w:cs="Times New Roman"/>
                <w:sz w:val="20"/>
                <w:szCs w:val="24"/>
                <w:lang w:val="en-GB"/>
              </w:rPr>
              <w:t>, 44</w:t>
            </w:r>
          </w:p>
        </w:tc>
        <w:tc>
          <w:tcPr>
            <w:tcW w:w="469" w:type="pct"/>
            <w:tcBorders>
              <w:left w:val="nil"/>
              <w:right w:val="nil"/>
            </w:tcBorders>
          </w:tcPr>
          <w:p w14:paraId="1428EBE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00EED0F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0B0EE6F5" w14:textId="77777777" w:rsidTr="00645340">
        <w:trPr>
          <w:cantSplit/>
        </w:trPr>
        <w:tc>
          <w:tcPr>
            <w:tcW w:w="390" w:type="pct"/>
            <w:vMerge/>
            <w:tcBorders>
              <w:right w:val="nil"/>
            </w:tcBorders>
          </w:tcPr>
          <w:p w14:paraId="3F788B9D"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0E90E93E"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Water Status</w:t>
            </w:r>
          </w:p>
        </w:tc>
        <w:tc>
          <w:tcPr>
            <w:tcW w:w="833" w:type="pct"/>
            <w:tcBorders>
              <w:left w:val="nil"/>
              <w:right w:val="nil"/>
            </w:tcBorders>
          </w:tcPr>
          <w:p w14:paraId="6850B5E1" w14:textId="3E209940" w:rsidR="00AB675F" w:rsidRPr="0015499D" w:rsidRDefault="00AB675F" w:rsidP="00AB675F">
            <w:pPr>
              <w:keepNext/>
              <w:spacing w:before="0" w:after="0" w:line="300" w:lineRule="atLeast"/>
              <w:jc w:val="both"/>
              <w:rPr>
                <w:rFonts w:ascii="Calibri" w:eastAsia="Calibri" w:hAnsi="Calibri" w:cs="Calibri"/>
                <w:sz w:val="20"/>
                <w:szCs w:val="24"/>
                <w:lang w:val="fr-FR"/>
              </w:rPr>
            </w:pP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fr-FR"/>
              </w:rPr>
              <w:instrText xml:space="preserve"> NOTEREF _Ref42348846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fr-FR"/>
              </w:rPr>
              <w:t>1</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_Ref42349136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3</w:t>
            </w:r>
            <w:r w:rsidRPr="0015499D">
              <w:rPr>
                <w:rFonts w:ascii="Calibri" w:eastAsia="Calibri" w:hAnsi="Calibri" w:cs="Calibri"/>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fr-FR"/>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fr-FR"/>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_Ref42349340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_Ref42349415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6</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_Ref42349482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15</w:t>
            </w:r>
            <w:r w:rsidRPr="0015499D">
              <w:rPr>
                <w:rFonts w:ascii="Calibri" w:eastAsia="Calibri" w:hAnsi="Calibri" w:cs="Times New Roman"/>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ADDIN ZOTERO_ITEM CSL_CITATION {"citationID":"BQrGVEOd","properties":{"formattedCitation":"(dos Santos et al., 2007)","plainCitation":"(dos Santos et al., 2007)","dontUpdate":true,"noteIndex":0},"citationItems":[{"id":2174,"uris":["http://zotero.org/users/2311545/items/Z7GBIEQU"],"uri":["http://zotero.org/users/2311545/items/Z7GBIEQU"],"itemData":{"id":2174,"type":"article-journal","abstract":"The grapevine plays a very important role in the economic, social and cultural sectors of many regions; however vineyards are often grown in regions under stressful conditions and thus they are vulnerable to climate change. The objective of this research was to investigate the effect of partial root-zone drying (PRD) irrigation on vine water relations, vegetative growth, plant microclimate, berry composition and yield components, compared to conventional deficit irrigation (DI, 50% ETc), full irrigation (FI, 100% of ETc) and non-irrigated vines (NI). The study was undertaken in mature ‘Moscatel’ grapevines (Vitis vinifera L.) grown in Pegões, South of Portugal. Compared to the other irrigated treatments, PRD vines showed a better microclimate at the cluster zone with higher incident photosynthetic photon flux density (PPFD). Within the more open canopies of NI and PRD treatments, berry temperatures were higher than those of denser ones (DI and FI). Compared to the conventional irrigation technique the better microclimate observed in PRD vines was a consequence of a reduction in vine growth, where lower values of leaf layer number, leaf area, canopy wideness, water shoots and shoot weight were observed. In PRD vines we observed a tendency to a development of a deeper root system, while DI and FI showed a more homogeneous root distribution throughout the different soil layers. PRD showed an improvement in berry quality with higher values of flavour precursors, and total phenols concentration without any significant yield reduction compared to DI and FI.","container-title":"Scientia Horticulturae","DOI":"10.1016/j.scienta.2007.01.006","ISSN":"0304-4238","issue":"3","journalAbbreviation":"Scientia Horticulturae","page":"321-330","source":"ScienceDirect","title":"Effects of deficit irrigation strategies on cluster microclimate for improving fruit composition of Moscatel field-grown grapevines","volume":"112","author":[{"family":"Santos","given":"Tiago Pedreira","non-dropping-particle":"dos"},{"family":"Lopes","given":"Carlos M."},{"family":"Lucília Rodrigues","given":"M."},{"family":"Souza","given":"Claudia R.","non-dropping-particle":"de"},{"family":"Ricardo-da-Silva","given":"Jorge M."},{"family":"Maroco","given":"João P."},{"family":"Pereira","given":"João S."},{"family":"Manuela Chaves","given":"M."}],"issued":{"date-parts":[["2007",4,23]]}}}],"schema":"https://github.com/citation-style-language/schema/raw/master/csl-citation.json"} </w:instrText>
            </w:r>
            <w:r w:rsidRPr="0015499D">
              <w:rPr>
                <w:rFonts w:ascii="Calibri" w:eastAsia="Calibri" w:hAnsi="Calibri" w:cs="Calibri"/>
                <w:sz w:val="20"/>
                <w:szCs w:val="24"/>
                <w:lang w:val="en-GB"/>
              </w:rPr>
              <w:fldChar w:fldCharType="separate"/>
            </w:r>
            <w:bookmarkStart w:id="18" w:name="_Ref42348057"/>
            <w:r w:rsidRPr="0015499D">
              <w:rPr>
                <w:rStyle w:val="Appeldenotedefin"/>
                <w:sz w:val="20"/>
                <w:vertAlign w:val="baseline"/>
              </w:rPr>
              <w:endnoteReference w:id="18"/>
            </w:r>
            <w:bookmarkEnd w:id="18"/>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w:t>
            </w:r>
            <w:r w:rsidRPr="0015499D">
              <w:rPr>
                <w:rFonts w:ascii="Calibri" w:eastAsia="Calibri" w:hAnsi="Calibri" w:cs="Times New Roman"/>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ADDIN ZOTERO_ITEM CSL_CITATION {"citationID":"67vLUR3S","properties":{"formattedCitation":"(Mir\\uc0\\u225{}s-Avalos et al., 2016; Pieri et al., 2012)","plainCitation":"(Mirás-Avalos et al., 2016; Pieri et al., 2012)","dontUpdate":true,"noteIndex":0},"citationItems":[{"id":2647,"uris":["http://zotero.org/users/2311545/items/P5IWMAJX"],"uri":["http://zotero.org/users/2311545/items/P5IWMAJX"],"itemData":{"id":2647,"type":"article-journal","abstract":"Aims: Vine-growers worldwide are concerned about climate change effects on grape yield and quality. Drip irrigation systems are increasingly being installed even in humid regions such as Galicia (NW Spain). In this context, a field experiment was carried out over three seasons (2012-2014) on white Vitis vinifera L. cv. ‘Albariño’ to assess the effects of deficit irrigation on vine physiology, yield and must and wine composition.","container-title":"OENO One","DOI":"10.20870/oeno-one.2016.50.4.63","ISSN":"2494-1271","issue":"4","journalAbbreviation":"OENO One","language":"en","source":"DOI.org (Crossref)","title":"Irrigation effects on the performance of grapevine (Vitis vinifera L.) cv. ‘Albariño’ under the humid climate of Galicia","URL":"http://oeno-one.eu/article/view/63","volume":"50","author":[{"family":"Mirás-Avalos","given":"José Manuel"},{"family":"Trigo-Córdoba","given":"Emiliano"},{"family":"Bouzas-Cid","given":"Yolanda"},{"family":"Orriols-Fernández","given":"Ignacio"}],"accessed":{"date-parts":[["2019",7,29]]},"issued":{"date-parts":[["2016",12,21]]}}},{"id":1991,"uris":["http://zotero.org/users/2311545/items/UNS2ZI4E"],"uri":["http://zotero.org/users/2311545/items/UNS2ZI4E"],"itemData":{"id":1991,"type":"article-journal","abstract":"Climate change in viticulture-oriented regions of France is expected to significantly increase temperatures and decrease rainfall. Therefore, phenology, physiological processes, vine water status and grape maturation conditions might all be modified thoroughly, with important consequences on wine production. Coupling ecophysiological models of vineyard function to regionalized outputs of global climate models is the only available way to forecast the impact of climate change on viticulture. Within the Climator project, this approach was developed by using a vine water balance model (BHV) at several locations in France, with 3 vine cultivars (‘Chardonnay’, ‘Merlot’ and ‘Grenache’), two planting densities (high and low density), 3 soils (low to high water reserve) and two management practices (rain fed/ irrigation). Uncertainties in impact results were assessed from comparing different simulated climate series up to the year 2100.","container-title":"Acta Horticulturae","DOI":"10.17660/ActaHortic.2012.931.2","ISSN":"0567-7572, 2406-6168","issue":"931","language":"en","page":"29-37","source":"Crossref","title":"CLIMATE CHANGE IMPACT ON FRENCH VINEYARDS AS PREDICTED BY MODELS","author":[{"family":"Pieri","given":"P."},{"family":"Lebon","given":"E."},{"family":"Brisson","given":"N."}],"issued":{"date-parts":[["2012",3]]}}}],"schema":"https://github.com/citation-style-language/schema/raw/master/csl-citation.json"} </w:instrText>
            </w:r>
            <w:r w:rsidRPr="0015499D">
              <w:rPr>
                <w:rFonts w:ascii="Calibri" w:eastAsia="Calibri" w:hAnsi="Calibri" w:cs="Calibri"/>
                <w:sz w:val="20"/>
                <w:szCs w:val="24"/>
                <w:lang w:val="en-GB"/>
              </w:rPr>
              <w:fldChar w:fldCharType="end"/>
            </w:r>
            <w:bookmarkStart w:id="19" w:name="_Ref42349715"/>
            <w:r w:rsidRPr="0015499D">
              <w:rPr>
                <w:rStyle w:val="Appeldenotedefin"/>
                <w:sz w:val="20"/>
                <w:vertAlign w:val="baseline"/>
              </w:rPr>
              <w:endnoteReference w:id="19"/>
            </w:r>
            <w:bookmarkStart w:id="20" w:name="_Ref42349786"/>
            <w:bookmarkEnd w:id="19"/>
            <w:r w:rsidRPr="0015499D">
              <w:rPr>
                <w:rFonts w:ascii="Calibri" w:eastAsia="Calibri" w:hAnsi="Calibri" w:cs="Calibri"/>
                <w:sz w:val="20"/>
                <w:szCs w:val="24"/>
                <w:lang w:val="fr-FR"/>
              </w:rPr>
              <w:t xml:space="preserve">, </w:t>
            </w:r>
            <w:r w:rsidRPr="0015499D">
              <w:rPr>
                <w:rStyle w:val="Appeldenotedefin"/>
                <w:sz w:val="20"/>
                <w:vertAlign w:val="baseline"/>
              </w:rPr>
              <w:endnoteReference w:id="20"/>
            </w:r>
            <w:bookmarkEnd w:id="20"/>
            <w:r w:rsidRPr="0015499D">
              <w:rPr>
                <w:rFonts w:ascii="Calibri" w:eastAsia="Calibri" w:hAnsi="Calibri" w:cs="Calibri"/>
                <w:sz w:val="20"/>
                <w:szCs w:val="24"/>
                <w:lang w:val="fr-FR"/>
              </w:rPr>
              <w:t xml:space="preserve">, </w:t>
            </w:r>
            <w:bookmarkStart w:id="21" w:name="_Ref42349838"/>
            <w:r w:rsidRPr="0015499D">
              <w:rPr>
                <w:rStyle w:val="Appeldenotedefin"/>
                <w:sz w:val="20"/>
                <w:vertAlign w:val="baseline"/>
              </w:rPr>
              <w:endnoteReference w:id="21"/>
            </w:r>
            <w:bookmarkEnd w:id="21"/>
            <w:r w:rsidRPr="0015499D">
              <w:rPr>
                <w:rFonts w:ascii="Calibri" w:eastAsia="Calibri" w:hAnsi="Calibri" w:cs="Calibri"/>
                <w:sz w:val="20"/>
                <w:szCs w:val="24"/>
                <w:lang w:val="fr-FR"/>
              </w:rPr>
              <w:t>,</w:t>
            </w:r>
            <w:bookmarkStart w:id="22" w:name="_Ref42349895"/>
            <w:r w:rsidRPr="0015499D">
              <w:rPr>
                <w:rFonts w:ascii="Calibri" w:eastAsia="Calibri" w:hAnsi="Calibri" w:cs="Calibri"/>
                <w:sz w:val="20"/>
                <w:szCs w:val="24"/>
                <w:lang w:val="fr-FR"/>
              </w:rPr>
              <w:t xml:space="preserve"> </w:t>
            </w:r>
            <w:r w:rsidRPr="0015499D">
              <w:rPr>
                <w:rStyle w:val="Appeldenotedefin"/>
                <w:sz w:val="20"/>
                <w:vertAlign w:val="baseline"/>
              </w:rPr>
              <w:endnoteReference w:id="22"/>
            </w:r>
            <w:bookmarkEnd w:id="22"/>
            <w:r>
              <w:rPr>
                <w:rFonts w:ascii="Calibri" w:eastAsia="Calibri" w:hAnsi="Calibri" w:cs="Calibri"/>
                <w:sz w:val="20"/>
                <w:szCs w:val="24"/>
                <w:lang w:val="fr-FR"/>
              </w:rPr>
              <w:t>, 16, 32</w:t>
            </w:r>
          </w:p>
        </w:tc>
        <w:tc>
          <w:tcPr>
            <w:tcW w:w="521" w:type="pct"/>
            <w:tcBorders>
              <w:left w:val="nil"/>
              <w:right w:val="nil"/>
            </w:tcBorders>
          </w:tcPr>
          <w:p w14:paraId="7B5E6814"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_Ref42351086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16</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_Ref42349838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21</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bookmarkStart w:id="23" w:name="_Ref42351139"/>
            <w:r w:rsidRPr="0015499D">
              <w:rPr>
                <w:rStyle w:val="Appeldenotedefin"/>
                <w:sz w:val="20"/>
                <w:vertAlign w:val="baseline"/>
              </w:rPr>
              <w:endnoteReference w:id="23"/>
            </w:r>
            <w:bookmarkEnd w:id="23"/>
          </w:p>
        </w:tc>
        <w:tc>
          <w:tcPr>
            <w:tcW w:w="625" w:type="pct"/>
            <w:tcBorders>
              <w:left w:val="nil"/>
              <w:right w:val="nil"/>
            </w:tcBorders>
          </w:tcPr>
          <w:p w14:paraId="6FCBC451" w14:textId="03D063EA"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_Ref42351177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7</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_Ref42351648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17</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24"/>
            </w:r>
            <w:r>
              <w:rPr>
                <w:rFonts w:ascii="Calibri" w:eastAsia="Calibri" w:hAnsi="Calibri" w:cs="Times New Roman"/>
                <w:sz w:val="20"/>
                <w:szCs w:val="24"/>
                <w:lang w:val="en-GB"/>
              </w:rPr>
              <w:t>,</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fr-FR"/>
              </w:rPr>
              <w:instrText xml:space="preserve"> NOTEREF _Ref42351332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fr-FR"/>
              </w:rPr>
              <w:t>9</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Times New Roman"/>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Times New Roman"/>
                <w:sz w:val="20"/>
                <w:szCs w:val="24"/>
                <w:lang w:val="fr-FR"/>
              </w:rPr>
              <w:instrText xml:space="preserve"> NOTEREF _Ref42351384 \h </w:instrText>
            </w:r>
            <w:r w:rsidRPr="0015499D">
              <w:rPr>
                <w:rFonts w:ascii="Calibri" w:eastAsia="Calibri" w:hAnsi="Calibri" w:cs="Calibri"/>
                <w:sz w:val="20"/>
                <w:szCs w:val="24"/>
                <w:lang w:val="fr-FR"/>
              </w:rPr>
              <w:instrText xml:space="preserve">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Times New Roman"/>
                <w:sz w:val="20"/>
                <w:szCs w:val="24"/>
                <w:lang w:val="fr-FR"/>
              </w:rPr>
              <w:t>10</w:t>
            </w:r>
            <w:r w:rsidRPr="0015499D">
              <w:rPr>
                <w:rFonts w:ascii="Calibri" w:eastAsia="Calibri" w:hAnsi="Calibri" w:cs="Calibri"/>
                <w:sz w:val="20"/>
                <w:szCs w:val="24"/>
                <w:lang w:val="fr-FR"/>
              </w:rPr>
              <w:fldChar w:fldCharType="end"/>
            </w:r>
            <w:r w:rsidRPr="0015499D">
              <w:rPr>
                <w:rFonts w:ascii="Calibri" w:eastAsia="Calibri" w:hAnsi="Calibri" w:cs="Calibri"/>
                <w:sz w:val="20"/>
                <w:szCs w:val="24"/>
                <w:lang w:val="fr-FR"/>
              </w:rPr>
              <w:t xml:space="preserve">, </w:t>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_Ref42351478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12</w:t>
            </w:r>
            <w:r w:rsidRPr="0015499D">
              <w:rPr>
                <w:rFonts w:ascii="Calibri" w:eastAsia="Calibri" w:hAnsi="Calibri" w:cs="Calibri"/>
                <w:sz w:val="20"/>
                <w:szCs w:val="24"/>
                <w:lang w:val="fr-FR"/>
              </w:rPr>
              <w:fldChar w:fldCharType="end"/>
            </w:r>
          </w:p>
        </w:tc>
        <w:tc>
          <w:tcPr>
            <w:tcW w:w="469" w:type="pct"/>
            <w:tcBorders>
              <w:left w:val="nil"/>
              <w:right w:val="nil"/>
            </w:tcBorders>
          </w:tcPr>
          <w:p w14:paraId="77375DC5"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_Ref42349482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_Ref42351246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8</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_Ref42349786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20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_Ref42349895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bookmarkStart w:id="24" w:name="_Ref42351731"/>
            <w:r w:rsidRPr="0015499D">
              <w:rPr>
                <w:rStyle w:val="Appeldenotedefin"/>
                <w:sz w:val="20"/>
                <w:vertAlign w:val="baseline"/>
              </w:rPr>
              <w:endnoteReference w:id="25"/>
            </w:r>
            <w:bookmarkEnd w:id="24"/>
          </w:p>
        </w:tc>
        <w:tc>
          <w:tcPr>
            <w:tcW w:w="573" w:type="pct"/>
            <w:tcBorders>
              <w:left w:val="nil"/>
              <w:right w:val="nil"/>
            </w:tcBorders>
          </w:tcPr>
          <w:p w14:paraId="24AA0244"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_Ref42349482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_Ref42351523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13</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Times New Roman"/>
                <w:sz w:val="20"/>
                <w:szCs w:val="24"/>
                <w:lang w:val="fr-FR"/>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_Ref42351557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14</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_Ref42349838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21</w:t>
            </w:r>
            <w:r w:rsidRPr="0015499D">
              <w:rPr>
                <w:rFonts w:ascii="Calibri" w:eastAsia="Calibri" w:hAnsi="Calibri" w:cs="Calibri"/>
                <w:sz w:val="20"/>
                <w:szCs w:val="24"/>
                <w:lang w:val="fr-FR"/>
              </w:rPr>
              <w:fldChar w:fldCharType="end"/>
            </w:r>
          </w:p>
        </w:tc>
        <w:tc>
          <w:tcPr>
            <w:tcW w:w="469" w:type="pct"/>
            <w:tcBorders>
              <w:left w:val="nil"/>
              <w:right w:val="nil"/>
            </w:tcBorders>
          </w:tcPr>
          <w:p w14:paraId="2925B422"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p>
        </w:tc>
        <w:tc>
          <w:tcPr>
            <w:tcW w:w="414" w:type="pct"/>
            <w:tcBorders>
              <w:left w:val="nil"/>
              <w:right w:val="nil"/>
            </w:tcBorders>
          </w:tcPr>
          <w:p w14:paraId="267C567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p>
        </w:tc>
      </w:tr>
      <w:tr w:rsidR="00AB675F" w:rsidRPr="00CD39DD" w14:paraId="579FA906" w14:textId="77777777" w:rsidTr="00645340">
        <w:trPr>
          <w:cantSplit/>
        </w:trPr>
        <w:tc>
          <w:tcPr>
            <w:tcW w:w="390" w:type="pct"/>
            <w:vMerge/>
            <w:tcBorders>
              <w:right w:val="nil"/>
            </w:tcBorders>
          </w:tcPr>
          <w:p w14:paraId="55BF0DE8"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fr-FR"/>
              </w:rPr>
            </w:pPr>
          </w:p>
        </w:tc>
        <w:tc>
          <w:tcPr>
            <w:tcW w:w="706" w:type="pct"/>
            <w:tcBorders>
              <w:left w:val="nil"/>
              <w:right w:val="nil"/>
            </w:tcBorders>
          </w:tcPr>
          <w:p w14:paraId="1D85735F"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 xml:space="preserve">Genetic </w:t>
            </w:r>
          </w:p>
        </w:tc>
        <w:tc>
          <w:tcPr>
            <w:tcW w:w="833" w:type="pct"/>
            <w:tcBorders>
              <w:left w:val="nil"/>
              <w:right w:val="nil"/>
            </w:tcBorders>
          </w:tcPr>
          <w:p w14:paraId="23A7C12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21" w:type="pct"/>
            <w:tcBorders>
              <w:left w:val="nil"/>
              <w:right w:val="nil"/>
            </w:tcBorders>
          </w:tcPr>
          <w:p w14:paraId="75AAC7F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ADDIN ZOTERO_ITEM CSL_CITATION {"citationID":"0mQDdZW7","properties":{"formattedCitation":"(Carvalho et al., 2017; Duchene et al., 2012; Malacarne et al., 2018; Milla\\uc0\\u8208{}Tapia et al., 2013)","plainCitation":"(Carvalho et al., 2017; Duchene et al., 2012; Malacarne et al., 2018; Milla‐Tapia et al., 2013)","dontUpdate":true,"noteIndex":0},"citationItems":[{"id":2567,"uris":["http://zotero.org/users/2311545/items/CS4N9G2Q"],"uri":["http://zotero.org/users/2311545/items/CS4N9G2Q"],"itemData":{"id":2567,"type":"article-journal","abstract":"Widespread agricultural losses attributed to drought, often combined with high temperatures frequently occur in the field simultaneously, namely in Mediterranean climate areas, where the existing scenarios for climate change indicate an increase in the frequency of heat waves and severe drought events in summer. Grapevine (Vitis vinifera L.) is the most cultivated fruit species in the world and the most valuable one and is a traditional Mediterranean species. Currently, viticulture must adjust to impending climate changes that are already pushing vine-growers towards the use of ancient and resilient varieties. Portugal is very rich in grapevine biodiversity, however, currently, 90 % of the total producing area is planted with only 16 varieties. There is a pressing need to understand the existing genetic diversity and the physiological potential of the varieties/genotypes available to be able to respond to climate changes. With the above scenario in mind, an assembly of sixty five DEGs(differentially expresses genes) previously identified as responsive to abiotic stresses in two well studied genotypes, ‘Touriga Nacional’ and ‘Trincadeira’, was designed to scan the gene expression of leaf samples from ten traditional Portuguese varieties growing in two regions with distinct environmental conditions. Forty-five of those DEGs proved to be associated to “abiotic stress” and were chosen to build a custom qPCR array to identify uncharacterized genotypes as sensitive or tolerant to abiotic stress. According to the experimental set-up behind the array design these DEGs can also be used as indicators of the main abiotic stress that the plant is subjected and responding to (drought, heat or excess light).","container-title":"Frontiers in Plant Science","DOI":"10.3389/fpls.2017.01835","ISSN":"1664-462X","journalAbbreviation":"Front. Plant Sci.","language":"English","source":"Frontiers","title":"Design of a Custom RT-qPCR Array for Assignment of Abiotic Stress Tolerance in Traditional Portuguese Grapevine Varieties","URL":"https://www.frontiersin.org/articles/10.3389/fpls.2017.01835/full?report=reader","volume":"8","author":[{"family":"Carvalho","given":"Luísa C."},{"family":"Silva","given":"Marília"},{"family":"Coito","given":"João L."},{"family":"Rocheta","given":"Margarida P."},{"family":"Amâncio","given":"Sara"}],"accessed":{"date-parts":[["2019",7,16]]},"issued":{"date-parts":[["2017"]]}}},{"id":2672,"uris":["http://zotero.org/users/2311545/items/WPPLGHMI"],"uri":["http://zotero.org/users/2311545/items/WPPLGHMI"],"itemData":{"id":2672,"type":"article-journal","abstract":"The genetic determinism of developmental stages in grapevine was studied in the progeny of a cross between grapevine cultivars Riesling and Gewurztraminer by combining ecophysiological modelling, genetic analysis and data mining of the grapevine whole genome sequence. The dates of three phenological stages, budbreak, flowering and veraison, were recorded during four successive years for 120 genotypes in the vineyard. The phenotypic data analysed were the duration of three periods expressed in thermal time (degree-days): 15 February to budbreak (Bud), budbreak to flowering (Flo) and flowering to veraison (Ver). Parental and consensus genetic maps were built using 153 microsatellite markers on 188 individuals. Six independent quantitative trait loci (QTLs) were detected for the three phases. They were located on chromosomes 4 and 19 for Bud, chromosomes 7 and 14 for Flo and chromosomes 16 and 18 for Ver. Interactions were detected between loci and also between alleles at the same locus. Using the available grapevine whole-genome sequences, candidate genes underlying the QTLs were identified. VvFT, on chromosome 7, and a CONSTANS-like gene, on chromosome 14, were found to colocalise with the QTLs for flowering time. Genes related to the abscisic acid response and to sugar metabolism were detected within the confidence intervals of QTLs for veraison time. Their possible roles in the developmental process are discussed. These results raise new hypotheses for a better understanding of the physiological processes governing grapevine phenology and provide a framework for breeding new varieties adapted to the future predicted climatic conditions.","container-title":"Theoretical and Applied Genetics","DOI":"10.1007/s00122-011-1734-1","ISSN":"0040-5752","issue":"4","journalAbbreviation":"Theor. Appl. Genet.","language":"English","note":"WOS:000300245100002","page":"623-635","source":"Web of Science","title":"Towards the adaptation of grapevine varieties to climate change: QTLs and candidate genes for developmental stages","title-short":"Towards the adaptation of grapevine varieties to climate change","volume":"124","author":[{"family":"Duchene","given":"Eric"},{"family":"Butterlin","given":"Gisele"},{"family":"Dumas","given":"Vincent"},{"family":"Merdinoglu","given":"Didier"}],"issued":{"date-parts":[["2012",3]]}}},{"id":3111,"uris":["http://zotero.org/users/2311545/items/QVHRGN5P"],"uri":["http://zotero.org/users/2311545/items/QVHRGN5P"],"itemData":{"id":3111,"type":"article-journal","abstract":"In recent years the scientific community has been heavily engaged in studying the grapevine response to climate change. Final goal is the identification of key genetic traits to be used in grapevine breeding and the setting of agronomic practices to improve climatic resilience. The increasing availability of transcriptomic studies, describing gene expression in many tissues and developmental or treatment conditions, have allowed the implementation of gene expression compendia, which enclose a huge amount of information. The mining of transcriptomic data represents an effective approach to expand a known local gene network (LGN) by finding new related genes. We recently published a pipeline based on the iterative application of the PC-algorithm, named NES2RA, to expand gene networks in Escherichia coli and Arabidopsis thaliana. Here, we propose the application of this method to the grapevine transcriptomic compendium Vespucci, in order to expand four LGNs related to the grapevine response to climate change. Two networks are related to the secondary metabolic pathways for anthocyanin and stilbenoid synthesis, involved in the response to solar radiation, whereas the other two are signaling networks, related to the hormones abscisic acid and ethylene, possibly involved in the regulation of cell water balance and cuticle transpiration. The expansion networks produced by NES2RA algorithm have been evaluated by comparison with experimental data and biological knowledge on the identified genes showing fairly good consistency of the results. In addition, the algorithm was effective in retaining only the most significant interactions among the genes providing a useful framework for experimental validation. The application of the NES2RA to Vitis vinifera expression data by means of the BOINC-based implementation is available upon request (valter.cavecchia@cnr.it).","container-title":"Frontiers in Plant Science","DOI":"10.3389/fpls.2018.01385","ISSN":"1664-462X","journalAbbreviation":"Front. Plant Sci.","language":"English","note":"publisher: Frontiers","source":"Frontiers","title":"Discovering Causal Relationships in Grapevine Expression Data to Expand Gene Networks. A Case Study: Four Networks Related to Climate Change","title-short":"Discovering Causal Relationships in Grapevine Expression Data to Expand Gene Networks. A Case Study","URL":"https://www.frontiersin.org/articles/10.3389/fpls.2018.01385/full","volume":"9","author":[{"family":"Malacarne","given":"Giulia"},{"family":"Pilati","given":"Stefania"},{"family":"Valentini","given":"Samuel"},{"family":"Asnicar","given":"Francesco"},{"family":"Moretto","given":"Marco"},{"family":"Sonego","given":"Paolo"},{"family":"Masera","given":"Luca"},{"family":"Cavecchia","given":"Valter"},{"family":"Blanzieri","given":"Enrico"},{"family":"Moser","given":"Claudio"}],"accessed":{"date-parts":[["2020",6,6]]},"issued":{"date-parts":[["2018"]]}}},{"id":2773,"uris":["http://zotero.org/users/2311545/items/Z66Q5SU9"],"uri":["http://zotero.org/users/2311545/items/Z66Q5SU9"],"itemData":{"id":2773,"type":"article-journal","abstract":"Background and Aims Grapevine introduction into South America occurred after Spanish colonisation during the 16th century. In Chile, some vines were established in small villages and oases along the Atacama Desert. Considering that these plants have survived harsh environmental conditions, we explored and collected naturalised vines from 18°34′LS (close to the Peruvian border) to 31°53′LS, in order to understand their genetic nature and preserve this germplasm. Methods and Results Over 150 grapevine accessions were collected and characterised using 11 Simple Sequence Repeats (SSR) markers, to determine the genetic diversity and to propose a population structuring. SSR diversity was high, with observed heterozygosity (Ho = 0.87) greater than expected heterozygosity (He = 0.70). Three discrete genetic groups were identified, which did not show any association with geographical distribution. Groups 1 (G1) and G3 had a higher level of genetic diversity and also an important level of heterozygosity. Conclusions The gene pool of naturalised grapevines from the Atacama Desert had a significant genetic diversity and exhibited an important level of heterozygote excess. Clustering of this diversity suggested that this naturalised grapevine germplasm would represent a novel source of allelic variants. Significance of the Study Naturalised and admixed genotypes are potential sources of new alleles, and are a unique source of diversity for grapevine breeding cultivars and/or rootstocks better adapted to the prospect of climate change.","container-title":"Australian Journal of Grape and Wine Research","DOI":"10.1111/ajgw.12020","ISSN":"1755-0238","issue":"2","language":"en","page":"299-310","source":"Wiley Online Library","title":"Naturalised grapevines collected from arid regions in Northern Chile exhibit a high level of genetic diversity","volume":"19","author":[{"family":"Milla‐Tapia","given":"A."},{"family":"Gómez","given":"S."},{"family":"Moncada","given":"X."},{"family":"León","given":"P."},{"family":"Ibacache","given":"A."},{"family":"Rosas","given":"M."},{"family":"Carrasco","given":"B."},{"family":"Hinrichsen","given":"P."},{"family":"Zurita‐Silva","given":"A."}],"issued":{"date-parts":[["2013"]]}}}],"schema":"https://github.com/citation-style-language/schema/raw/master/csl-citation.json"} </w:instrTex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26"/>
            </w:r>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27"/>
            </w:r>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28"/>
            </w:r>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29"/>
            </w:r>
          </w:p>
        </w:tc>
        <w:tc>
          <w:tcPr>
            <w:tcW w:w="625" w:type="pct"/>
            <w:tcBorders>
              <w:left w:val="nil"/>
              <w:right w:val="nil"/>
            </w:tcBorders>
          </w:tcPr>
          <w:p w14:paraId="33C743A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7E7B123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0B921E6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7FA4DC2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729EF811"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1EC9430D" w14:textId="77777777" w:rsidTr="00645340">
        <w:trPr>
          <w:cantSplit/>
        </w:trPr>
        <w:tc>
          <w:tcPr>
            <w:tcW w:w="390" w:type="pct"/>
            <w:vMerge/>
            <w:tcBorders>
              <w:right w:val="nil"/>
            </w:tcBorders>
          </w:tcPr>
          <w:p w14:paraId="232426F8"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3CF7BF20"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Microclimate</w:t>
            </w:r>
          </w:p>
        </w:tc>
        <w:tc>
          <w:tcPr>
            <w:tcW w:w="833" w:type="pct"/>
            <w:tcBorders>
              <w:left w:val="nil"/>
              <w:right w:val="nil"/>
            </w:tcBorders>
          </w:tcPr>
          <w:p w14:paraId="076C0FF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_Ref42348057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18</w:t>
            </w:r>
            <w:r w:rsidRPr="0015499D">
              <w:rPr>
                <w:rFonts w:ascii="Calibri" w:eastAsia="Calibri" w:hAnsi="Calibri" w:cs="Times New Roman"/>
                <w:sz w:val="20"/>
                <w:szCs w:val="24"/>
                <w:lang w:val="en-GB"/>
              </w:rPr>
              <w:fldChar w:fldCharType="end"/>
            </w:r>
          </w:p>
        </w:tc>
        <w:tc>
          <w:tcPr>
            <w:tcW w:w="521" w:type="pct"/>
            <w:tcBorders>
              <w:left w:val="nil"/>
              <w:right w:val="nil"/>
            </w:tcBorders>
          </w:tcPr>
          <w:p w14:paraId="57AD01F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625" w:type="pct"/>
            <w:tcBorders>
              <w:left w:val="nil"/>
              <w:right w:val="nil"/>
            </w:tcBorders>
          </w:tcPr>
          <w:p w14:paraId="23316A60" w14:textId="2E30732E"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fr-FR"/>
              </w:rPr>
              <w:fldChar w:fldCharType="begin"/>
            </w:r>
            <w:r w:rsidRPr="0015499D">
              <w:rPr>
                <w:rFonts w:ascii="Calibri" w:eastAsia="Calibri" w:hAnsi="Calibri" w:cs="Times New Roman"/>
                <w:sz w:val="20"/>
                <w:szCs w:val="24"/>
                <w:lang w:val="fr-FR"/>
              </w:rPr>
              <w:instrText xml:space="preserve"> NOTEREF _Ref42351384 \h </w:instrText>
            </w:r>
            <w:r w:rsidRPr="0015499D">
              <w:rPr>
                <w:rFonts w:ascii="Calibri" w:eastAsia="Calibri" w:hAnsi="Calibri" w:cs="Calibri"/>
                <w:sz w:val="20"/>
                <w:szCs w:val="24"/>
                <w:lang w:val="fr-FR"/>
              </w:rPr>
              <w:instrText xml:space="preserve">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Times New Roman"/>
                <w:sz w:val="20"/>
                <w:szCs w:val="24"/>
                <w:lang w:val="fr-FR"/>
              </w:rPr>
              <w:t>10</w:t>
            </w:r>
            <w:r w:rsidRPr="0015499D">
              <w:rPr>
                <w:rFonts w:ascii="Calibri" w:eastAsia="Calibri" w:hAnsi="Calibri" w:cs="Calibri"/>
                <w:sz w:val="20"/>
                <w:szCs w:val="24"/>
                <w:lang w:val="fr-FR"/>
              </w:rPr>
              <w:fldChar w:fldCharType="end"/>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_Ref42351439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11</w:t>
            </w:r>
            <w:r w:rsidRPr="0015499D">
              <w:rPr>
                <w:rFonts w:ascii="Calibri" w:eastAsia="Calibri" w:hAnsi="Calibri" w:cs="Calibri"/>
                <w:sz w:val="20"/>
                <w:szCs w:val="24"/>
                <w:lang w:val="en-GB"/>
              </w:rPr>
              <w:fldChar w:fldCharType="end"/>
            </w:r>
          </w:p>
        </w:tc>
        <w:tc>
          <w:tcPr>
            <w:tcW w:w="469" w:type="pct"/>
            <w:tcBorders>
              <w:left w:val="nil"/>
              <w:right w:val="nil"/>
            </w:tcBorders>
          </w:tcPr>
          <w:p w14:paraId="39CAB234"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526B51D1" w14:textId="2FCCF099"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ADDIN ZOTERO_ITEM CSL_CITATION {"citationID":"uKAR3m69","properties":{"formattedCitation":"(Hunter et al., 2016)","plainCitation":"(Hunter et al., 2016)","dontUpdate":true,"noteIndex":0},"citationItems":[{"id":2629,"uris":["http://zotero.org/users/2311545/items/G7PP6J2D"],"uri":["http://zotero.org/users/2311545/items/G7PP6J2D"],"itemData":{"id":2629,"type":"article-journal","abstract":"Establishment of vineyards is often forced towards geo-morphologically complex terroir where aspect, slope, relief and erosion are determining factors in orientation of rows. In this novel study, changes in primarily microclimate proﬁles and vine physiological behaviour with different row orientations were studied on a ﬂat terrain in a semi-arid environment with the purpose of aiding vineyard management decisions and practices for production of grapes and wine. Effects of grapevine row orientation (NS, EW, NE-SW, NW-SE) of vertically trellised and shoot positioned Vitis vinifera L. Shiraz/101-14 Mgt on vineyard meso- and microclimate as well as vine physiological status, within the context of regional macroclimate, were investigated under ﬁeld conditions over many seasons. Novel wind velocity and direction proﬁles in vineyard rows showed velocity in work rows paralleling ambient prevailing wind and direction ﬂow patterns being affected by canopy development and row orientation; NW-SE and EW orientated rows maintained higher wind velocity in work rows than NS and NE-SW rows. Mesoclimatic photosynthetic active radiation was in line with macroclimate radiation. Microclimatically, EW orientated rows maintained lowest interior canopy light interception, NS orientation displayed highest values, peaking in morning and afternoon, whereas NE-SW and NW-SE orientations peaked primarily in afternoon and morning, respectively. The EW orientated rows captured largest portion of total radiation in the bunch zone from soil reﬂected radiation. Canopy interior temperature differences were likely masked by air temperature. Basal leaf water potential was relatively unaffected by row side; results point to internal regulation of whole plant water status. Leaf temperature showed minor differences. Relative humidity followed opposite trends to those of air- and leaf temperature. Leaves of EW orientated vines had highest average photosynthesis, corresponding to stomatal conductance and transpiration. Most uniform canopy photosynthesis occurred for NS and NW-SE orientations. Photosynthesis trends practically demonstrated mirror diurnal images for canopy sides of each orientation. Row orientation signiﬁcantly affected mesoand microclimate, radiation in particular directly affecting energy/heat balances and concomitant canopy physiological processes. The study provided new insights into: vine physiological response to row orientation, the role of row orientation as viticulture practice; decision-making for establishment; and management of existing vineyards, irrespective of terroir soil and climatic conditions and product objectives. Results are globally relevant, especially within the context of climate change, and provide ﬁrst comprehensive climatic/grapevine physiological evidence on the impact of grapevine row orientation as viticulture practice.","container-title":"Agricultural and Forest Meteorology","DOI":"10.1016/j.agrformet.2016.06.013","ISSN":"01681923","journalAbbreviation":"Agricultural and Forest Meteorology","language":"en","page":"104-119","source":"DOI.org (Crossref)","title":"Vineyard row orientation of Vitis vinifera L. cv. Shiraz/101-14 Mgt: Climatic profiles and vine physiological status","title-short":"Vineyard row orientation of Vitis vinifera L. cv. Shiraz/101-14 Mgt","volume":"228-229","author":[{"family":"Hunter","given":"J.J"},{"family":"Volschenk","given":"C.G."},{"family":"Zorer","given":"R."}],"issued":{"date-parts":[["2016",11]]}}}],"schema":"https://github.com/citation-style-language/schema/raw/master/csl-citation.json"} </w:instrText>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_Ref42351557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14</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fldChar w:fldCharType="end"/>
            </w:r>
            <w:r>
              <w:rPr>
                <w:rFonts w:ascii="Calibri" w:eastAsia="Calibri" w:hAnsi="Calibri" w:cs="Times New Roman"/>
                <w:sz w:val="20"/>
                <w:szCs w:val="24"/>
                <w:lang w:val="en-GB"/>
              </w:rPr>
              <w:t>, 44</w:t>
            </w:r>
          </w:p>
        </w:tc>
        <w:tc>
          <w:tcPr>
            <w:tcW w:w="469" w:type="pct"/>
            <w:tcBorders>
              <w:left w:val="nil"/>
              <w:right w:val="nil"/>
            </w:tcBorders>
          </w:tcPr>
          <w:p w14:paraId="7A2E9B4F"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6909247A"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38329C37" w14:textId="77777777" w:rsidTr="00645340">
        <w:trPr>
          <w:cantSplit/>
        </w:trPr>
        <w:tc>
          <w:tcPr>
            <w:tcW w:w="390" w:type="pct"/>
            <w:vMerge/>
            <w:tcBorders>
              <w:right w:val="nil"/>
            </w:tcBorders>
          </w:tcPr>
          <w:p w14:paraId="2A1DFE53"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5BB27D42"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Plant growth</w:t>
            </w:r>
          </w:p>
        </w:tc>
        <w:tc>
          <w:tcPr>
            <w:tcW w:w="833" w:type="pct"/>
            <w:tcBorders>
              <w:left w:val="nil"/>
              <w:right w:val="nil"/>
            </w:tcBorders>
          </w:tcPr>
          <w:p w14:paraId="697C3546" w14:textId="77777777" w:rsidR="00AB675F" w:rsidRPr="0015499D" w:rsidRDefault="00AB675F" w:rsidP="00AB675F">
            <w:pPr>
              <w:keepNext/>
              <w:spacing w:before="0" w:after="0" w:line="300" w:lineRule="atLeast"/>
              <w:jc w:val="both"/>
              <w:rPr>
                <w:rFonts w:ascii="Calibri" w:eastAsia="Calibri" w:hAnsi="Calibri" w:cs="Calibri"/>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_Ref42348846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1</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_Ref42348057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18</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_Ref42352176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39</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_Ref42349340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_Ref42349415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6</w:t>
            </w:r>
            <w:r w:rsidRPr="0015499D">
              <w:rPr>
                <w:rFonts w:ascii="Calibri" w:eastAsia="Calibri" w:hAnsi="Calibri" w:cs="Times New Roman"/>
                <w:sz w:val="20"/>
                <w:szCs w:val="24"/>
                <w:lang w:val="en-GB"/>
              </w:rPr>
              <w:fldChar w:fldCharType="end"/>
            </w:r>
          </w:p>
        </w:tc>
        <w:tc>
          <w:tcPr>
            <w:tcW w:w="521" w:type="pct"/>
            <w:tcBorders>
              <w:left w:val="nil"/>
              <w:right w:val="nil"/>
            </w:tcBorders>
          </w:tcPr>
          <w:p w14:paraId="5D14B8A3" w14:textId="77777777" w:rsidR="00AB675F" w:rsidRPr="0015499D" w:rsidRDefault="00AB675F" w:rsidP="00AB675F">
            <w:pPr>
              <w:keepNext/>
              <w:spacing w:before="0" w:after="0" w:line="300" w:lineRule="atLeast"/>
              <w:jc w:val="both"/>
              <w:rPr>
                <w:rFonts w:ascii="Calibri" w:eastAsia="Calibri" w:hAnsi="Calibri" w:cs="Calibri"/>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_Ref42351139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23</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_Ref42352176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39</w:t>
            </w:r>
            <w:r w:rsidRPr="0015499D">
              <w:rPr>
                <w:rFonts w:ascii="Calibri" w:eastAsia="Calibri" w:hAnsi="Calibri" w:cs="Calibri"/>
                <w:sz w:val="20"/>
                <w:szCs w:val="24"/>
                <w:lang w:val="en-GB"/>
              </w:rPr>
              <w:fldChar w:fldCharType="end"/>
            </w:r>
          </w:p>
        </w:tc>
        <w:tc>
          <w:tcPr>
            <w:tcW w:w="625" w:type="pct"/>
            <w:tcBorders>
              <w:left w:val="nil"/>
              <w:right w:val="nil"/>
            </w:tcBorders>
          </w:tcPr>
          <w:p w14:paraId="7EFC28D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2AB8BCD1"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DB4AAA">
              <w:rPr>
                <w:rFonts w:ascii="Calibri" w:eastAsia="Calibri" w:hAnsi="Calibri" w:cs="Times New Roman"/>
                <w:sz w:val="20"/>
                <w:szCs w:val="24"/>
                <w:lang w:val="en-GB"/>
              </w:rPr>
              <w:instrText xml:space="preserve"> NOTEREF _Ref42352073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DB4AAA">
              <w:rPr>
                <w:rFonts w:ascii="Calibri" w:eastAsia="Calibri" w:hAnsi="Calibri" w:cs="Times New Roman"/>
                <w:sz w:val="20"/>
                <w:szCs w:val="24"/>
                <w:lang w:val="en-GB"/>
              </w:rPr>
              <w:t>34</w:t>
            </w:r>
            <w:r w:rsidRPr="0015499D">
              <w:rPr>
                <w:rFonts w:ascii="Calibri" w:eastAsia="Calibri" w:hAnsi="Calibri" w:cs="Times New Roman"/>
                <w:sz w:val="20"/>
                <w:szCs w:val="24"/>
                <w:lang w:val="en-GB"/>
              </w:rPr>
              <w:fldChar w:fldCharType="end"/>
            </w:r>
          </w:p>
        </w:tc>
        <w:tc>
          <w:tcPr>
            <w:tcW w:w="573" w:type="pct"/>
            <w:tcBorders>
              <w:left w:val="nil"/>
              <w:right w:val="nil"/>
            </w:tcBorders>
          </w:tcPr>
          <w:p w14:paraId="39F6B14F"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47FCEA5B"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4CB789E9"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6B62D353" w14:textId="77777777" w:rsidTr="00645340">
        <w:trPr>
          <w:cantSplit/>
        </w:trPr>
        <w:tc>
          <w:tcPr>
            <w:tcW w:w="390" w:type="pct"/>
            <w:vMerge/>
            <w:tcBorders>
              <w:right w:val="nil"/>
            </w:tcBorders>
          </w:tcPr>
          <w:p w14:paraId="089FCB64"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754A73E5"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Root dynamics</w:t>
            </w:r>
          </w:p>
        </w:tc>
        <w:tc>
          <w:tcPr>
            <w:tcW w:w="833" w:type="pct"/>
            <w:tcBorders>
              <w:left w:val="nil"/>
              <w:right w:val="nil"/>
            </w:tcBorders>
          </w:tcPr>
          <w:p w14:paraId="444D1DB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p>
        </w:tc>
        <w:tc>
          <w:tcPr>
            <w:tcW w:w="521" w:type="pct"/>
            <w:tcBorders>
              <w:left w:val="nil"/>
              <w:right w:val="nil"/>
            </w:tcBorders>
          </w:tcPr>
          <w:p w14:paraId="5D79C354"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p>
        </w:tc>
        <w:tc>
          <w:tcPr>
            <w:tcW w:w="625" w:type="pct"/>
            <w:tcBorders>
              <w:left w:val="nil"/>
              <w:right w:val="nil"/>
            </w:tcBorders>
          </w:tcPr>
          <w:p w14:paraId="2347632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04B3AFC1"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25" w:name="_Ref42351792"/>
            <w:r w:rsidRPr="0015499D">
              <w:rPr>
                <w:rStyle w:val="Appeldenotedefin"/>
                <w:sz w:val="20"/>
                <w:vertAlign w:val="baseline"/>
              </w:rPr>
              <w:endnoteReference w:id="30"/>
            </w:r>
            <w:bookmarkEnd w:id="25"/>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_Ref42351731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25</w:t>
            </w:r>
            <w:r w:rsidRPr="0015499D">
              <w:rPr>
                <w:rFonts w:ascii="Calibri" w:eastAsia="Calibri" w:hAnsi="Calibri" w:cs="Times New Roman"/>
                <w:sz w:val="20"/>
                <w:szCs w:val="24"/>
                <w:lang w:val="en-GB"/>
              </w:rPr>
              <w:fldChar w:fldCharType="end"/>
            </w:r>
          </w:p>
        </w:tc>
        <w:tc>
          <w:tcPr>
            <w:tcW w:w="573" w:type="pct"/>
            <w:tcBorders>
              <w:left w:val="nil"/>
              <w:right w:val="nil"/>
            </w:tcBorders>
          </w:tcPr>
          <w:p w14:paraId="11E9F39B"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57334AF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65CFAE69"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0D4F3DCA" w14:textId="77777777" w:rsidTr="00645340">
        <w:trPr>
          <w:cantSplit/>
        </w:trPr>
        <w:tc>
          <w:tcPr>
            <w:tcW w:w="390" w:type="pct"/>
            <w:vMerge/>
            <w:tcBorders>
              <w:right w:val="nil"/>
            </w:tcBorders>
          </w:tcPr>
          <w:p w14:paraId="4952078B"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6AF84B04"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Carbon reserve</w:t>
            </w:r>
          </w:p>
        </w:tc>
        <w:tc>
          <w:tcPr>
            <w:tcW w:w="833" w:type="pct"/>
            <w:tcBorders>
              <w:left w:val="nil"/>
              <w:right w:val="nil"/>
            </w:tcBorders>
          </w:tcPr>
          <w:p w14:paraId="5262CB64"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21" w:type="pct"/>
            <w:tcBorders>
              <w:left w:val="nil"/>
              <w:right w:val="nil"/>
            </w:tcBorders>
          </w:tcPr>
          <w:p w14:paraId="3321ADBF"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bookmarkStart w:id="26" w:name="_Ref42351830"/>
        <w:tc>
          <w:tcPr>
            <w:tcW w:w="625" w:type="pct"/>
            <w:tcBorders>
              <w:left w:val="nil"/>
              <w:right w:val="nil"/>
            </w:tcBorders>
          </w:tcPr>
          <w:p w14:paraId="2E1339E0" w14:textId="78404FA8"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fr-FR"/>
              </w:rPr>
              <w:fldChar w:fldCharType="begin"/>
            </w:r>
            <w:r w:rsidRPr="00DB4AAA">
              <w:rPr>
                <w:rFonts w:ascii="Calibri" w:eastAsia="Calibri" w:hAnsi="Calibri" w:cs="Calibri"/>
                <w:sz w:val="20"/>
                <w:szCs w:val="24"/>
                <w:lang w:val="en-GB"/>
              </w:rPr>
              <w:instrText xml:space="preserve"> NOTEREF _Ref42351478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DB4AAA">
              <w:rPr>
                <w:rFonts w:ascii="Calibri" w:eastAsia="Calibri" w:hAnsi="Calibri" w:cs="Calibri"/>
                <w:sz w:val="20"/>
                <w:szCs w:val="24"/>
                <w:lang w:val="en-GB"/>
              </w:rPr>
              <w:t>12</w:t>
            </w:r>
            <w:r w:rsidRPr="0015499D">
              <w:rPr>
                <w:rFonts w:ascii="Calibri" w:eastAsia="Calibri" w:hAnsi="Calibri" w:cs="Calibri"/>
                <w:sz w:val="20"/>
                <w:szCs w:val="24"/>
                <w:lang w:val="fr-FR"/>
              </w:rPr>
              <w:fldChar w:fldCharType="end"/>
            </w:r>
            <w:r w:rsidRPr="00DB4AAA">
              <w:rPr>
                <w:rFonts w:ascii="Calibri" w:eastAsia="Calibri" w:hAnsi="Calibri" w:cs="Calibri"/>
                <w:sz w:val="20"/>
                <w:szCs w:val="24"/>
                <w:lang w:val="en-GB"/>
              </w:rPr>
              <w:t xml:space="preserve"> , </w:t>
            </w:r>
            <w:r w:rsidRPr="0015499D">
              <w:rPr>
                <w:rStyle w:val="Appeldenotedefin"/>
                <w:sz w:val="20"/>
                <w:vertAlign w:val="baseline"/>
              </w:rPr>
              <w:endnoteReference w:id="31"/>
            </w:r>
            <w:bookmarkEnd w:id="26"/>
          </w:p>
        </w:tc>
        <w:tc>
          <w:tcPr>
            <w:tcW w:w="469" w:type="pct"/>
            <w:tcBorders>
              <w:left w:val="nil"/>
              <w:right w:val="nil"/>
            </w:tcBorders>
          </w:tcPr>
          <w:p w14:paraId="32A016C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22B754D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6E3E5B2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693ABC1B"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4723E7BE" w14:textId="77777777" w:rsidTr="00645340">
        <w:trPr>
          <w:cantSplit/>
        </w:trPr>
        <w:tc>
          <w:tcPr>
            <w:tcW w:w="390" w:type="pct"/>
            <w:vMerge w:val="restart"/>
            <w:tcBorders>
              <w:right w:val="nil"/>
            </w:tcBorders>
          </w:tcPr>
          <w:p w14:paraId="34022A07"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Field scale</w:t>
            </w:r>
          </w:p>
        </w:tc>
        <w:tc>
          <w:tcPr>
            <w:tcW w:w="706" w:type="pct"/>
            <w:tcBorders>
              <w:left w:val="nil"/>
              <w:right w:val="nil"/>
            </w:tcBorders>
          </w:tcPr>
          <w:p w14:paraId="5213187F"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Phenology / Suitability</w:t>
            </w:r>
          </w:p>
        </w:tc>
        <w:tc>
          <w:tcPr>
            <w:tcW w:w="833" w:type="pct"/>
            <w:tcBorders>
              <w:left w:val="nil"/>
              <w:right w:val="nil"/>
            </w:tcBorders>
          </w:tcPr>
          <w:p w14:paraId="419FA4B1" w14:textId="6845E5F7"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27" w:name="_Ref42351917"/>
            <w:r>
              <w:rPr>
                <w:rFonts w:ascii="Calibri" w:eastAsia="Calibri" w:hAnsi="Calibri" w:cs="Times New Roman"/>
                <w:sz w:val="20"/>
                <w:szCs w:val="24"/>
                <w:lang w:val="en-GB"/>
              </w:rPr>
              <w:t xml:space="preserve">2, </w:t>
            </w:r>
            <w:r w:rsidRPr="0015499D">
              <w:rPr>
                <w:rStyle w:val="Appeldenotedefin"/>
                <w:sz w:val="20"/>
                <w:vertAlign w:val="baseline"/>
              </w:rPr>
              <w:endnoteReference w:id="32"/>
            </w:r>
            <w:bookmarkEnd w:id="27"/>
          </w:p>
        </w:tc>
        <w:tc>
          <w:tcPr>
            <w:tcW w:w="521" w:type="pct"/>
            <w:tcBorders>
              <w:left w:val="nil"/>
              <w:right w:val="nil"/>
            </w:tcBorders>
          </w:tcPr>
          <w:p w14:paraId="247DEB00" w14:textId="0B051651"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28" w:name="_Ref42351970"/>
            <w:r w:rsidRPr="0015499D">
              <w:rPr>
                <w:rStyle w:val="Appeldenotedefin"/>
                <w:sz w:val="20"/>
                <w:vertAlign w:val="baseline"/>
              </w:rPr>
              <w:endnoteReference w:id="33"/>
            </w:r>
            <w:bookmarkEnd w:id="28"/>
            <w:r>
              <w:rPr>
                <w:rFonts w:ascii="Calibri" w:eastAsia="Calibri" w:hAnsi="Calibri" w:cs="Times New Roman"/>
                <w:sz w:val="20"/>
                <w:szCs w:val="24"/>
                <w:lang w:val="en-GB"/>
              </w:rPr>
              <w:t>, 21, 36</w:t>
            </w:r>
          </w:p>
        </w:tc>
        <w:tc>
          <w:tcPr>
            <w:tcW w:w="625" w:type="pct"/>
            <w:tcBorders>
              <w:left w:val="nil"/>
              <w:right w:val="nil"/>
            </w:tcBorders>
          </w:tcPr>
          <w:p w14:paraId="0DAD2A88" w14:textId="77777777" w:rsidR="00AB675F" w:rsidRPr="00DB4AAA"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DB4AAA">
              <w:rPr>
                <w:rFonts w:ascii="Calibri" w:eastAsia="Calibri" w:hAnsi="Calibri" w:cs="Times New Roman"/>
                <w:sz w:val="20"/>
                <w:szCs w:val="24"/>
                <w:lang w:val="en-GB"/>
              </w:rPr>
              <w:instrText xml:space="preserve"> NOTEREF _Ref42351648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DB4AAA">
              <w:rPr>
                <w:rFonts w:ascii="Calibri" w:eastAsia="Calibri" w:hAnsi="Calibri" w:cs="Times New Roman"/>
                <w:sz w:val="20"/>
                <w:szCs w:val="24"/>
                <w:lang w:val="en-GB"/>
              </w:rPr>
              <w:t>17</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DB4AAA">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DB4AAA">
              <w:rPr>
                <w:rFonts w:ascii="Calibri" w:eastAsia="Calibri" w:hAnsi="Calibri" w:cs="Times New Roman"/>
                <w:sz w:val="20"/>
                <w:szCs w:val="24"/>
                <w:lang w:val="en-GB"/>
              </w:rPr>
              <w:instrText xml:space="preserve"> NOTEREF _Ref42351917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DB4AAA">
              <w:rPr>
                <w:rFonts w:ascii="Calibri" w:eastAsia="Calibri" w:hAnsi="Calibri" w:cs="Times New Roman"/>
                <w:sz w:val="20"/>
                <w:szCs w:val="24"/>
                <w:lang w:val="en-GB"/>
              </w:rPr>
              <w:t>32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DB4AAA">
              <w:rPr>
                <w:rFonts w:ascii="Calibri" w:eastAsia="Calibri" w:hAnsi="Calibri" w:cs="Times New Roman"/>
                <w:sz w:val="20"/>
                <w:szCs w:val="24"/>
                <w:lang w:val="en-GB"/>
              </w:rPr>
              <w:t xml:space="preserve"> </w:t>
            </w:r>
            <w:bookmarkStart w:id="29" w:name="_Ref42352073"/>
            <w:r w:rsidRPr="0015499D">
              <w:rPr>
                <w:rStyle w:val="Appeldenotedefin"/>
                <w:sz w:val="20"/>
                <w:vertAlign w:val="baseline"/>
              </w:rPr>
              <w:endnoteReference w:id="34"/>
            </w:r>
            <w:bookmarkEnd w:id="29"/>
          </w:p>
        </w:tc>
        <w:tc>
          <w:tcPr>
            <w:tcW w:w="469" w:type="pct"/>
            <w:tcBorders>
              <w:left w:val="nil"/>
              <w:right w:val="nil"/>
            </w:tcBorders>
          </w:tcPr>
          <w:p w14:paraId="47455A7A"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_Ref42349895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22</w:t>
            </w:r>
            <w:r w:rsidRPr="0015499D">
              <w:rPr>
                <w:rFonts w:ascii="Calibri" w:eastAsia="Calibri" w:hAnsi="Calibri" w:cs="Times New Roman"/>
                <w:sz w:val="20"/>
                <w:szCs w:val="24"/>
                <w:lang w:val="en-GB"/>
              </w:rPr>
              <w:fldChar w:fldCharType="end"/>
            </w:r>
          </w:p>
        </w:tc>
        <w:tc>
          <w:tcPr>
            <w:tcW w:w="573" w:type="pct"/>
            <w:tcBorders>
              <w:left w:val="nil"/>
              <w:right w:val="nil"/>
            </w:tcBorders>
          </w:tcPr>
          <w:p w14:paraId="663C7912"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30" w:name="_Ref42352005"/>
            <w:r w:rsidRPr="0015499D">
              <w:rPr>
                <w:rStyle w:val="Appeldenotedefin"/>
                <w:sz w:val="20"/>
                <w:vertAlign w:val="baseline"/>
              </w:rPr>
              <w:endnoteReference w:id="35"/>
            </w:r>
            <w:bookmarkEnd w:id="30"/>
          </w:p>
        </w:tc>
        <w:tc>
          <w:tcPr>
            <w:tcW w:w="469" w:type="pct"/>
            <w:tcBorders>
              <w:left w:val="nil"/>
              <w:right w:val="nil"/>
            </w:tcBorders>
          </w:tcPr>
          <w:p w14:paraId="38FD87BF"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714D8CEA" w14:textId="2200A4B9"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Style w:val="Appeldenotedefin"/>
                <w:sz w:val="20"/>
                <w:vertAlign w:val="baseline"/>
              </w:rPr>
              <w:endnoteReference w:id="36"/>
            </w:r>
            <w:r w:rsidRPr="0015499D">
              <w:rPr>
                <w:rFonts w:ascii="Calibri" w:eastAsia="Calibri" w:hAnsi="Calibri" w:cs="Times New Roman"/>
                <w:sz w:val="20"/>
                <w:szCs w:val="24"/>
                <w:lang w:val="en-GB"/>
              </w:rPr>
              <w:t xml:space="preserve">, </w:t>
            </w:r>
            <w:bookmarkStart w:id="31" w:name="_Ref42356169"/>
            <w:r w:rsidRPr="0015499D">
              <w:rPr>
                <w:rStyle w:val="Appeldenotedefin"/>
                <w:sz w:val="20"/>
                <w:vertAlign w:val="baseline"/>
              </w:rPr>
              <w:endnoteReference w:id="37"/>
            </w:r>
            <w:bookmarkEnd w:id="31"/>
          </w:p>
        </w:tc>
      </w:tr>
      <w:tr w:rsidR="00AB675F" w:rsidRPr="00CD39DD" w14:paraId="0779AEC0" w14:textId="77777777" w:rsidTr="00645340">
        <w:trPr>
          <w:cantSplit/>
        </w:trPr>
        <w:tc>
          <w:tcPr>
            <w:tcW w:w="390" w:type="pct"/>
            <w:vMerge/>
            <w:tcBorders>
              <w:right w:val="nil"/>
            </w:tcBorders>
          </w:tcPr>
          <w:p w14:paraId="477E2BE1"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4E6637FF"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Yield</w:t>
            </w:r>
          </w:p>
        </w:tc>
        <w:tc>
          <w:tcPr>
            <w:tcW w:w="833" w:type="pct"/>
            <w:tcBorders>
              <w:left w:val="nil"/>
              <w:right w:val="nil"/>
            </w:tcBorders>
          </w:tcPr>
          <w:p w14:paraId="427F02A2" w14:textId="1186E39E"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DB4AAA">
              <w:rPr>
                <w:rFonts w:ascii="Calibri" w:eastAsia="Calibri" w:hAnsi="Calibri" w:cs="Calibri"/>
                <w:sz w:val="20"/>
                <w:szCs w:val="24"/>
                <w:lang w:val="en-GB"/>
              </w:rPr>
              <w:instrText xml:space="preserve"> NOTEREF _Ref42348846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DB4AAA">
              <w:rPr>
                <w:rFonts w:ascii="Calibri" w:eastAsia="Calibri" w:hAnsi="Calibri" w:cs="Calibri"/>
                <w:sz w:val="20"/>
                <w:szCs w:val="24"/>
                <w:lang w:val="en-GB"/>
              </w:rPr>
              <w:t>1</w:t>
            </w:r>
            <w:r w:rsidRPr="0015499D">
              <w:rPr>
                <w:rFonts w:ascii="Calibri" w:eastAsia="Calibri" w:hAnsi="Calibri" w:cs="Times New Roman"/>
                <w:sz w:val="20"/>
                <w:szCs w:val="24"/>
                <w:lang w:val="en-GB"/>
              </w:rPr>
              <w:fldChar w:fldCharType="end"/>
            </w:r>
            <w:r w:rsidRPr="00DB4AAA">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DB4AAA">
              <w:rPr>
                <w:rFonts w:ascii="Calibri" w:eastAsia="Calibri" w:hAnsi="Calibri" w:cs="Times New Roman"/>
                <w:sz w:val="20"/>
                <w:szCs w:val="24"/>
                <w:lang w:val="en-GB"/>
              </w:rPr>
              <w:instrText xml:space="preserve"> NOTEREF _Ref42348981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DB4AAA">
              <w:rPr>
                <w:rFonts w:ascii="Calibri" w:eastAsia="Calibri" w:hAnsi="Calibri" w:cs="Times New Roman"/>
                <w:sz w:val="20"/>
                <w:szCs w:val="24"/>
                <w:lang w:val="en-GB"/>
              </w:rPr>
              <w:t>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DB4AAA">
              <w:rPr>
                <w:rFonts w:ascii="Calibri" w:eastAsia="Calibri" w:hAnsi="Calibri" w:cs="Calibri"/>
                <w:sz w:val="20"/>
                <w:szCs w:val="24"/>
                <w:lang w:val="en-GB"/>
              </w:rPr>
              <w:instrText xml:space="preserve"> NOTEREF _Ref42349136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DB4AAA">
              <w:rPr>
                <w:rFonts w:ascii="Calibri" w:eastAsia="Calibri" w:hAnsi="Calibri" w:cs="Calibri"/>
                <w:sz w:val="20"/>
                <w:szCs w:val="24"/>
                <w:lang w:val="en-GB"/>
              </w:rPr>
              <w:t>3</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w:t>
            </w:r>
            <w:r w:rsidRPr="00DB4AAA">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DB4AAA">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DB4AAA">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_Ref42349340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_Ref42349415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6</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DB4AAA">
              <w:rPr>
                <w:rFonts w:ascii="Calibri" w:eastAsia="Calibri" w:hAnsi="Calibri" w:cs="Times New Roman"/>
                <w:sz w:val="20"/>
                <w:szCs w:val="24"/>
                <w:lang w:val="en-GB"/>
              </w:rPr>
              <w:instrText xml:space="preserve"> NOTEREF _Ref42349482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DB4AAA">
              <w:rPr>
                <w:rFonts w:ascii="Calibri" w:eastAsia="Calibri" w:hAnsi="Calibri" w:cs="Times New Roman"/>
                <w:sz w:val="20"/>
                <w:szCs w:val="24"/>
                <w:lang w:val="en-GB"/>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Pr>
                <w:rFonts w:ascii="Calibri" w:eastAsia="Calibri" w:hAnsi="Calibri" w:cs="Times New Roman"/>
                <w:sz w:val="20"/>
                <w:szCs w:val="24"/>
                <w:lang w:val="en-GB"/>
              </w:rPr>
              <w:t xml:space="preserve"> 16,</w:t>
            </w:r>
            <w:r w:rsidRPr="0015499D">
              <w:rPr>
                <w:rFonts w:ascii="Calibri" w:eastAsia="Calibri" w:hAnsi="Calibri" w:cs="Times New Roman"/>
                <w:sz w:val="20"/>
                <w:szCs w:val="24"/>
                <w:lang w:val="en-GB"/>
              </w:rPr>
              <w:t xml:space="preserve"> </w:t>
            </w:r>
            <w:r w:rsidRPr="0015499D">
              <w:rPr>
                <w:rFonts w:ascii="Calibri" w:eastAsia="Calibri" w:hAnsi="Calibri" w:cs="Calibri"/>
                <w:sz w:val="20"/>
                <w:szCs w:val="24"/>
                <w:lang w:val="en-GB"/>
              </w:rPr>
              <w:fldChar w:fldCharType="begin"/>
            </w:r>
            <w:r w:rsidRPr="00DB4AAA">
              <w:rPr>
                <w:rFonts w:ascii="Calibri" w:eastAsia="Calibri" w:hAnsi="Calibri" w:cs="Times New Roman"/>
                <w:sz w:val="20"/>
                <w:szCs w:val="24"/>
                <w:lang w:val="en-GB"/>
              </w:rPr>
              <w:instrText xml:space="preserve"> NOTEREF _Ref42348057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DB4AAA">
              <w:rPr>
                <w:rFonts w:ascii="Calibri" w:eastAsia="Calibri" w:hAnsi="Calibri" w:cs="Times New Roman"/>
                <w:sz w:val="20"/>
                <w:szCs w:val="24"/>
                <w:lang w:val="en-GB"/>
              </w:rPr>
              <w:t>18</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w:t>
            </w:r>
            <w:r w:rsidRPr="00DB4AAA">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DB4AAA">
              <w:rPr>
                <w:rFonts w:ascii="Calibri" w:eastAsia="Calibri" w:hAnsi="Calibri" w:cs="Calibri"/>
                <w:sz w:val="20"/>
                <w:szCs w:val="24"/>
                <w:lang w:val="en-GB"/>
              </w:rPr>
              <w:instrText xml:space="preserve"> NOTEREF _Ref42349715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DB4AAA">
              <w:rPr>
                <w:rFonts w:ascii="Calibri" w:eastAsia="Calibri" w:hAnsi="Calibri" w:cs="Calibri"/>
                <w:sz w:val="20"/>
                <w:szCs w:val="24"/>
                <w:lang w:val="en-GB"/>
              </w:rPr>
              <w:t>19</w:t>
            </w:r>
            <w:r w:rsidRPr="0015499D">
              <w:rPr>
                <w:rFonts w:ascii="Calibri" w:eastAsia="Calibri" w:hAnsi="Calibri" w:cs="Calibri"/>
                <w:sz w:val="20"/>
                <w:szCs w:val="24"/>
                <w:lang w:val="en-GB"/>
              </w:rPr>
              <w:fldChar w:fldCharType="end"/>
            </w:r>
            <w:r w:rsidRPr="0015499D">
              <w:rPr>
                <w:rFonts w:ascii="Calibri" w:eastAsia="Calibri" w:hAnsi="Calibri" w:cs="Times New Roman"/>
                <w:sz w:val="20"/>
                <w:szCs w:val="24"/>
                <w:lang w:val="en-GB"/>
              </w:rPr>
              <w:t xml:space="preserve">, </w:t>
            </w:r>
            <w:r>
              <w:rPr>
                <w:rFonts w:ascii="Calibri" w:eastAsia="Calibri" w:hAnsi="Calibri" w:cs="Times New Roman"/>
                <w:sz w:val="20"/>
                <w:szCs w:val="24"/>
                <w:lang w:val="en-GB"/>
              </w:rPr>
              <w:t xml:space="preserve">20,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_Ref42349895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Pr>
                <w:rFonts w:ascii="Calibri" w:eastAsia="Calibri" w:hAnsi="Calibri" w:cs="Times New Roman"/>
                <w:sz w:val="20"/>
                <w:szCs w:val="24"/>
                <w:lang w:val="en-GB"/>
              </w:rPr>
              <w:t>25,</w:t>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DB4AAA">
              <w:rPr>
                <w:rFonts w:ascii="Calibri" w:eastAsia="Calibri" w:hAnsi="Calibri" w:cs="Times New Roman"/>
                <w:sz w:val="20"/>
                <w:szCs w:val="24"/>
                <w:lang w:val="en-GB"/>
              </w:rPr>
              <w:instrText xml:space="preserve"> NOTEREF _Ref42351917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32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bookmarkStart w:id="32" w:name="_Ref42352137"/>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38"/>
            </w:r>
            <w:bookmarkEnd w:id="32"/>
            <w:r w:rsidRPr="00A52660">
              <w:rPr>
                <w:rFonts w:ascii="Calibri" w:eastAsia="Calibri" w:hAnsi="Calibri" w:cs="Times New Roman"/>
                <w:color w:val="FFFFFF" w:themeColor="background1"/>
                <w:sz w:val="20"/>
                <w:szCs w:val="24"/>
                <w:lang w:val="en-GB"/>
              </w:rPr>
              <w:t xml:space="preserve"> </w:t>
            </w:r>
            <w:bookmarkStart w:id="33" w:name="_Ref42352176"/>
            <w:r w:rsidRPr="00A52660">
              <w:rPr>
                <w:rStyle w:val="Appeldenotedefin"/>
                <w:color w:val="FFFFFF" w:themeColor="background1"/>
                <w:sz w:val="20"/>
                <w:vertAlign w:val="baseline"/>
              </w:rPr>
              <w:endnoteReference w:id="39"/>
            </w:r>
            <w:bookmarkEnd w:id="33"/>
          </w:p>
        </w:tc>
        <w:tc>
          <w:tcPr>
            <w:tcW w:w="521" w:type="pct"/>
            <w:tcBorders>
              <w:left w:val="nil"/>
              <w:right w:val="nil"/>
            </w:tcBorders>
          </w:tcPr>
          <w:p w14:paraId="1D94E841" w14:textId="219CE5ED"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_Ref42351086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16</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_Ref42352176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39</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p>
        </w:tc>
        <w:tc>
          <w:tcPr>
            <w:tcW w:w="625" w:type="pct"/>
            <w:tcBorders>
              <w:left w:val="nil"/>
              <w:right w:val="nil"/>
            </w:tcBorders>
          </w:tcPr>
          <w:p w14:paraId="749ED290" w14:textId="0E0DD038"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Calibri"/>
                <w:sz w:val="20"/>
                <w:szCs w:val="24"/>
                <w:lang w:val="fr-FR"/>
              </w:rPr>
              <w:fldChar w:fldCharType="begin"/>
            </w:r>
            <w:r w:rsidRPr="0015499D">
              <w:rPr>
                <w:rFonts w:ascii="Calibri" w:eastAsia="Calibri" w:hAnsi="Calibri" w:cs="Times New Roman"/>
                <w:sz w:val="20"/>
                <w:szCs w:val="24"/>
                <w:lang w:val="fr-FR"/>
              </w:rPr>
              <w:instrText xml:space="preserve"> NOTEREF _Ref42351384 \h </w:instrText>
            </w:r>
            <w:r w:rsidRPr="0015499D">
              <w:rPr>
                <w:rFonts w:ascii="Calibri" w:eastAsia="Calibri" w:hAnsi="Calibri" w:cs="Calibri"/>
                <w:sz w:val="20"/>
                <w:szCs w:val="24"/>
                <w:lang w:val="fr-FR"/>
              </w:rPr>
              <w:instrText xml:space="preserve">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Times New Roman"/>
                <w:sz w:val="20"/>
                <w:szCs w:val="24"/>
                <w:lang w:val="fr-FR"/>
              </w:rPr>
              <w:t>10</w:t>
            </w:r>
            <w:r w:rsidRPr="0015499D">
              <w:rPr>
                <w:rFonts w:ascii="Calibri" w:eastAsia="Calibri" w:hAnsi="Calibri" w:cs="Calibri"/>
                <w:sz w:val="20"/>
                <w:szCs w:val="24"/>
                <w:lang w:val="fr-FR"/>
              </w:rPr>
              <w:fldChar w:fldCharType="end"/>
            </w:r>
            <w:r w:rsidRPr="0015499D">
              <w:rPr>
                <w:rFonts w:ascii="Calibri" w:eastAsia="Calibri" w:hAnsi="Calibri" w:cs="Calibri"/>
                <w:sz w:val="20"/>
                <w:szCs w:val="24"/>
                <w:lang w:val="fr-FR"/>
              </w:rPr>
              <w:t>,</w:t>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_Ref42351478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12</w:t>
            </w:r>
            <w:r w:rsidRPr="0015499D">
              <w:rPr>
                <w:rFonts w:ascii="Calibri" w:eastAsia="Calibri" w:hAnsi="Calibri" w:cs="Calibri"/>
                <w:sz w:val="20"/>
                <w:szCs w:val="24"/>
                <w:lang w:val="fr-FR"/>
              </w:rPr>
              <w:fldChar w:fldCharType="end"/>
            </w:r>
            <w:r>
              <w:rPr>
                <w:rFonts w:ascii="Calibri" w:eastAsia="Calibri" w:hAnsi="Calibri" w:cs="Calibri"/>
                <w:sz w:val="20"/>
                <w:szCs w:val="24"/>
                <w:lang w:val="fr-FR"/>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_Ref42351648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17</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ADDIN ZOTERO_ITEM CSL_CITATION {"citationID":"ECzm7hmp","properties":{"formattedCitation":"(Santesteban et al., 2017)","plainCitation":"(Santesteban et al., 2017)","dontUpdate":true,"noteIndex":0},"citationItems":[{"id":3108,"uris":["http://zotero.org/users/2311545/items/XFKKQ3TY"],"uri":["http://zotero.org/users/2311545/items/XFKKQ3TY"],"itemData":{"id":3108,"type":"article-journal","container-title":"OENO One","DOI":"10.20870/oeno-one.2017.51.2.1583","ISSN":"2494-1271","issue":"2","language":"en","note":"number: 2","page":"191-203","source":"oeno-one.eu","title":"Severe trimming and enhanced competition of laterals as a tool to delay ripening in Tempranillo vineyards under semiarid conditions","volume":"51","author":[{"family":"Santesteban","given":"Luis Gonzaga"},{"family":"Miranda","given":"Carlos"},{"family":"Urrestarazu","given":"Jorge"},{"family":"Loidi","given":"Maite"},{"family":"Royo","given":"José Bernardo"}],"issued":{"date-parts":[["2017",5,15]]}}}],"schema":"https://github.com/citation-style-language/schema/raw/master/csl-citation.json"} </w:instrText>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fr-FR"/>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_Ref42351830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31</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_Ref42351917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32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_Ref42352073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34</w:t>
            </w:r>
            <w:r w:rsidRPr="0015499D">
              <w:rPr>
                <w:rFonts w:ascii="Calibri" w:eastAsia="Calibri" w:hAnsi="Calibri" w:cs="Times New Roman"/>
                <w:sz w:val="20"/>
                <w:szCs w:val="24"/>
                <w:lang w:val="en-GB"/>
              </w:rPr>
              <w:fldChar w:fldCharType="end"/>
            </w:r>
            <w:r>
              <w:rPr>
                <w:rFonts w:ascii="Calibri" w:eastAsia="Calibri" w:hAnsi="Calibri" w:cs="Times New Roman"/>
                <w:sz w:val="20"/>
                <w:szCs w:val="24"/>
                <w:lang w:val="en-GB"/>
              </w:rPr>
              <w:t>, 43</w:t>
            </w:r>
          </w:p>
        </w:tc>
        <w:tc>
          <w:tcPr>
            <w:tcW w:w="469" w:type="pct"/>
            <w:tcBorders>
              <w:left w:val="nil"/>
              <w:right w:val="nil"/>
            </w:tcBorders>
          </w:tcPr>
          <w:p w14:paraId="0C00CD0F"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_Ref42348981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2</w:t>
            </w:r>
            <w:r w:rsidRPr="0015499D">
              <w:rPr>
                <w:rFonts w:ascii="Calibri" w:eastAsia="Calibri" w:hAnsi="Calibri" w:cs="Times New Roman"/>
                <w:sz w:val="20"/>
                <w:szCs w:val="24"/>
                <w:lang w:val="en-GB"/>
              </w:rPr>
              <w:fldChar w:fldCharType="end"/>
            </w:r>
            <w:r w:rsidRPr="0015499D">
              <w:rPr>
                <w:rFonts w:ascii="Calibri" w:eastAsia="Calibri" w:hAnsi="Calibri" w:cs="Calibri"/>
                <w:sz w:val="20"/>
                <w:szCs w:val="24"/>
                <w:lang w:val="en-GB"/>
              </w:rPr>
              <w:t>,</w:t>
            </w:r>
            <w:r w:rsidRPr="0015499D">
              <w:rPr>
                <w:rFonts w:ascii="Calibri" w:eastAsia="Calibri" w:hAnsi="Calibri" w:cs="Times New Roman"/>
                <w:sz w:val="20"/>
                <w:szCs w:val="24"/>
                <w:lang w:val="fr-FR"/>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_Ref42349482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_Ref42351731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_Ref42349895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22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bookmarkStart w:id="34" w:name="_Ref42352405"/>
            <w:r w:rsidRPr="0015499D">
              <w:rPr>
                <w:rStyle w:val="Appeldenotedefin"/>
                <w:sz w:val="20"/>
                <w:vertAlign w:val="baseline"/>
              </w:rPr>
              <w:endnoteReference w:id="40"/>
            </w:r>
            <w:bookmarkEnd w:id="34"/>
          </w:p>
        </w:tc>
        <w:tc>
          <w:tcPr>
            <w:tcW w:w="573" w:type="pct"/>
            <w:tcBorders>
              <w:left w:val="nil"/>
              <w:right w:val="nil"/>
            </w:tcBorders>
          </w:tcPr>
          <w:p w14:paraId="213615BC"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_Ref42349482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_Ref42352005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35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bookmarkStart w:id="35" w:name="_Ref42352467"/>
            <w:r w:rsidRPr="0015499D">
              <w:rPr>
                <w:rStyle w:val="Appeldenotedefin"/>
                <w:sz w:val="20"/>
                <w:vertAlign w:val="baseline"/>
              </w:rPr>
              <w:endnoteReference w:id="41"/>
            </w:r>
            <w:bookmarkEnd w:id="35"/>
          </w:p>
        </w:tc>
        <w:tc>
          <w:tcPr>
            <w:tcW w:w="469" w:type="pct"/>
            <w:tcBorders>
              <w:left w:val="nil"/>
              <w:right w:val="nil"/>
            </w:tcBorders>
          </w:tcPr>
          <w:p w14:paraId="32EC88B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3745AFE5" w14:textId="3864C8A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040F02BD" w14:textId="77777777" w:rsidTr="00645340">
        <w:trPr>
          <w:cantSplit/>
        </w:trPr>
        <w:tc>
          <w:tcPr>
            <w:tcW w:w="390" w:type="pct"/>
            <w:vMerge/>
            <w:tcBorders>
              <w:right w:val="nil"/>
            </w:tcBorders>
          </w:tcPr>
          <w:p w14:paraId="6231A4F5"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25924776"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Berry / Wine composition</w:t>
            </w:r>
          </w:p>
        </w:tc>
        <w:tc>
          <w:tcPr>
            <w:tcW w:w="833" w:type="pct"/>
            <w:tcBorders>
              <w:left w:val="nil"/>
              <w:right w:val="nil"/>
            </w:tcBorders>
          </w:tcPr>
          <w:p w14:paraId="77CC4864" w14:textId="6BFB7C56"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_Ref42348981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_Ref42349786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20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fr-FR"/>
              </w:rPr>
              <w:instrText xml:space="preserve"> NOTEREF _Ref42348057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fr-FR"/>
              </w:rPr>
              <w:t>18</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w:t>
            </w:r>
            <w:r w:rsidRPr="0015499D">
              <w:rPr>
                <w:rFonts w:ascii="Calibri" w:eastAsia="Calibri" w:hAnsi="Calibri" w:cs="Calibri"/>
                <w:sz w:val="20"/>
                <w:szCs w:val="24"/>
                <w:lang w:val="fr-FR"/>
              </w:rPr>
              <w:t xml:space="preserve"> </w:t>
            </w:r>
            <w:r w:rsidRPr="0015499D">
              <w:rPr>
                <w:rFonts w:ascii="Calibri" w:eastAsia="Calibri" w:hAnsi="Calibri" w:cs="Times New Roman"/>
                <w:sz w:val="20"/>
                <w:szCs w:val="24"/>
                <w:lang w:val="fr-FR"/>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_Ref42349482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Pr>
                <w:rFonts w:ascii="Calibri" w:eastAsia="Calibri" w:hAnsi="Calibri" w:cs="Times New Roman"/>
                <w:sz w:val="20"/>
                <w:szCs w:val="24"/>
                <w:lang w:val="en-GB"/>
              </w:rPr>
              <w:t xml:space="preserve"> 16,</w:t>
            </w:r>
            <w:r w:rsidRPr="0015499D">
              <w:rPr>
                <w:rFonts w:ascii="Calibri" w:eastAsia="Calibri" w:hAnsi="Calibri" w:cs="Times New Roman"/>
                <w:sz w:val="20"/>
                <w:szCs w:val="24"/>
                <w:lang w:val="fr-FR"/>
              </w:rPr>
              <w:t xml:space="preserve"> </w:t>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_Ref42351917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32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_Ref42349136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3</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w:t>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fr-FR"/>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fr-FR"/>
              </w:rPr>
              <w:t>4</w:t>
            </w:r>
            <w:r w:rsidRPr="0015499D">
              <w:rPr>
                <w:rFonts w:ascii="Calibri" w:eastAsia="Calibri" w:hAnsi="Calibri" w:cs="Calibri"/>
                <w:sz w:val="20"/>
                <w:szCs w:val="24"/>
                <w:lang w:val="en-GB"/>
              </w:rPr>
              <w:fldChar w:fldCharType="end"/>
            </w:r>
            <w:r>
              <w:rPr>
                <w:rFonts w:ascii="Calibri" w:eastAsia="Calibri" w:hAnsi="Calibri" w:cs="Calibri"/>
                <w:sz w:val="20"/>
                <w:szCs w:val="24"/>
                <w:lang w:val="en-GB"/>
              </w:rPr>
              <w:t>,</w:t>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_Ref42349895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_Ref42349340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_Ref42349415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6</w:t>
            </w:r>
            <w:r w:rsidRPr="0015499D">
              <w:rPr>
                <w:rFonts w:ascii="Calibri" w:eastAsia="Calibri" w:hAnsi="Calibri" w:cs="Times New Roman"/>
                <w:sz w:val="20"/>
                <w:szCs w:val="24"/>
                <w:lang w:val="en-GB"/>
              </w:rPr>
              <w:fldChar w:fldCharType="end"/>
            </w:r>
          </w:p>
        </w:tc>
        <w:tc>
          <w:tcPr>
            <w:tcW w:w="521" w:type="pct"/>
            <w:tcBorders>
              <w:left w:val="nil"/>
              <w:right w:val="nil"/>
            </w:tcBorders>
          </w:tcPr>
          <w:p w14:paraId="73020BF3" w14:textId="0ED61EAE"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_Ref42351086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Pr>
                <w:rFonts w:ascii="Calibri" w:eastAsia="Calibri" w:hAnsi="Calibri" w:cs="Calibri"/>
                <w:sz w:val="20"/>
                <w:szCs w:val="24"/>
                <w:lang w:val="en-GB"/>
              </w:rPr>
              <w:t>7</w:t>
            </w:r>
            <w:r w:rsidRPr="0015499D">
              <w:rPr>
                <w:rFonts w:ascii="Calibri" w:eastAsia="Calibri" w:hAnsi="Calibri" w:cs="Calibri"/>
                <w:sz w:val="20"/>
                <w:szCs w:val="24"/>
                <w:lang w:val="en-GB"/>
              </w:rPr>
              <w:fldChar w:fldCharType="end"/>
            </w:r>
            <w:r>
              <w:rPr>
                <w:rFonts w:ascii="Calibri" w:eastAsia="Calibri" w:hAnsi="Calibri" w:cs="Calibri"/>
                <w:sz w:val="20"/>
                <w:szCs w:val="24"/>
                <w:lang w:val="en-GB"/>
              </w:rPr>
              <w:t>, 21</w:t>
            </w:r>
            <w:r w:rsidRPr="0015499D">
              <w:rPr>
                <w:rFonts w:ascii="Calibri" w:eastAsia="Calibri" w:hAnsi="Calibri" w:cs="Calibri"/>
                <w:sz w:val="20"/>
                <w:szCs w:val="24"/>
                <w:lang w:val="en-GB"/>
              </w:rPr>
              <w:t xml:space="preserve">, </w:t>
            </w:r>
            <w:r w:rsidRPr="0015499D">
              <w:rPr>
                <w:rStyle w:val="Appeldenotedefin"/>
                <w:sz w:val="20"/>
                <w:vertAlign w:val="baseline"/>
              </w:rPr>
              <w:endnoteReference w:id="42"/>
            </w:r>
          </w:p>
        </w:tc>
        <w:tc>
          <w:tcPr>
            <w:tcW w:w="625" w:type="pct"/>
            <w:tcBorders>
              <w:left w:val="nil"/>
              <w:right w:val="nil"/>
            </w:tcBorders>
          </w:tcPr>
          <w:p w14:paraId="30917193" w14:textId="416C615B"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_Ref42351648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17</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_Ref42351917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32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_Ref42352073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34</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_Ref42351830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31</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43"/>
            </w:r>
            <w:r>
              <w:rPr>
                <w:rFonts w:ascii="Calibri" w:eastAsia="Calibri" w:hAnsi="Calibri" w:cs="Times New Roman"/>
                <w:sz w:val="20"/>
                <w:szCs w:val="24"/>
                <w:lang w:val="en-GB"/>
              </w:rPr>
              <w:t xml:space="preserve">, </w:t>
            </w:r>
            <w:r>
              <w:rPr>
                <w:rFonts w:ascii="Calibri" w:eastAsia="Calibri" w:hAnsi="Calibri" w:cs="Calibri"/>
                <w:sz w:val="20"/>
                <w:szCs w:val="24"/>
                <w:lang w:val="en-GB"/>
              </w:rPr>
              <w:t>12,</w:t>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_Ref42351177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7</w:t>
            </w:r>
            <w:r w:rsidRPr="0015499D">
              <w:rPr>
                <w:rFonts w:ascii="Calibri" w:eastAsia="Calibri" w:hAnsi="Calibri" w:cs="Times New Roman"/>
                <w:sz w:val="20"/>
                <w:szCs w:val="24"/>
                <w:lang w:val="en-GB"/>
              </w:rPr>
              <w:fldChar w:fldCharType="end"/>
            </w:r>
          </w:p>
        </w:tc>
        <w:tc>
          <w:tcPr>
            <w:tcW w:w="469" w:type="pct"/>
            <w:tcBorders>
              <w:left w:val="nil"/>
              <w:right w:val="nil"/>
            </w:tcBorders>
          </w:tcPr>
          <w:p w14:paraId="56BED77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_Ref42348981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2</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_Ref42349786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20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_Ref42352405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40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w:t>
            </w:r>
            <w:r w:rsidRPr="0015499D">
              <w:rPr>
                <w:rFonts w:ascii="Calibri" w:eastAsia="Calibri" w:hAnsi="Calibri" w:cs="Times New Roman"/>
                <w:sz w:val="20"/>
                <w:szCs w:val="24"/>
                <w:lang w:val="fr-FR"/>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fr-FR"/>
              </w:rPr>
              <w:instrText xml:space="preserve"> NOTEREF _Ref42349482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fr-FR"/>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_Ref42349895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22</w:t>
            </w:r>
            <w:r w:rsidRPr="0015499D">
              <w:rPr>
                <w:rFonts w:ascii="Calibri" w:eastAsia="Calibri" w:hAnsi="Calibri" w:cs="Times New Roman"/>
                <w:sz w:val="20"/>
                <w:szCs w:val="24"/>
                <w:lang w:val="en-GB"/>
              </w:rPr>
              <w:fldChar w:fldCharType="end"/>
            </w:r>
          </w:p>
        </w:tc>
        <w:tc>
          <w:tcPr>
            <w:tcW w:w="573" w:type="pct"/>
            <w:tcBorders>
              <w:left w:val="nil"/>
              <w:right w:val="nil"/>
            </w:tcBorders>
          </w:tcPr>
          <w:p w14:paraId="6A45A2CA" w14:textId="405F54A4"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Pr>
                <w:rFonts w:ascii="Calibri" w:eastAsia="Calibri" w:hAnsi="Calibri" w:cs="Times New Roman"/>
                <w:sz w:val="20"/>
                <w:szCs w:val="24"/>
                <w:lang w:val="en-GB"/>
              </w:rPr>
              <w:t xml:space="preserve">13,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_Ref42349482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15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_Ref42352005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35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44"/>
            </w:r>
          </w:p>
        </w:tc>
        <w:tc>
          <w:tcPr>
            <w:tcW w:w="469" w:type="pct"/>
            <w:tcBorders>
              <w:left w:val="nil"/>
              <w:right w:val="nil"/>
            </w:tcBorders>
          </w:tcPr>
          <w:p w14:paraId="0C83154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Style w:val="Appeldenotedefin"/>
                <w:sz w:val="20"/>
                <w:vertAlign w:val="baseline"/>
              </w:rPr>
              <w:endnoteReference w:id="45"/>
            </w:r>
          </w:p>
        </w:tc>
        <w:tc>
          <w:tcPr>
            <w:tcW w:w="414" w:type="pct"/>
            <w:tcBorders>
              <w:left w:val="nil"/>
              <w:right w:val="nil"/>
            </w:tcBorders>
          </w:tcPr>
          <w:p w14:paraId="1BD2E103"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36" w:name="_Ref42353032"/>
            <w:r w:rsidRPr="0015499D">
              <w:rPr>
                <w:rStyle w:val="Appeldenotedefin"/>
                <w:sz w:val="20"/>
                <w:vertAlign w:val="baseline"/>
              </w:rPr>
              <w:endnoteReference w:id="46"/>
            </w:r>
            <w:bookmarkEnd w:id="36"/>
          </w:p>
        </w:tc>
      </w:tr>
      <w:tr w:rsidR="00AB675F" w:rsidRPr="00CD39DD" w14:paraId="2B2A8E4C" w14:textId="77777777" w:rsidTr="00645340">
        <w:trPr>
          <w:cantSplit/>
        </w:trPr>
        <w:tc>
          <w:tcPr>
            <w:tcW w:w="390" w:type="pct"/>
            <w:vMerge/>
            <w:tcBorders>
              <w:right w:val="nil"/>
            </w:tcBorders>
          </w:tcPr>
          <w:p w14:paraId="4EE8CD8C"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5422593D"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Soil properties**</w:t>
            </w:r>
          </w:p>
        </w:tc>
        <w:tc>
          <w:tcPr>
            <w:tcW w:w="833" w:type="pct"/>
            <w:tcBorders>
              <w:left w:val="nil"/>
              <w:right w:val="nil"/>
            </w:tcBorders>
          </w:tcPr>
          <w:p w14:paraId="44C649C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_Ref42349136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3</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_Ref42349340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5</w:t>
            </w:r>
            <w:r w:rsidRPr="0015499D">
              <w:rPr>
                <w:rFonts w:ascii="Calibri" w:eastAsia="Calibri" w:hAnsi="Calibri" w:cs="Times New Roman"/>
                <w:sz w:val="20"/>
                <w:szCs w:val="24"/>
                <w:lang w:val="en-GB"/>
              </w:rPr>
              <w:fldChar w:fldCharType="end"/>
            </w:r>
          </w:p>
        </w:tc>
        <w:tc>
          <w:tcPr>
            <w:tcW w:w="521" w:type="pct"/>
            <w:tcBorders>
              <w:left w:val="nil"/>
              <w:right w:val="nil"/>
            </w:tcBorders>
          </w:tcPr>
          <w:p w14:paraId="06096895"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_Ref42349223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w:t>
            </w:r>
            <w:r w:rsidRPr="0015499D">
              <w:rPr>
                <w:rFonts w:ascii="Calibri" w:eastAsia="Calibri" w:hAnsi="Calibri" w:cs="Calibri"/>
                <w:sz w:val="20"/>
                <w:szCs w:val="24"/>
                <w:lang w:val="en-GB"/>
              </w:rPr>
              <w:fldChar w:fldCharType="end"/>
            </w:r>
          </w:p>
        </w:tc>
        <w:tc>
          <w:tcPr>
            <w:tcW w:w="625" w:type="pct"/>
            <w:tcBorders>
              <w:left w:val="nil"/>
              <w:right w:val="nil"/>
            </w:tcBorders>
          </w:tcPr>
          <w:p w14:paraId="31FDD753"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723A51A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_Ref42351792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30</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_Ref42351731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25</w:t>
            </w:r>
            <w:r w:rsidRPr="0015499D">
              <w:rPr>
                <w:rFonts w:ascii="Calibri" w:eastAsia="Calibri" w:hAnsi="Calibri" w:cs="Times New Roman"/>
                <w:sz w:val="20"/>
                <w:szCs w:val="24"/>
                <w:lang w:val="en-GB"/>
              </w:rPr>
              <w:fldChar w:fldCharType="end"/>
            </w:r>
          </w:p>
        </w:tc>
        <w:tc>
          <w:tcPr>
            <w:tcW w:w="573" w:type="pct"/>
            <w:tcBorders>
              <w:left w:val="nil"/>
              <w:right w:val="nil"/>
            </w:tcBorders>
          </w:tcPr>
          <w:p w14:paraId="4EC8A683"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02A8D04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2149E6D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4B5D3285" w14:textId="77777777" w:rsidTr="00645340">
        <w:trPr>
          <w:cantSplit/>
        </w:trPr>
        <w:tc>
          <w:tcPr>
            <w:tcW w:w="390" w:type="pct"/>
            <w:vMerge/>
            <w:tcBorders>
              <w:right w:val="nil"/>
            </w:tcBorders>
          </w:tcPr>
          <w:p w14:paraId="1AA1B435"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488B0A61"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Soil biological properties</w:t>
            </w:r>
          </w:p>
        </w:tc>
        <w:tc>
          <w:tcPr>
            <w:tcW w:w="833" w:type="pct"/>
            <w:tcBorders>
              <w:left w:val="nil"/>
              <w:right w:val="nil"/>
            </w:tcBorders>
          </w:tcPr>
          <w:p w14:paraId="1919FCC3"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_Ref42349895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22</w:t>
            </w:r>
            <w:r w:rsidRPr="0015499D">
              <w:rPr>
                <w:rFonts w:ascii="Calibri" w:eastAsia="Calibri" w:hAnsi="Calibri" w:cs="Times New Roman"/>
                <w:sz w:val="20"/>
                <w:szCs w:val="24"/>
                <w:lang w:val="en-GB"/>
              </w:rPr>
              <w:fldChar w:fldCharType="end"/>
            </w:r>
          </w:p>
        </w:tc>
        <w:tc>
          <w:tcPr>
            <w:tcW w:w="521" w:type="pct"/>
            <w:tcBorders>
              <w:left w:val="nil"/>
              <w:right w:val="nil"/>
            </w:tcBorders>
          </w:tcPr>
          <w:p w14:paraId="1502904C"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625" w:type="pct"/>
            <w:tcBorders>
              <w:left w:val="nil"/>
              <w:right w:val="nil"/>
            </w:tcBorders>
          </w:tcPr>
          <w:p w14:paraId="1E6663B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590C2E7C"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_Ref42351792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30</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_Ref42349895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22</w:t>
            </w:r>
            <w:r w:rsidRPr="0015499D">
              <w:rPr>
                <w:rFonts w:ascii="Calibri" w:eastAsia="Calibri" w:hAnsi="Calibri" w:cs="Times New Roman"/>
                <w:sz w:val="20"/>
                <w:szCs w:val="24"/>
                <w:lang w:val="en-GB"/>
              </w:rPr>
              <w:fldChar w:fldCharType="end"/>
            </w:r>
          </w:p>
        </w:tc>
        <w:tc>
          <w:tcPr>
            <w:tcW w:w="573" w:type="pct"/>
            <w:tcBorders>
              <w:left w:val="nil"/>
              <w:right w:val="nil"/>
            </w:tcBorders>
          </w:tcPr>
          <w:p w14:paraId="596E55E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78E2760D"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22D7C99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18B7D8DE" w14:textId="77777777" w:rsidTr="00645340">
        <w:trPr>
          <w:cantSplit/>
        </w:trPr>
        <w:tc>
          <w:tcPr>
            <w:tcW w:w="390" w:type="pct"/>
            <w:vMerge/>
            <w:tcBorders>
              <w:right w:val="nil"/>
            </w:tcBorders>
          </w:tcPr>
          <w:p w14:paraId="5167E68A"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1A042E40"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Water use requirement</w:t>
            </w:r>
          </w:p>
        </w:tc>
        <w:tc>
          <w:tcPr>
            <w:tcW w:w="833" w:type="pct"/>
            <w:tcBorders>
              <w:left w:val="nil"/>
              <w:right w:val="nil"/>
            </w:tcBorders>
          </w:tcPr>
          <w:p w14:paraId="2D6F193B"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37" w:name="_Ref42352766"/>
            <w:r w:rsidRPr="0015499D">
              <w:rPr>
                <w:rStyle w:val="Appeldenotedefin"/>
                <w:sz w:val="20"/>
                <w:vertAlign w:val="baseline"/>
              </w:rPr>
              <w:endnoteReference w:id="47"/>
            </w:r>
            <w:bookmarkEnd w:id="37"/>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en-GB"/>
              </w:rPr>
              <w:instrText xml:space="preserve"> NOTEREF _Ref42349340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en-GB"/>
              </w:rPr>
              <w:t>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_Ref42352137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38</w:t>
            </w:r>
            <w:r w:rsidRPr="0015499D">
              <w:rPr>
                <w:rFonts w:ascii="Calibri" w:eastAsia="Calibri" w:hAnsi="Calibri" w:cs="Times New Roman"/>
                <w:sz w:val="20"/>
                <w:szCs w:val="24"/>
                <w:lang w:val="en-GB"/>
              </w:rPr>
              <w:fldChar w:fldCharType="end"/>
            </w:r>
          </w:p>
        </w:tc>
        <w:tc>
          <w:tcPr>
            <w:tcW w:w="521" w:type="pct"/>
            <w:tcBorders>
              <w:left w:val="nil"/>
              <w:right w:val="nil"/>
            </w:tcBorders>
          </w:tcPr>
          <w:p w14:paraId="1A27A6F5"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625" w:type="pct"/>
            <w:tcBorders>
              <w:left w:val="nil"/>
              <w:right w:val="nil"/>
            </w:tcBorders>
          </w:tcPr>
          <w:p w14:paraId="7E3CB32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79B20189"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24B68F8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0AADF6AF"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4EDD3E9C"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r>
      <w:tr w:rsidR="00AB675F" w:rsidRPr="00CD39DD" w14:paraId="2BAAAB66" w14:textId="77777777" w:rsidTr="00645340">
        <w:trPr>
          <w:cantSplit/>
        </w:trPr>
        <w:tc>
          <w:tcPr>
            <w:tcW w:w="390" w:type="pct"/>
            <w:vMerge/>
            <w:tcBorders>
              <w:right w:val="nil"/>
            </w:tcBorders>
          </w:tcPr>
          <w:p w14:paraId="6007693B"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175CD933"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Run off</w:t>
            </w:r>
          </w:p>
        </w:tc>
        <w:tc>
          <w:tcPr>
            <w:tcW w:w="833" w:type="pct"/>
            <w:tcBorders>
              <w:left w:val="nil"/>
              <w:right w:val="nil"/>
            </w:tcBorders>
          </w:tcPr>
          <w:p w14:paraId="6005280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21" w:type="pct"/>
            <w:tcBorders>
              <w:left w:val="nil"/>
              <w:right w:val="nil"/>
            </w:tcBorders>
          </w:tcPr>
          <w:p w14:paraId="40DE9992"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625" w:type="pct"/>
            <w:tcBorders>
              <w:left w:val="nil"/>
              <w:right w:val="nil"/>
            </w:tcBorders>
          </w:tcPr>
          <w:p w14:paraId="36B652E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0B96373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3C841B1B"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3310B32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22B59891"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38" w:name="_Ref42348239"/>
            <w:bookmarkStart w:id="39" w:name="_Ref37166313"/>
            <w:r w:rsidRPr="0015499D">
              <w:rPr>
                <w:rStyle w:val="Appeldenotedefin"/>
                <w:sz w:val="20"/>
                <w:vertAlign w:val="baseline"/>
              </w:rPr>
              <w:endnoteReference w:id="48"/>
            </w:r>
            <w:bookmarkEnd w:id="38"/>
          </w:p>
        </w:tc>
        <w:bookmarkEnd w:id="39"/>
      </w:tr>
      <w:tr w:rsidR="00AB675F" w:rsidRPr="00CD39DD" w14:paraId="1F8C7F19" w14:textId="77777777" w:rsidTr="00645340">
        <w:trPr>
          <w:cantSplit/>
        </w:trPr>
        <w:tc>
          <w:tcPr>
            <w:tcW w:w="390" w:type="pct"/>
            <w:vMerge w:val="restart"/>
            <w:tcBorders>
              <w:right w:val="nil"/>
            </w:tcBorders>
          </w:tcPr>
          <w:p w14:paraId="4D7E2EC9"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Farm scale</w:t>
            </w:r>
          </w:p>
        </w:tc>
        <w:tc>
          <w:tcPr>
            <w:tcW w:w="706" w:type="pct"/>
            <w:tcBorders>
              <w:left w:val="nil"/>
              <w:right w:val="nil"/>
            </w:tcBorders>
          </w:tcPr>
          <w:p w14:paraId="7CD5C0D7"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Gross income</w:t>
            </w:r>
          </w:p>
        </w:tc>
        <w:tc>
          <w:tcPr>
            <w:tcW w:w="833" w:type="pct"/>
            <w:tcBorders>
              <w:left w:val="nil"/>
              <w:right w:val="nil"/>
            </w:tcBorders>
          </w:tcPr>
          <w:p w14:paraId="2F53E08F" w14:textId="77777777" w:rsidR="00AB675F" w:rsidRPr="0015499D" w:rsidRDefault="00AB675F" w:rsidP="00AB675F">
            <w:pPr>
              <w:keepNext/>
              <w:spacing w:before="0" w:after="0" w:line="300" w:lineRule="atLeast"/>
              <w:jc w:val="both"/>
              <w:rPr>
                <w:rFonts w:ascii="Calibri" w:eastAsia="Calibri" w:hAnsi="Calibri" w:cs="Calibri"/>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_Ref42349136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3</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w:t>
            </w:r>
            <w:r w:rsidRPr="0015499D">
              <w:rPr>
                <w:rFonts w:ascii="Calibri" w:eastAsia="Calibri" w:hAnsi="Calibri" w:cs="Times New Roman"/>
                <w:sz w:val="20"/>
                <w:szCs w:val="24"/>
                <w:lang w:val="en-GB"/>
              </w:rPr>
              <w:t xml:space="preserve"> </w:t>
            </w:r>
            <w:r w:rsidRPr="0015499D">
              <w:rPr>
                <w:rFonts w:ascii="Calibri" w:eastAsia="Calibri" w:hAnsi="Calibri" w:cs="Calibri"/>
                <w:sz w:val="20"/>
                <w:szCs w:val="24"/>
                <w:lang w:val="en-GB"/>
              </w:rPr>
              <w:t xml:space="preserve"> </w:t>
            </w:r>
            <w:bookmarkStart w:id="40" w:name="_Ref42352798"/>
            <w:r w:rsidRPr="0015499D">
              <w:rPr>
                <w:rStyle w:val="Appeldenotedefin"/>
                <w:sz w:val="20"/>
                <w:vertAlign w:val="baseline"/>
              </w:rPr>
              <w:endnoteReference w:id="49"/>
            </w:r>
            <w:bookmarkEnd w:id="40"/>
            <w:r w:rsidRPr="0015499D">
              <w:rPr>
                <w:rFonts w:ascii="Calibri" w:eastAsia="Calibri" w:hAnsi="Calibri" w:cs="Calibri"/>
                <w:sz w:val="20"/>
                <w:szCs w:val="24"/>
                <w:lang w:val="en-GB"/>
              </w:rPr>
              <w:t xml:space="preserve">, </w:t>
            </w:r>
            <w:bookmarkStart w:id="41" w:name="_Ref42352858"/>
            <w:r w:rsidRPr="0015499D">
              <w:rPr>
                <w:rStyle w:val="Appeldenotedefin"/>
                <w:sz w:val="20"/>
                <w:vertAlign w:val="baseline"/>
              </w:rPr>
              <w:endnoteReference w:id="50"/>
            </w:r>
            <w:bookmarkEnd w:id="41"/>
            <w:r w:rsidRPr="0015499D">
              <w:rPr>
                <w:rFonts w:ascii="Calibri" w:eastAsia="Calibri" w:hAnsi="Calibri" w:cs="Calibri"/>
                <w:sz w:val="20"/>
                <w:szCs w:val="24"/>
                <w:lang w:val="en-GB"/>
              </w:rPr>
              <w:t xml:space="preserve">, </w:t>
            </w:r>
            <w:bookmarkStart w:id="42" w:name="_Ref42352926"/>
            <w:r w:rsidRPr="0015499D">
              <w:rPr>
                <w:rStyle w:val="Appeldenotedefin"/>
                <w:sz w:val="20"/>
                <w:vertAlign w:val="baseline"/>
              </w:rPr>
              <w:endnoteReference w:id="51"/>
            </w:r>
            <w:bookmarkEnd w:id="42"/>
          </w:p>
        </w:tc>
        <w:tc>
          <w:tcPr>
            <w:tcW w:w="521" w:type="pct"/>
            <w:tcBorders>
              <w:left w:val="nil"/>
              <w:right w:val="nil"/>
            </w:tcBorders>
          </w:tcPr>
          <w:p w14:paraId="3FDA8984"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w:t>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_Ref42352926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51</w:t>
            </w:r>
            <w:r w:rsidRPr="0015499D">
              <w:rPr>
                <w:rFonts w:ascii="Calibri" w:eastAsia="Calibri" w:hAnsi="Calibri" w:cs="Calibri"/>
                <w:sz w:val="20"/>
                <w:szCs w:val="24"/>
                <w:lang w:val="fr-FR"/>
              </w:rPr>
              <w:fldChar w:fldCharType="end"/>
            </w:r>
            <w:r w:rsidRPr="0015499D">
              <w:rPr>
                <w:rFonts w:ascii="Calibri" w:eastAsia="Calibri" w:hAnsi="Calibri" w:cs="Calibri"/>
                <w:sz w:val="20"/>
                <w:szCs w:val="24"/>
                <w:lang w:val="fr-FR"/>
              </w:rPr>
              <w:t xml:space="preserve">, </w:t>
            </w:r>
            <w:bookmarkStart w:id="43" w:name="_Ref42352970"/>
            <w:r w:rsidRPr="0015499D">
              <w:rPr>
                <w:rStyle w:val="Appeldenotedefin"/>
                <w:sz w:val="20"/>
                <w:vertAlign w:val="baseline"/>
              </w:rPr>
              <w:endnoteReference w:id="52"/>
            </w:r>
            <w:bookmarkEnd w:id="43"/>
          </w:p>
        </w:tc>
        <w:tc>
          <w:tcPr>
            <w:tcW w:w="625" w:type="pct"/>
            <w:tcBorders>
              <w:left w:val="nil"/>
              <w:right w:val="nil"/>
            </w:tcBorders>
          </w:tcPr>
          <w:p w14:paraId="3DDA764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p>
        </w:tc>
        <w:tc>
          <w:tcPr>
            <w:tcW w:w="469" w:type="pct"/>
            <w:tcBorders>
              <w:left w:val="nil"/>
              <w:right w:val="nil"/>
            </w:tcBorders>
          </w:tcPr>
          <w:p w14:paraId="00F950A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13C5AF8B"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p>
        </w:tc>
        <w:tc>
          <w:tcPr>
            <w:tcW w:w="469" w:type="pct"/>
            <w:tcBorders>
              <w:left w:val="nil"/>
              <w:right w:val="nil"/>
            </w:tcBorders>
          </w:tcPr>
          <w:p w14:paraId="21EC186D"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_Ref42352926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51</w:t>
            </w:r>
            <w:r w:rsidRPr="0015499D">
              <w:rPr>
                <w:rFonts w:ascii="Calibri" w:eastAsia="Calibri" w:hAnsi="Calibri" w:cs="Calibri"/>
                <w:sz w:val="20"/>
                <w:szCs w:val="24"/>
                <w:lang w:val="fr-FR"/>
              </w:rPr>
              <w:fldChar w:fldCharType="end"/>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_Ref42352970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52</w:t>
            </w:r>
            <w:r w:rsidRPr="0015499D">
              <w:rPr>
                <w:rFonts w:ascii="Calibri" w:eastAsia="Calibri" w:hAnsi="Calibri" w:cs="Calibri"/>
                <w:sz w:val="20"/>
                <w:szCs w:val="24"/>
                <w:lang w:val="fr-FR"/>
              </w:rPr>
              <w:fldChar w:fldCharType="end"/>
            </w:r>
          </w:p>
        </w:tc>
        <w:tc>
          <w:tcPr>
            <w:tcW w:w="414" w:type="pct"/>
            <w:tcBorders>
              <w:left w:val="nil"/>
              <w:right w:val="nil"/>
            </w:tcBorders>
          </w:tcPr>
          <w:p w14:paraId="7971D88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p>
        </w:tc>
      </w:tr>
      <w:tr w:rsidR="00AB675F" w:rsidRPr="00CD39DD" w14:paraId="16AE8AE4" w14:textId="77777777" w:rsidTr="00645340">
        <w:trPr>
          <w:cantSplit/>
        </w:trPr>
        <w:tc>
          <w:tcPr>
            <w:tcW w:w="390" w:type="pct"/>
            <w:vMerge/>
            <w:tcBorders>
              <w:right w:val="nil"/>
            </w:tcBorders>
          </w:tcPr>
          <w:p w14:paraId="6BF4A3A4"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2336C84F"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Cost</w:t>
            </w:r>
          </w:p>
        </w:tc>
        <w:tc>
          <w:tcPr>
            <w:tcW w:w="833" w:type="pct"/>
            <w:tcBorders>
              <w:left w:val="nil"/>
              <w:right w:val="nil"/>
            </w:tcBorders>
          </w:tcPr>
          <w:p w14:paraId="07AF50C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fr-FR"/>
              </w:rPr>
              <w:instrText xml:space="preserve"> NOTEREF _Ref42352798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fr-FR"/>
              </w:rPr>
              <w:t>49</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Times New Roman"/>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_Ref42352926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51</w:t>
            </w:r>
            <w:r w:rsidRPr="0015499D">
              <w:rPr>
                <w:rFonts w:ascii="Calibri" w:eastAsia="Calibri" w:hAnsi="Calibri" w:cs="Calibri"/>
                <w:sz w:val="20"/>
                <w:szCs w:val="24"/>
                <w:lang w:val="fr-FR"/>
              </w:rPr>
              <w:fldChar w:fldCharType="end"/>
            </w:r>
          </w:p>
        </w:tc>
        <w:tc>
          <w:tcPr>
            <w:tcW w:w="521" w:type="pct"/>
            <w:tcBorders>
              <w:left w:val="nil"/>
              <w:right w:val="nil"/>
            </w:tcBorders>
          </w:tcPr>
          <w:p w14:paraId="6BB98541"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ADDIN ZOTERO_ITEM CSL_CITATION {"citationID":"SCQxTVmv","properties":{"formattedCitation":"(Georgopoulou et al., 2017)","plainCitation":"(Georgopoulou et al., 2017)","dontUpdate":true,"noteIndex":0},"citationItems":[{"id":2721,"uris":["http://zotero.org/users/2311545/items/Z5HZ3W27"],"uri":["http://zotero.org/users/2311545/items/Z5HZ3W27"],"itemData":{"id":2721,"type":"article-journal","abstract":"The paper presents a quantitative assessment of mid-term (2021–2050) climate change impacts on and potential adaptation options for selected crops in Greece that are of importance in terms of their share in national agricultural production and gross value added. Central points in the assessment are the monetary evaluation of impacts and the cost-benefit analysis of adaptation options. To address local variability in current and future climate conditions, analysis is spatially disaggregated into geographical regions using as an input downscaled results from climatic models. For some crops (cereals, vegetables, pulses, grapevines), changes in future agricultural yields are assessed by means of agronomic simulation models, while for the rest crops changes are assessed through regression models. The expected effects on crop yields of a number of potential adaptation options are also investigated through the same models, and the costs and benefits of these options are also quantitatively assessed. The findings indicate that climate change may create winners and losers depending on their agricultural activity and location, while adaptation can mitigate adverse effects of climate change under cost-effective terms.","container-title":"Climate Risk Management","DOI":"10.1016/j.crm.2017.02.002","ISSN":"2212-0963","journalAbbreviation":"Climate Risk Management","page":"164-182","source":"ScienceDirect","title":"Climate change impacts and adaptation options for the Greek agriculture in 2021–2050: A monetary assessment","title-short":"Climate change impacts and adaptation options for the Greek agriculture in 2021–2050","volume":"16","author":[{"family":"Georgopoulou","given":"E."},{"family":"Mirasgedis","given":"S."},{"family":"Sarafidis","given":"Y."},{"family":"Vitaliotou","given":"M."},{"family":"Lalas","given":"D. P."},{"family":"Theloudis","given":"I."},{"family":"Giannoulaki","given":"K. -D."},{"family":"Dimopoulos","given":"D."},{"family":"Zavras","given":"V."}],"issued":{"date-parts":[["2017",1,1]]}}}],"schema":"https://github.com/citation-style-language/schema/raw/master/csl-citation.json"} </w:instrTex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fr-FR"/>
              </w:rPr>
              <w:t xml:space="preserve"> ,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_Ref42352926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51</w:t>
            </w:r>
            <w:r w:rsidRPr="0015499D">
              <w:rPr>
                <w:rFonts w:ascii="Calibri" w:eastAsia="Calibri" w:hAnsi="Calibri" w:cs="Calibri"/>
                <w:sz w:val="20"/>
                <w:szCs w:val="24"/>
                <w:lang w:val="fr-FR"/>
              </w:rPr>
              <w:fldChar w:fldCharType="end"/>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_Ref42352970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52</w:t>
            </w:r>
            <w:r w:rsidRPr="0015499D">
              <w:rPr>
                <w:rFonts w:ascii="Calibri" w:eastAsia="Calibri" w:hAnsi="Calibri" w:cs="Calibri"/>
                <w:sz w:val="20"/>
                <w:szCs w:val="24"/>
                <w:lang w:val="fr-FR"/>
              </w:rPr>
              <w:fldChar w:fldCharType="end"/>
            </w:r>
          </w:p>
        </w:tc>
        <w:tc>
          <w:tcPr>
            <w:tcW w:w="625" w:type="pct"/>
            <w:tcBorders>
              <w:left w:val="nil"/>
              <w:right w:val="nil"/>
            </w:tcBorders>
          </w:tcPr>
          <w:p w14:paraId="4739EE99"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p>
        </w:tc>
        <w:tc>
          <w:tcPr>
            <w:tcW w:w="469" w:type="pct"/>
            <w:tcBorders>
              <w:left w:val="nil"/>
              <w:right w:val="nil"/>
            </w:tcBorders>
          </w:tcPr>
          <w:p w14:paraId="14833149"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p>
        </w:tc>
        <w:tc>
          <w:tcPr>
            <w:tcW w:w="573" w:type="pct"/>
            <w:tcBorders>
              <w:left w:val="nil"/>
              <w:right w:val="nil"/>
            </w:tcBorders>
          </w:tcPr>
          <w:p w14:paraId="7C3D8061"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p>
        </w:tc>
        <w:tc>
          <w:tcPr>
            <w:tcW w:w="469" w:type="pct"/>
            <w:tcBorders>
              <w:left w:val="nil"/>
              <w:right w:val="nil"/>
            </w:tcBorders>
          </w:tcPr>
          <w:p w14:paraId="5E730DDC"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_Ref42352926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51</w:t>
            </w:r>
            <w:r w:rsidRPr="0015499D">
              <w:rPr>
                <w:rFonts w:ascii="Calibri" w:eastAsia="Calibri" w:hAnsi="Calibri" w:cs="Calibri"/>
                <w:sz w:val="20"/>
                <w:szCs w:val="24"/>
                <w:lang w:val="fr-FR"/>
              </w:rPr>
              <w:fldChar w:fldCharType="end"/>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_Ref42352970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52</w:t>
            </w:r>
            <w:r w:rsidRPr="0015499D">
              <w:rPr>
                <w:rFonts w:ascii="Calibri" w:eastAsia="Calibri" w:hAnsi="Calibri" w:cs="Calibri"/>
                <w:sz w:val="20"/>
                <w:szCs w:val="24"/>
                <w:lang w:val="fr-FR"/>
              </w:rPr>
              <w:fldChar w:fldCharType="end"/>
            </w:r>
          </w:p>
        </w:tc>
        <w:tc>
          <w:tcPr>
            <w:tcW w:w="414" w:type="pct"/>
            <w:tcBorders>
              <w:left w:val="nil"/>
              <w:right w:val="nil"/>
            </w:tcBorders>
          </w:tcPr>
          <w:p w14:paraId="7EE79E3D"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p>
        </w:tc>
      </w:tr>
      <w:tr w:rsidR="00AB675F" w:rsidRPr="00CD39DD" w14:paraId="6D73952C" w14:textId="77777777" w:rsidTr="00645340">
        <w:trPr>
          <w:cantSplit/>
        </w:trPr>
        <w:tc>
          <w:tcPr>
            <w:tcW w:w="390" w:type="pct"/>
            <w:vMerge/>
            <w:tcBorders>
              <w:right w:val="nil"/>
            </w:tcBorders>
          </w:tcPr>
          <w:p w14:paraId="411302B4"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115B7DDF"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Net revenue</w:t>
            </w:r>
          </w:p>
        </w:tc>
        <w:tc>
          <w:tcPr>
            <w:tcW w:w="833" w:type="pct"/>
            <w:tcBorders>
              <w:left w:val="nil"/>
              <w:right w:val="nil"/>
            </w:tcBorders>
          </w:tcPr>
          <w:p w14:paraId="7DF89C9D"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fr-FR"/>
              </w:rPr>
              <w:instrText xml:space="preserve"> NOTEREF _Ref42349340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fr-FR"/>
              </w:rPr>
              <w:t>5</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Calibri"/>
                <w:sz w:val="20"/>
                <w:szCs w:val="24"/>
                <w:lang w:val="fr-FR"/>
              </w:rPr>
              <w:instrText xml:space="preserve"> NOTEREF _Ref42352798 \h </w:instrText>
            </w:r>
            <w:r w:rsidRPr="0015499D">
              <w:rPr>
                <w:rFonts w:ascii="Calibri" w:eastAsia="Calibri" w:hAnsi="Calibri" w:cs="Times New Roman"/>
                <w:sz w:val="20"/>
                <w:szCs w:val="24"/>
                <w:lang w:val="en-GB"/>
              </w:rPr>
              <w:instrText xml:space="preserve">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Calibri"/>
                <w:sz w:val="20"/>
                <w:szCs w:val="24"/>
                <w:lang w:val="fr-FR"/>
              </w:rPr>
              <w:t>49</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w:t>
            </w:r>
            <w:r w:rsidRPr="0015499D">
              <w:rPr>
                <w:rFonts w:ascii="Calibri" w:eastAsia="Calibri" w:hAnsi="Calibri" w:cs="Times New Roman"/>
                <w:sz w:val="20"/>
                <w:szCs w:val="24"/>
                <w:lang w:val="fr-FR"/>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_Ref42352926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51</w:t>
            </w:r>
            <w:r w:rsidRPr="0015499D">
              <w:rPr>
                <w:rFonts w:ascii="Calibri" w:eastAsia="Calibri" w:hAnsi="Calibri" w:cs="Calibri"/>
                <w:sz w:val="20"/>
                <w:szCs w:val="24"/>
                <w:lang w:val="fr-FR"/>
              </w:rPr>
              <w:fldChar w:fldCharType="end"/>
            </w:r>
          </w:p>
        </w:tc>
        <w:tc>
          <w:tcPr>
            <w:tcW w:w="521" w:type="pct"/>
            <w:tcBorders>
              <w:left w:val="nil"/>
              <w:right w:val="nil"/>
            </w:tcBorders>
          </w:tcPr>
          <w:p w14:paraId="459D339D"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en-GB"/>
              </w:rPr>
              <w:instrText xml:space="preserve"> NOTEREF _Ref42352926 \h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en-GB"/>
              </w:rPr>
              <w:t>51</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_Ref42352970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52</w:t>
            </w:r>
            <w:r w:rsidRPr="0015499D">
              <w:rPr>
                <w:rFonts w:ascii="Calibri" w:eastAsia="Calibri" w:hAnsi="Calibri" w:cs="Calibri"/>
                <w:sz w:val="20"/>
                <w:szCs w:val="24"/>
                <w:lang w:val="fr-FR"/>
              </w:rPr>
              <w:fldChar w:fldCharType="end"/>
            </w:r>
          </w:p>
        </w:tc>
        <w:tc>
          <w:tcPr>
            <w:tcW w:w="625" w:type="pct"/>
            <w:tcBorders>
              <w:left w:val="nil"/>
              <w:right w:val="nil"/>
            </w:tcBorders>
          </w:tcPr>
          <w:p w14:paraId="3AD1DC3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p>
        </w:tc>
        <w:tc>
          <w:tcPr>
            <w:tcW w:w="469" w:type="pct"/>
            <w:tcBorders>
              <w:left w:val="nil"/>
              <w:right w:val="nil"/>
            </w:tcBorders>
          </w:tcPr>
          <w:p w14:paraId="1FF8E239"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148CE359"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_Ref42352467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41</w:t>
            </w:r>
            <w:r w:rsidRPr="0015499D">
              <w:rPr>
                <w:rFonts w:ascii="Calibri" w:eastAsia="Calibri" w:hAnsi="Calibri" w:cs="Times New Roman"/>
                <w:sz w:val="20"/>
                <w:szCs w:val="24"/>
                <w:lang w:val="en-GB"/>
              </w:rPr>
              <w:fldChar w:fldCharType="end"/>
            </w:r>
          </w:p>
        </w:tc>
        <w:tc>
          <w:tcPr>
            <w:tcW w:w="469" w:type="pct"/>
            <w:tcBorders>
              <w:left w:val="nil"/>
              <w:right w:val="nil"/>
            </w:tcBorders>
          </w:tcPr>
          <w:p w14:paraId="7BFA7F02" w14:textId="77777777" w:rsidR="00AB675F" w:rsidRPr="0015499D" w:rsidRDefault="00AB675F" w:rsidP="00AB675F">
            <w:pPr>
              <w:keepNext/>
              <w:spacing w:before="0" w:after="0" w:line="300" w:lineRule="atLeast"/>
              <w:jc w:val="both"/>
              <w:rPr>
                <w:rFonts w:ascii="Calibri" w:eastAsia="Calibri" w:hAnsi="Calibri" w:cs="Times New Roman"/>
                <w:sz w:val="20"/>
                <w:szCs w:val="24"/>
                <w:lang w:val="fr-FR"/>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_Ref42352926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51</w:t>
            </w:r>
            <w:r w:rsidRPr="0015499D">
              <w:rPr>
                <w:rFonts w:ascii="Calibri" w:eastAsia="Calibri" w:hAnsi="Calibri" w:cs="Calibri"/>
                <w:sz w:val="20"/>
                <w:szCs w:val="24"/>
                <w:lang w:val="fr-FR"/>
              </w:rPr>
              <w:fldChar w:fldCharType="end"/>
            </w:r>
            <w:r w:rsidRPr="0015499D">
              <w:rPr>
                <w:rFonts w:ascii="Calibri" w:eastAsia="Calibri" w:hAnsi="Calibri" w:cs="Calibri"/>
                <w:sz w:val="20"/>
                <w:szCs w:val="24"/>
                <w:lang w:val="fr-FR"/>
              </w:rPr>
              <w:t xml:space="preserve">, </w:t>
            </w:r>
            <w:r w:rsidRPr="0015499D">
              <w:rPr>
                <w:rFonts w:ascii="Calibri" w:eastAsia="Calibri" w:hAnsi="Calibri" w:cs="Calibri"/>
                <w:sz w:val="20"/>
                <w:szCs w:val="24"/>
                <w:lang w:val="fr-FR"/>
              </w:rPr>
              <w:fldChar w:fldCharType="begin"/>
            </w:r>
            <w:r w:rsidRPr="0015499D">
              <w:rPr>
                <w:rFonts w:ascii="Calibri" w:eastAsia="Calibri" w:hAnsi="Calibri" w:cs="Calibri"/>
                <w:sz w:val="20"/>
                <w:szCs w:val="24"/>
                <w:lang w:val="fr-FR"/>
              </w:rPr>
              <w:instrText xml:space="preserve"> NOTEREF _Ref42352970 \h  \* MERGEFORMAT </w:instrText>
            </w:r>
            <w:r w:rsidRPr="0015499D">
              <w:rPr>
                <w:rFonts w:ascii="Calibri" w:eastAsia="Calibri" w:hAnsi="Calibri" w:cs="Calibri"/>
                <w:sz w:val="20"/>
                <w:szCs w:val="24"/>
                <w:lang w:val="fr-FR"/>
              </w:rPr>
            </w:r>
            <w:r w:rsidRPr="0015499D">
              <w:rPr>
                <w:rFonts w:ascii="Calibri" w:eastAsia="Calibri" w:hAnsi="Calibri" w:cs="Calibri"/>
                <w:sz w:val="20"/>
                <w:szCs w:val="24"/>
                <w:lang w:val="fr-FR"/>
              </w:rPr>
              <w:fldChar w:fldCharType="separate"/>
            </w:r>
            <w:r w:rsidRPr="0015499D">
              <w:rPr>
                <w:rFonts w:ascii="Calibri" w:eastAsia="Calibri" w:hAnsi="Calibri" w:cs="Calibri"/>
                <w:sz w:val="20"/>
                <w:szCs w:val="24"/>
                <w:lang w:val="fr-FR"/>
              </w:rPr>
              <w:t>52</w:t>
            </w:r>
            <w:r w:rsidRPr="0015499D">
              <w:rPr>
                <w:rFonts w:ascii="Calibri" w:eastAsia="Calibri" w:hAnsi="Calibri" w:cs="Calibri"/>
                <w:sz w:val="20"/>
                <w:szCs w:val="24"/>
                <w:lang w:val="fr-FR"/>
              </w:rPr>
              <w:fldChar w:fldCharType="end"/>
            </w:r>
          </w:p>
        </w:tc>
        <w:tc>
          <w:tcPr>
            <w:tcW w:w="414" w:type="pct"/>
            <w:tcBorders>
              <w:left w:val="nil"/>
              <w:right w:val="nil"/>
            </w:tcBorders>
          </w:tcPr>
          <w:p w14:paraId="53E759F9"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Calibri"/>
                <w:sz w:val="20"/>
                <w:szCs w:val="24"/>
                <w:lang w:val="fr-FR"/>
              </w:rPr>
              <w:instrText xml:space="preserve"> NOTEREF _Ref42352858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Calibri"/>
                <w:sz w:val="20"/>
                <w:szCs w:val="24"/>
                <w:lang w:val="fr-FR"/>
              </w:rPr>
              <w:t>50</w:t>
            </w:r>
            <w:r w:rsidRPr="0015499D">
              <w:rPr>
                <w:rFonts w:ascii="Calibri" w:eastAsia="Calibri" w:hAnsi="Calibri" w:cs="Calibri"/>
                <w:sz w:val="20"/>
                <w:szCs w:val="24"/>
                <w:lang w:val="en-GB"/>
              </w:rPr>
              <w:fldChar w:fldCharType="end"/>
            </w:r>
            <w:r w:rsidRPr="0015499D">
              <w:rPr>
                <w:rFonts w:ascii="Calibri" w:eastAsia="Calibri" w:hAnsi="Calibri" w:cs="Calibri"/>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_Ref42352467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41</w:t>
            </w:r>
            <w:r w:rsidRPr="0015499D">
              <w:rPr>
                <w:rFonts w:ascii="Calibri" w:eastAsia="Calibri" w:hAnsi="Calibri" w:cs="Times New Roman"/>
                <w:sz w:val="20"/>
                <w:szCs w:val="24"/>
                <w:lang w:val="en-GB"/>
              </w:rPr>
              <w:fldChar w:fldCharType="end"/>
            </w:r>
          </w:p>
        </w:tc>
      </w:tr>
      <w:tr w:rsidR="00AB675F" w:rsidRPr="00CD39DD" w14:paraId="260B16F5" w14:textId="77777777" w:rsidTr="00645340">
        <w:trPr>
          <w:cantSplit/>
        </w:trPr>
        <w:tc>
          <w:tcPr>
            <w:tcW w:w="390" w:type="pct"/>
            <w:vMerge/>
            <w:tcBorders>
              <w:right w:val="nil"/>
            </w:tcBorders>
          </w:tcPr>
          <w:p w14:paraId="062EB286"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488363C5"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Labour</w:t>
            </w:r>
          </w:p>
        </w:tc>
        <w:tc>
          <w:tcPr>
            <w:tcW w:w="833" w:type="pct"/>
            <w:tcBorders>
              <w:left w:val="nil"/>
              <w:right w:val="nil"/>
            </w:tcBorders>
          </w:tcPr>
          <w:p w14:paraId="7397530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21" w:type="pct"/>
            <w:tcBorders>
              <w:left w:val="nil"/>
              <w:right w:val="nil"/>
            </w:tcBorders>
          </w:tcPr>
          <w:p w14:paraId="0F594B4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625" w:type="pct"/>
            <w:tcBorders>
              <w:left w:val="nil"/>
              <w:right w:val="nil"/>
            </w:tcBorders>
          </w:tcPr>
          <w:p w14:paraId="6FA98F8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56F3F26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6FEDE0B2"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13D208D3"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7BA9396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Calibri"/>
                <w:sz w:val="20"/>
                <w:szCs w:val="24"/>
                <w:lang w:val="en-GB"/>
              </w:rPr>
              <w:fldChar w:fldCharType="begin"/>
            </w:r>
            <w:r w:rsidRPr="0015499D">
              <w:rPr>
                <w:rFonts w:ascii="Calibri" w:eastAsia="Calibri" w:hAnsi="Calibri" w:cs="Times New Roman"/>
                <w:sz w:val="20"/>
                <w:szCs w:val="24"/>
                <w:lang w:val="en-GB"/>
              </w:rPr>
              <w:instrText xml:space="preserve"> NOTEREF _Ref42353032 \h </w:instrText>
            </w:r>
            <w:r w:rsidRPr="0015499D">
              <w:rPr>
                <w:rFonts w:ascii="Calibri" w:eastAsia="Calibri" w:hAnsi="Calibri" w:cs="Calibri"/>
                <w:sz w:val="20"/>
                <w:szCs w:val="24"/>
                <w:lang w:val="en-GB"/>
              </w:rPr>
              <w:instrText xml:space="preserve"> \* MERGEFORMAT </w:instrText>
            </w:r>
            <w:r w:rsidRPr="0015499D">
              <w:rPr>
                <w:rFonts w:ascii="Calibri" w:eastAsia="Calibri" w:hAnsi="Calibri" w:cs="Calibri"/>
                <w:sz w:val="20"/>
                <w:szCs w:val="24"/>
                <w:lang w:val="en-GB"/>
              </w:rPr>
            </w:r>
            <w:r w:rsidRPr="0015499D">
              <w:rPr>
                <w:rFonts w:ascii="Calibri" w:eastAsia="Calibri" w:hAnsi="Calibri" w:cs="Calibri"/>
                <w:sz w:val="20"/>
                <w:szCs w:val="24"/>
                <w:lang w:val="en-GB"/>
              </w:rPr>
              <w:fldChar w:fldCharType="separate"/>
            </w:r>
            <w:r w:rsidRPr="0015499D">
              <w:rPr>
                <w:rFonts w:ascii="Calibri" w:eastAsia="Calibri" w:hAnsi="Calibri" w:cs="Times New Roman"/>
                <w:sz w:val="20"/>
                <w:szCs w:val="24"/>
                <w:lang w:val="en-GB"/>
              </w:rPr>
              <w:t>46</w:t>
            </w:r>
            <w:r w:rsidRPr="0015499D">
              <w:rPr>
                <w:rFonts w:ascii="Calibri" w:eastAsia="Calibri" w:hAnsi="Calibri" w:cs="Calibri"/>
                <w:sz w:val="20"/>
                <w:szCs w:val="24"/>
                <w:lang w:val="en-GB"/>
              </w:rPr>
              <w:fldChar w:fldCharType="end"/>
            </w:r>
          </w:p>
        </w:tc>
      </w:tr>
      <w:tr w:rsidR="00AB675F" w:rsidRPr="00CD39DD" w14:paraId="728BB538" w14:textId="77777777" w:rsidTr="00645340">
        <w:trPr>
          <w:cantSplit/>
        </w:trPr>
        <w:tc>
          <w:tcPr>
            <w:tcW w:w="390" w:type="pct"/>
            <w:vMerge/>
            <w:tcBorders>
              <w:right w:val="nil"/>
            </w:tcBorders>
          </w:tcPr>
          <w:p w14:paraId="127C6AE1"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4A1D0437"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Vulnerability</w:t>
            </w:r>
          </w:p>
        </w:tc>
        <w:tc>
          <w:tcPr>
            <w:tcW w:w="833" w:type="pct"/>
            <w:tcBorders>
              <w:left w:val="nil"/>
              <w:right w:val="nil"/>
            </w:tcBorders>
          </w:tcPr>
          <w:p w14:paraId="5637A0F3"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44" w:name="_Ref42348647"/>
            <w:r w:rsidRPr="0015499D">
              <w:rPr>
                <w:rStyle w:val="Appeldenotedefin"/>
                <w:sz w:val="20"/>
                <w:vertAlign w:val="baseline"/>
              </w:rPr>
              <w:endnoteReference w:id="53"/>
            </w:r>
            <w:bookmarkEnd w:id="44"/>
            <w:r w:rsidRPr="0015499D">
              <w:rPr>
                <w:rFonts w:ascii="Calibri" w:eastAsia="Calibri" w:hAnsi="Calibri" w:cs="Times New Roman"/>
                <w:sz w:val="20"/>
                <w:szCs w:val="24"/>
                <w:lang w:val="en-GB"/>
              </w:rPr>
              <w:t>,</w:t>
            </w:r>
            <w:bookmarkStart w:id="45" w:name="_Ref42348741"/>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54"/>
            </w:r>
            <w:bookmarkEnd w:id="45"/>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55"/>
            </w:r>
          </w:p>
        </w:tc>
        <w:tc>
          <w:tcPr>
            <w:tcW w:w="521" w:type="pct"/>
            <w:tcBorders>
              <w:left w:val="nil"/>
              <w:right w:val="nil"/>
            </w:tcBorders>
          </w:tcPr>
          <w:p w14:paraId="2F26647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ADDIN ZOTERO_ITEM CSL_CITATION {"citationID":"867TGoSI","properties":{"formattedCitation":"(Lereboullet et al., 2013; Neethling et al., 2017; Nicholas and Durham, 2012)","plainCitation":"(Lereboullet et al., 2013; Neethling et al., 2017; Nicholas and Durham, 2012)","dontUpdate":true,"noteIndex":0},"citationItems":[{"id":1834,"uris":["http://zotero.org/users/2311545/items/SIBULXD8"],"uri":["http://zotero.org/users/2311545/items/SIBULXD8"],"itemData":{"id":1834,"type":"article-journal","abstract":"The article aims to present a systemic and comparative framework to study adaptation to climate change in agricultural systems. Mediterranean viticulture, projected to experience signiﬁcant and rapid changes in climate, is used as a case study. We apply an international socio-ecological approach focusing on viticulture in Roussillon (France) and McLaren Vale (Australia). Mixed-methods, including analysis of meteorological data, semi-structured interviews and ﬁeld observations, guide an analysis of the exposure, sensitivity and adaptation of the two viticultural systems to climate change. We found that the exposure to climate change is likely to become more acute in the two regions by 2060, and that the sensitivity and adaptive capacity of viticultural systems to such change depend strongly on the complex interaction of ecological and socio-economic factors. Most studies focusing on viticulture and climate change are either oriented towards plant physiology, phenological modelling or the economic future of the industry in one region. The research bridges discipline approaches to provide a holistic comparative analysis to guide adaptation, and argues that socio-ecological analyses will become increasingly important to support adaptation decision-making.","container-title":"Agriculture, Ecosystems &amp; Environment","DOI":"10.1016/j.agee.2012.10.008","ISSN":"01678809","language":"en","page":"273-285","source":"Crossref","title":"Socio-ecological adaptation to climate change: A comparative case study from the Mediterranean wine industry in France and Australia","title-short":"Socio-ecological adaptation to climate change","volume":"164","author":[{"family":"Lereboullet","given":"Anne-Laure"},{"family":"Beltrando","given":"Gérard"},{"family":"Bardsley","given":"Douglas K."}],"issued":{"date-parts":[["2013",1]]}}},{"id":1931,"uris":["http://zotero.org/users/2311545/items/FKC5HFGX"],"uri":["http://zotero.org/users/2311545/items/FKC5HFGX"],"itemData":{"id":1931,"type":"article-journal","abstract":"Adaptation to climate change is a major challenge facing the viticulture sector. Temporally, adaptation strategies and policies have to address potential impacts in both the short- and long term, whereas spatially, place-based and context-specific adaptations are essential. To help inform decision-making on climate change adaptation, this study adopted a bottom-up approach to assess local climate vulnerability and winegrowers’ adaptive processes in two regulated wine-producing areas in the Anjou-Saumur wine growing sub-region, France. The data used for this study were collected through individual semi-structured interviews with 30 winegrowers. With a focus on wine quality, climate-related exposure, and sensitivity were dependent on many contextual factors (e.g., northern geographical position, wine regulatory frameworks, local environmental features) interacting with the regional oceanic climate. Climate and other non-climate-related variables brought about important changes in winegrowers’ management practices, varying in time and space. This ongoing process in decision-making enhanced winegrowers’ adaptive responses, which were primarily reactive (e.g., harvesting, winemaking) or anticipatory (e.g., canopy and soil management) to short-term climate conditions. Winegrowers described changing trends in climateand grapevine (Vitis) -related variables, with the latter attributed to regional climate changes and evolving management practices. Regarding future climate trends, winegrowers’ displayed great uncertainty, placing the most urgent adaptation priority on short-term strategies, while changing grapevine varieties and using irrigation were identified as last resort strategies. The study concluded by discussing the implications of these findings in the context of climate change adaptation in viticulture.","container-title":"Mitigation and Adaptation Strategies for Global Change","DOI":"10.1007/s11027-015-9698-0","ISSN":"1381-2386, 1573-1596","issue":"5","language":"en","page":"777-803","source":"Crossref","title":"Assessing local climate vulnerability and winegrowers’ adaptive processes in the context of climate change","volume":"22","author":[{"family":"Neethling","given":"Etienne"},{"family":"Petitjean","given":"Théo"},{"family":"Quénol","given":"Hervé"},{"family":"Barbeau","given":"Gérard"}],"issued":{"date-parts":[["2017",6]]}}},{"id":1821,"uris":["http://zotero.org/users/2311545/items/TK886YT8"],"uri":["http://zotero.org/users/2311545/items/TK886YT8"],"itemData":{"id":1821,"type":"article-journal","abstract":"The wine industry is increasingly recognized as especially vulnerable to climate change due to the climate sensitivity of both winegrape yields and quality, making it an important model system for the agricultural impacts of global changes. However, agricultural production is strongly inﬂuenced by the management decisions of growers, including their practices to modify the microclimate experienced by the growing crop; these adaptations have not been studied at the vineyard level, where managers on the ground are on the front lines of responding to global change.","container-title":"Global Environmental Change","DOI":"10.1016/j.gloenvcha.2012.01.001","ISSN":"09593780","issue":"2","language":"en","page":"483-494","source":"Crossref","title":"Farm-scale adaptation and vulnerability to environmental stresses: Insights from winegrowing in Northern California","title-short":"Farm-scale adaptation and vulnerability to environmental stresses","volume":"22","author":[{"family":"Nicholas","given":"Kimberly A."},{"family":"Durham","given":"William H."}],"issued":{"date-parts":[["2012",5]]}}}],"schema":"https://github.com/citation-style-language/schema/raw/master/csl-citation.json"} </w:instrTex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_Ref42348647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53</w:t>
            </w:r>
            <w:r w:rsidRPr="0015499D">
              <w:rPr>
                <w:rFonts w:ascii="Calibri" w:eastAsia="Calibri" w:hAnsi="Calibri" w:cs="Times New Roman"/>
                <w:sz w:val="20"/>
                <w:szCs w:val="24"/>
                <w:lang w:val="en-GB"/>
              </w:rPr>
              <w:fldChar w:fldCharType="end"/>
            </w:r>
          </w:p>
        </w:tc>
        <w:tc>
          <w:tcPr>
            <w:tcW w:w="625" w:type="pct"/>
            <w:tcBorders>
              <w:left w:val="nil"/>
              <w:right w:val="nil"/>
            </w:tcBorders>
          </w:tcPr>
          <w:p w14:paraId="6EEA03EC"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_Ref42348647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53</w:t>
            </w:r>
            <w:r w:rsidRPr="0015499D">
              <w:rPr>
                <w:rFonts w:ascii="Calibri" w:eastAsia="Calibri" w:hAnsi="Calibri" w:cs="Times New Roman"/>
                <w:sz w:val="20"/>
                <w:szCs w:val="24"/>
                <w:lang w:val="en-GB"/>
              </w:rPr>
              <w:fldChar w:fldCharType="end"/>
            </w:r>
          </w:p>
        </w:tc>
        <w:tc>
          <w:tcPr>
            <w:tcW w:w="469" w:type="pct"/>
            <w:tcBorders>
              <w:left w:val="nil"/>
              <w:right w:val="nil"/>
            </w:tcBorders>
          </w:tcPr>
          <w:p w14:paraId="22A55FE2"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_Ref42348647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53</w:t>
            </w:r>
            <w:r w:rsidRPr="0015499D">
              <w:rPr>
                <w:rFonts w:ascii="Calibri" w:eastAsia="Calibri" w:hAnsi="Calibri" w:cs="Times New Roman"/>
                <w:sz w:val="20"/>
                <w:szCs w:val="24"/>
                <w:lang w:val="en-GB"/>
              </w:rPr>
              <w:fldChar w:fldCharType="end"/>
            </w:r>
          </w:p>
        </w:tc>
        <w:tc>
          <w:tcPr>
            <w:tcW w:w="573" w:type="pct"/>
            <w:tcBorders>
              <w:left w:val="nil"/>
              <w:right w:val="nil"/>
            </w:tcBorders>
          </w:tcPr>
          <w:p w14:paraId="14DE11C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_Ref42348647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53</w:t>
            </w:r>
            <w:r w:rsidRPr="0015499D">
              <w:rPr>
                <w:rFonts w:ascii="Calibri" w:eastAsia="Calibri" w:hAnsi="Calibri" w:cs="Times New Roman"/>
                <w:sz w:val="20"/>
                <w:szCs w:val="24"/>
                <w:lang w:val="en-GB"/>
              </w:rPr>
              <w:fldChar w:fldCharType="end"/>
            </w:r>
          </w:p>
        </w:tc>
        <w:tc>
          <w:tcPr>
            <w:tcW w:w="469" w:type="pct"/>
            <w:tcBorders>
              <w:left w:val="nil"/>
              <w:right w:val="nil"/>
            </w:tcBorders>
          </w:tcPr>
          <w:p w14:paraId="265CCF1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_Ref42348647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53</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56"/>
            </w:r>
          </w:p>
        </w:tc>
        <w:tc>
          <w:tcPr>
            <w:tcW w:w="414" w:type="pct"/>
            <w:tcBorders>
              <w:left w:val="nil"/>
              <w:right w:val="nil"/>
            </w:tcBorders>
          </w:tcPr>
          <w:p w14:paraId="5181905A" w14:textId="77777777" w:rsidR="00AB675F" w:rsidRPr="0015499D" w:rsidRDefault="00AB675F" w:rsidP="00AB675F">
            <w:pPr>
              <w:keepNext/>
              <w:spacing w:before="0" w:after="0" w:line="300" w:lineRule="atLeast"/>
              <w:jc w:val="both"/>
              <w:rPr>
                <w:rFonts w:ascii="Calibri" w:eastAsia="Calibri" w:hAnsi="Calibri" w:cs="Calibri"/>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_Ref42348647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53</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_Ref42348741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54</w:t>
            </w:r>
            <w:r w:rsidRPr="0015499D">
              <w:rPr>
                <w:rFonts w:ascii="Calibri" w:eastAsia="Calibri" w:hAnsi="Calibri" w:cs="Times New Roman"/>
                <w:sz w:val="20"/>
                <w:szCs w:val="24"/>
                <w:lang w:val="en-GB"/>
              </w:rPr>
              <w:fldChar w:fldCharType="end"/>
            </w:r>
          </w:p>
        </w:tc>
      </w:tr>
      <w:tr w:rsidR="00AB675F" w:rsidRPr="00CD39DD" w14:paraId="0B974117" w14:textId="77777777" w:rsidTr="00645340">
        <w:trPr>
          <w:cantSplit/>
        </w:trPr>
        <w:tc>
          <w:tcPr>
            <w:tcW w:w="390" w:type="pct"/>
            <w:vMerge w:val="restart"/>
            <w:tcBorders>
              <w:right w:val="nil"/>
            </w:tcBorders>
          </w:tcPr>
          <w:p w14:paraId="74B40E17"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Regional scale</w:t>
            </w:r>
          </w:p>
        </w:tc>
        <w:tc>
          <w:tcPr>
            <w:tcW w:w="706" w:type="pct"/>
            <w:tcBorders>
              <w:left w:val="nil"/>
              <w:right w:val="nil"/>
            </w:tcBorders>
          </w:tcPr>
          <w:p w14:paraId="3A8D8629" w14:textId="5E6F5A7C"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Pr>
                <w:rFonts w:ascii="Calibri" w:eastAsia="Calibri" w:hAnsi="Calibri" w:cs="Times New Roman"/>
                <w:szCs w:val="24"/>
                <w:vertAlign w:val="subscript"/>
                <w:lang w:val="en-GB"/>
              </w:rPr>
              <w:t>F</w:t>
            </w:r>
            <w:r w:rsidRPr="00CD39DD">
              <w:rPr>
                <w:rFonts w:ascii="Calibri" w:eastAsia="Calibri" w:hAnsi="Calibri" w:cs="Times New Roman"/>
                <w:szCs w:val="24"/>
                <w:vertAlign w:val="subscript"/>
                <w:lang w:val="en-GB"/>
              </w:rPr>
              <w:t>reshwater ecosystem</w:t>
            </w:r>
          </w:p>
        </w:tc>
        <w:tc>
          <w:tcPr>
            <w:tcW w:w="833" w:type="pct"/>
            <w:tcBorders>
              <w:left w:val="nil"/>
              <w:right w:val="nil"/>
            </w:tcBorders>
          </w:tcPr>
          <w:p w14:paraId="6260ABD5"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Style w:val="Appeldenotedefin"/>
                <w:sz w:val="20"/>
                <w:vertAlign w:val="baseline"/>
              </w:rPr>
              <w:endnoteReference w:id="57"/>
            </w:r>
          </w:p>
        </w:tc>
        <w:tc>
          <w:tcPr>
            <w:tcW w:w="521" w:type="pct"/>
            <w:tcBorders>
              <w:left w:val="nil"/>
              <w:right w:val="nil"/>
            </w:tcBorders>
          </w:tcPr>
          <w:p w14:paraId="31ACFB8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625" w:type="pct"/>
            <w:tcBorders>
              <w:left w:val="nil"/>
              <w:right w:val="nil"/>
            </w:tcBorders>
          </w:tcPr>
          <w:p w14:paraId="543A01CB"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5063B8D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2EB2CC2D"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1C4FA4C1"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bookmarkStart w:id="46" w:name="_Ref42353061"/>
        <w:tc>
          <w:tcPr>
            <w:tcW w:w="414" w:type="pct"/>
            <w:tcBorders>
              <w:left w:val="nil"/>
              <w:right w:val="nil"/>
            </w:tcBorders>
          </w:tcPr>
          <w:p w14:paraId="367041C0" w14:textId="66C26C7B"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_Ref42356169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37</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Style w:val="Appeldenotedefin"/>
                <w:sz w:val="20"/>
                <w:vertAlign w:val="baseline"/>
              </w:rPr>
              <w:endnoteReference w:id="58"/>
            </w:r>
            <w:bookmarkEnd w:id="46"/>
          </w:p>
        </w:tc>
      </w:tr>
      <w:tr w:rsidR="00AB675F" w:rsidRPr="00CD39DD" w14:paraId="49BBCFF2" w14:textId="77777777" w:rsidTr="00645340">
        <w:trPr>
          <w:cantSplit/>
        </w:trPr>
        <w:tc>
          <w:tcPr>
            <w:tcW w:w="390" w:type="pct"/>
            <w:vMerge/>
            <w:tcBorders>
              <w:right w:val="nil"/>
            </w:tcBorders>
          </w:tcPr>
          <w:p w14:paraId="44A8B6C5"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17786BE0"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Erosion</w:t>
            </w:r>
          </w:p>
        </w:tc>
        <w:tc>
          <w:tcPr>
            <w:tcW w:w="833" w:type="pct"/>
            <w:tcBorders>
              <w:left w:val="nil"/>
              <w:right w:val="nil"/>
            </w:tcBorders>
          </w:tcPr>
          <w:p w14:paraId="01CF2EB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21" w:type="pct"/>
            <w:tcBorders>
              <w:left w:val="nil"/>
              <w:right w:val="nil"/>
            </w:tcBorders>
          </w:tcPr>
          <w:p w14:paraId="0440011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625" w:type="pct"/>
            <w:tcBorders>
              <w:left w:val="nil"/>
              <w:right w:val="nil"/>
            </w:tcBorders>
          </w:tcPr>
          <w:p w14:paraId="26779F3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5622C34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1334AE68"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67138074"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7233D694"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_Ref42348239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48</w:t>
            </w:r>
            <w:r w:rsidRPr="0015499D">
              <w:rPr>
                <w:rFonts w:ascii="Calibri" w:eastAsia="Calibri" w:hAnsi="Calibri" w:cs="Times New Roman"/>
                <w:sz w:val="20"/>
                <w:szCs w:val="24"/>
                <w:lang w:val="en-GB"/>
              </w:rPr>
              <w:fldChar w:fldCharType="end"/>
            </w:r>
            <w:r w:rsidRPr="0015499D">
              <w:rPr>
                <w:rFonts w:ascii="Calibri" w:eastAsia="Calibri" w:hAnsi="Calibri" w:cs="Times New Roman"/>
                <w:sz w:val="20"/>
                <w:szCs w:val="24"/>
                <w:lang w:val="en-GB"/>
              </w:rPr>
              <w:t xml:space="preserve">, </w:t>
            </w: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_Ref42353061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58</w:t>
            </w:r>
            <w:r w:rsidRPr="0015499D">
              <w:rPr>
                <w:rFonts w:ascii="Calibri" w:eastAsia="Calibri" w:hAnsi="Calibri" w:cs="Times New Roman"/>
                <w:sz w:val="20"/>
                <w:szCs w:val="24"/>
                <w:lang w:val="en-GB"/>
              </w:rPr>
              <w:fldChar w:fldCharType="end"/>
            </w:r>
          </w:p>
        </w:tc>
      </w:tr>
      <w:tr w:rsidR="00AB675F" w:rsidRPr="00CD39DD" w14:paraId="01BF2574" w14:textId="77777777" w:rsidTr="00645340">
        <w:trPr>
          <w:cantSplit/>
        </w:trPr>
        <w:tc>
          <w:tcPr>
            <w:tcW w:w="390" w:type="pct"/>
            <w:vMerge/>
            <w:tcBorders>
              <w:right w:val="nil"/>
            </w:tcBorders>
          </w:tcPr>
          <w:p w14:paraId="45254B35"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42C3175B"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Pollution (N, salinity)</w:t>
            </w:r>
          </w:p>
        </w:tc>
        <w:tc>
          <w:tcPr>
            <w:tcW w:w="833" w:type="pct"/>
            <w:tcBorders>
              <w:left w:val="nil"/>
              <w:right w:val="nil"/>
            </w:tcBorders>
          </w:tcPr>
          <w:p w14:paraId="5163D580"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_Ref42352766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47</w:t>
            </w:r>
            <w:r w:rsidRPr="0015499D">
              <w:rPr>
                <w:rFonts w:ascii="Calibri" w:eastAsia="Calibri" w:hAnsi="Calibri" w:cs="Times New Roman"/>
                <w:sz w:val="20"/>
                <w:szCs w:val="24"/>
                <w:lang w:val="en-GB"/>
              </w:rPr>
              <w:fldChar w:fldCharType="end"/>
            </w:r>
          </w:p>
        </w:tc>
        <w:tc>
          <w:tcPr>
            <w:tcW w:w="521" w:type="pct"/>
            <w:tcBorders>
              <w:left w:val="nil"/>
              <w:right w:val="nil"/>
            </w:tcBorders>
          </w:tcPr>
          <w:p w14:paraId="7E02685D"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625" w:type="pct"/>
            <w:tcBorders>
              <w:left w:val="nil"/>
              <w:right w:val="nil"/>
            </w:tcBorders>
          </w:tcPr>
          <w:p w14:paraId="3D6AA1F6"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3ED41CA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0F29C9D2"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513048F7"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446C171A"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_Ref42353061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58</w:t>
            </w:r>
            <w:r w:rsidRPr="0015499D">
              <w:rPr>
                <w:rFonts w:ascii="Calibri" w:eastAsia="Calibri" w:hAnsi="Calibri" w:cs="Times New Roman"/>
                <w:sz w:val="20"/>
                <w:szCs w:val="24"/>
                <w:lang w:val="en-GB"/>
              </w:rPr>
              <w:fldChar w:fldCharType="end"/>
            </w:r>
          </w:p>
        </w:tc>
      </w:tr>
      <w:tr w:rsidR="009349CB" w:rsidRPr="00CD39DD" w14:paraId="0CCE0D01" w14:textId="77777777" w:rsidTr="00645340">
        <w:trPr>
          <w:cantSplit/>
        </w:trPr>
        <w:tc>
          <w:tcPr>
            <w:tcW w:w="390" w:type="pct"/>
            <w:vMerge/>
            <w:tcBorders>
              <w:right w:val="nil"/>
            </w:tcBorders>
          </w:tcPr>
          <w:p w14:paraId="1D0C80ED"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p>
        </w:tc>
        <w:tc>
          <w:tcPr>
            <w:tcW w:w="706" w:type="pct"/>
            <w:tcBorders>
              <w:left w:val="nil"/>
              <w:right w:val="nil"/>
            </w:tcBorders>
          </w:tcPr>
          <w:p w14:paraId="03BAB6E8" w14:textId="77777777" w:rsidR="00AB675F" w:rsidRPr="00CD39DD" w:rsidRDefault="00AB675F" w:rsidP="00AB675F">
            <w:pPr>
              <w:keepNext/>
              <w:spacing w:before="0" w:after="0" w:line="300" w:lineRule="atLeast"/>
              <w:jc w:val="both"/>
              <w:rPr>
                <w:rFonts w:ascii="Calibri" w:eastAsia="Calibri" w:hAnsi="Calibri" w:cs="Times New Roman"/>
                <w:szCs w:val="24"/>
                <w:vertAlign w:val="subscript"/>
                <w:lang w:val="en-GB"/>
              </w:rPr>
            </w:pPr>
            <w:r w:rsidRPr="00CD39DD">
              <w:rPr>
                <w:rFonts w:ascii="Calibri" w:eastAsia="Calibri" w:hAnsi="Calibri" w:cs="Times New Roman"/>
                <w:szCs w:val="24"/>
                <w:vertAlign w:val="subscript"/>
                <w:lang w:val="en-GB"/>
              </w:rPr>
              <w:t>Economic income</w:t>
            </w:r>
          </w:p>
        </w:tc>
        <w:tc>
          <w:tcPr>
            <w:tcW w:w="833" w:type="pct"/>
            <w:tcBorders>
              <w:left w:val="nil"/>
              <w:right w:val="nil"/>
            </w:tcBorders>
          </w:tcPr>
          <w:p w14:paraId="2D078C3E"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p>
        </w:tc>
        <w:tc>
          <w:tcPr>
            <w:tcW w:w="521" w:type="pct"/>
            <w:tcBorders>
              <w:left w:val="nil"/>
              <w:right w:val="nil"/>
            </w:tcBorders>
          </w:tcPr>
          <w:p w14:paraId="159BF593" w14:textId="77777777" w:rsidR="00AB675F" w:rsidRPr="0015499D" w:rsidRDefault="00AB675F" w:rsidP="00AB675F">
            <w:pPr>
              <w:keepNext/>
              <w:spacing w:before="0" w:after="0" w:line="300" w:lineRule="atLeast"/>
              <w:jc w:val="both"/>
              <w:rPr>
                <w:rFonts w:ascii="Calibri" w:eastAsia="Calibri" w:hAnsi="Calibri" w:cs="Times New Roman"/>
                <w:sz w:val="20"/>
                <w:szCs w:val="24"/>
                <w:lang w:val="en-GB"/>
              </w:rPr>
            </w:pPr>
            <w:bookmarkStart w:id="47" w:name="_Ref42353092"/>
            <w:r w:rsidRPr="0015499D">
              <w:rPr>
                <w:rStyle w:val="Appeldenotedefin"/>
                <w:sz w:val="20"/>
                <w:vertAlign w:val="baseline"/>
              </w:rPr>
              <w:endnoteReference w:id="59"/>
            </w:r>
            <w:bookmarkEnd w:id="47"/>
          </w:p>
        </w:tc>
        <w:tc>
          <w:tcPr>
            <w:tcW w:w="625" w:type="pct"/>
            <w:tcBorders>
              <w:left w:val="nil"/>
              <w:right w:val="nil"/>
            </w:tcBorders>
          </w:tcPr>
          <w:p w14:paraId="1B28D415" w14:textId="77777777" w:rsidR="009349CB" w:rsidRPr="0015499D" w:rsidRDefault="009349CB"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085CEEA4" w14:textId="77777777" w:rsidR="009349CB" w:rsidRPr="0015499D" w:rsidRDefault="009349CB" w:rsidP="00AB675F">
            <w:pPr>
              <w:keepNext/>
              <w:spacing w:before="0" w:after="0" w:line="300" w:lineRule="atLeast"/>
              <w:jc w:val="both"/>
              <w:rPr>
                <w:rFonts w:ascii="Calibri" w:eastAsia="Calibri" w:hAnsi="Calibri" w:cs="Times New Roman"/>
                <w:sz w:val="20"/>
                <w:szCs w:val="24"/>
                <w:lang w:val="en-GB"/>
              </w:rPr>
            </w:pPr>
          </w:p>
        </w:tc>
        <w:tc>
          <w:tcPr>
            <w:tcW w:w="573" w:type="pct"/>
            <w:tcBorders>
              <w:left w:val="nil"/>
              <w:right w:val="nil"/>
            </w:tcBorders>
          </w:tcPr>
          <w:p w14:paraId="407CE07D" w14:textId="77777777" w:rsidR="009349CB" w:rsidRPr="0015499D" w:rsidRDefault="009349CB" w:rsidP="00AB675F">
            <w:pPr>
              <w:keepNext/>
              <w:spacing w:before="0" w:after="0" w:line="300" w:lineRule="atLeast"/>
              <w:jc w:val="both"/>
              <w:rPr>
                <w:rFonts w:ascii="Calibri" w:eastAsia="Calibri" w:hAnsi="Calibri" w:cs="Times New Roman"/>
                <w:sz w:val="20"/>
                <w:szCs w:val="24"/>
                <w:lang w:val="en-GB"/>
              </w:rPr>
            </w:pPr>
          </w:p>
        </w:tc>
        <w:tc>
          <w:tcPr>
            <w:tcW w:w="469" w:type="pct"/>
            <w:tcBorders>
              <w:left w:val="nil"/>
              <w:right w:val="nil"/>
            </w:tcBorders>
          </w:tcPr>
          <w:p w14:paraId="11BCF4A7" w14:textId="77777777" w:rsidR="009349CB" w:rsidRPr="0015499D" w:rsidRDefault="009349CB" w:rsidP="00AB675F">
            <w:pPr>
              <w:keepNext/>
              <w:spacing w:before="0" w:after="0" w:line="300" w:lineRule="atLeast"/>
              <w:jc w:val="both"/>
              <w:rPr>
                <w:rFonts w:ascii="Calibri" w:eastAsia="Calibri" w:hAnsi="Calibri" w:cs="Times New Roman"/>
                <w:sz w:val="20"/>
                <w:szCs w:val="24"/>
                <w:lang w:val="en-GB"/>
              </w:rPr>
            </w:pPr>
          </w:p>
        </w:tc>
        <w:tc>
          <w:tcPr>
            <w:tcW w:w="414" w:type="pct"/>
            <w:tcBorders>
              <w:left w:val="nil"/>
              <w:right w:val="nil"/>
            </w:tcBorders>
          </w:tcPr>
          <w:p w14:paraId="19026AF6" w14:textId="77777777" w:rsidR="009349CB" w:rsidRPr="0015499D" w:rsidRDefault="009349CB" w:rsidP="00AB675F">
            <w:pPr>
              <w:keepNext/>
              <w:spacing w:before="0" w:after="0" w:line="300" w:lineRule="atLeast"/>
              <w:jc w:val="both"/>
              <w:rPr>
                <w:rFonts w:ascii="Calibri" w:eastAsia="Calibri" w:hAnsi="Calibri" w:cs="Times New Roman"/>
                <w:sz w:val="20"/>
                <w:szCs w:val="24"/>
                <w:lang w:val="en-GB"/>
              </w:rPr>
            </w:pPr>
            <w:r w:rsidRPr="0015499D">
              <w:rPr>
                <w:rFonts w:ascii="Calibri" w:eastAsia="Calibri" w:hAnsi="Calibri" w:cs="Times New Roman"/>
                <w:sz w:val="20"/>
                <w:szCs w:val="24"/>
                <w:lang w:val="en-GB"/>
              </w:rPr>
              <w:fldChar w:fldCharType="begin"/>
            </w:r>
            <w:r w:rsidRPr="0015499D">
              <w:rPr>
                <w:rFonts w:ascii="Calibri" w:eastAsia="Calibri" w:hAnsi="Calibri" w:cs="Times New Roman"/>
                <w:sz w:val="20"/>
                <w:szCs w:val="24"/>
                <w:lang w:val="en-GB"/>
              </w:rPr>
              <w:instrText xml:space="preserve"> NOTEREF _Ref42353092 \h  \* MERGEFORMAT </w:instrText>
            </w:r>
            <w:r w:rsidRPr="0015499D">
              <w:rPr>
                <w:rFonts w:ascii="Calibri" w:eastAsia="Calibri" w:hAnsi="Calibri" w:cs="Times New Roman"/>
                <w:sz w:val="20"/>
                <w:szCs w:val="24"/>
                <w:lang w:val="en-GB"/>
              </w:rPr>
            </w:r>
            <w:r w:rsidRPr="0015499D">
              <w:rPr>
                <w:rFonts w:ascii="Calibri" w:eastAsia="Calibri" w:hAnsi="Calibri" w:cs="Times New Roman"/>
                <w:sz w:val="20"/>
                <w:szCs w:val="24"/>
                <w:lang w:val="en-GB"/>
              </w:rPr>
              <w:fldChar w:fldCharType="separate"/>
            </w:r>
            <w:r w:rsidRPr="0015499D">
              <w:rPr>
                <w:rFonts w:ascii="Calibri" w:eastAsia="Calibri" w:hAnsi="Calibri" w:cs="Times New Roman"/>
                <w:sz w:val="20"/>
                <w:szCs w:val="24"/>
                <w:lang w:val="en-GB"/>
              </w:rPr>
              <w:t>59</w:t>
            </w:r>
            <w:r w:rsidRPr="0015499D">
              <w:rPr>
                <w:rFonts w:ascii="Calibri" w:eastAsia="Calibri" w:hAnsi="Calibri" w:cs="Times New Roman"/>
                <w:sz w:val="20"/>
                <w:szCs w:val="24"/>
                <w:lang w:val="en-GB"/>
              </w:rPr>
              <w:fldChar w:fldCharType="end"/>
            </w:r>
          </w:p>
        </w:tc>
      </w:tr>
    </w:tbl>
    <w:p w14:paraId="7B65BC41" w14:textId="35E58B49" w:rsidR="00DE23E8" w:rsidRDefault="00CD39DD" w:rsidP="0016459F">
      <w:pPr>
        <w:spacing w:before="0" w:after="160" w:line="300" w:lineRule="atLeast"/>
        <w:jc w:val="both"/>
        <w:rPr>
          <w:rFonts w:ascii="Calibri" w:eastAsia="Calibri" w:hAnsi="Calibri" w:cs="Times New Roman"/>
          <w:sz w:val="18"/>
          <w:lang w:val="en-GB"/>
        </w:rPr>
      </w:pPr>
      <w:r w:rsidRPr="00CD39DD">
        <w:rPr>
          <w:rFonts w:ascii="Calibri" w:eastAsia="Calibri" w:hAnsi="Calibri" w:cs="Times New Roman"/>
          <w:sz w:val="18"/>
          <w:lang w:val="en-GB"/>
        </w:rPr>
        <w:t>*A</w:t>
      </w:r>
      <w:r w:rsidRPr="00CD39DD">
        <w:rPr>
          <w:rFonts w:ascii="Calibri" w:eastAsia="Calibri" w:hAnsi="Calibri" w:cs="Times New Roman"/>
          <w:sz w:val="18"/>
          <w:vertAlign w:val="subscript"/>
          <w:lang w:val="en-GB"/>
        </w:rPr>
        <w:t>CO2</w:t>
      </w:r>
      <w:r w:rsidRPr="00CD39DD">
        <w:rPr>
          <w:rFonts w:ascii="Calibri" w:eastAsia="Calibri" w:hAnsi="Calibri" w:cs="Times New Roman"/>
          <w:sz w:val="18"/>
          <w:lang w:val="en-GB"/>
        </w:rPr>
        <w:t xml:space="preserve">, </w:t>
      </w:r>
      <w:proofErr w:type="spellStart"/>
      <w:r w:rsidRPr="00CD39DD">
        <w:rPr>
          <w:rFonts w:ascii="Calibri" w:eastAsia="Calibri" w:hAnsi="Calibri" w:cs="Times New Roman"/>
          <w:sz w:val="18"/>
          <w:lang w:val="en-GB"/>
        </w:rPr>
        <w:t>g</w:t>
      </w:r>
      <w:r w:rsidRPr="00CD39DD">
        <w:rPr>
          <w:rFonts w:ascii="Calibri" w:eastAsia="Calibri" w:hAnsi="Calibri" w:cs="Times New Roman"/>
          <w:sz w:val="18"/>
          <w:vertAlign w:val="subscript"/>
          <w:lang w:val="en-GB"/>
        </w:rPr>
        <w:t>s</w:t>
      </w:r>
      <w:proofErr w:type="spellEnd"/>
      <w:r w:rsidRPr="00CD39DD">
        <w:rPr>
          <w:rFonts w:ascii="Calibri" w:eastAsia="Calibri" w:hAnsi="Calibri" w:cs="Times New Roman"/>
          <w:sz w:val="18"/>
          <w:lang w:val="en-GB"/>
        </w:rPr>
        <w:t xml:space="preserve">, </w:t>
      </w:r>
      <w:proofErr w:type="spellStart"/>
      <w:r w:rsidRPr="00CD39DD">
        <w:rPr>
          <w:rFonts w:ascii="Calibri" w:eastAsia="Calibri" w:hAnsi="Calibri" w:cs="Times New Roman"/>
          <w:sz w:val="18"/>
          <w:lang w:val="en-GB"/>
        </w:rPr>
        <w:t>WUEi</w:t>
      </w:r>
      <w:proofErr w:type="spellEnd"/>
      <w:r w:rsidRPr="00CD39DD">
        <w:rPr>
          <w:rFonts w:ascii="Calibri" w:eastAsia="Calibri" w:hAnsi="Calibri" w:cs="Times New Roman"/>
          <w:sz w:val="18"/>
          <w:lang w:val="en-GB"/>
        </w:rPr>
        <w:t xml:space="preserve">, </w:t>
      </w:r>
      <w:r w:rsidR="00D7661A" w:rsidRPr="00CD39DD">
        <w:rPr>
          <w:rFonts w:ascii="Calibri" w:eastAsia="Calibri" w:hAnsi="Calibri" w:cs="Times New Roman"/>
          <w:sz w:val="18"/>
          <w:lang w:val="en-GB"/>
        </w:rPr>
        <w:t>transpiration</w:t>
      </w:r>
      <w:r w:rsidR="00D7661A">
        <w:rPr>
          <w:rFonts w:ascii="Calibri" w:eastAsia="Calibri" w:hAnsi="Calibri" w:cs="Times New Roman"/>
          <w:sz w:val="18"/>
          <w:lang w:val="en-GB"/>
        </w:rPr>
        <w:t xml:space="preserve">, </w:t>
      </w:r>
      <w:r w:rsidRPr="00CD39DD">
        <w:rPr>
          <w:rFonts w:ascii="Calibri" w:eastAsia="Calibri" w:hAnsi="Calibri" w:cs="Times New Roman"/>
          <w:sz w:val="18"/>
          <w:lang w:val="en-GB"/>
        </w:rPr>
        <w:t xml:space="preserve">** soil water content, CEC, P, N, pH, particle size, </w:t>
      </w:r>
      <w:proofErr w:type="spellStart"/>
      <w:r w:rsidRPr="00CD39DD">
        <w:rPr>
          <w:rFonts w:ascii="Calibri" w:eastAsia="Calibri" w:hAnsi="Calibri" w:cs="Times New Roman"/>
          <w:sz w:val="18"/>
          <w:lang w:val="en-GB"/>
        </w:rPr>
        <w:t>Corg</w:t>
      </w:r>
      <w:proofErr w:type="spellEnd"/>
    </w:p>
    <w:p w14:paraId="71456B3A" w14:textId="7B86BD23" w:rsidR="00AB675F" w:rsidRDefault="00AB675F" w:rsidP="00AB675F">
      <w:pPr>
        <w:spacing w:before="0" w:after="200" w:line="276" w:lineRule="auto"/>
        <w:rPr>
          <w:rFonts w:ascii="Calibri" w:eastAsia="Calibri" w:hAnsi="Calibri" w:cs="Times New Roman"/>
          <w:sz w:val="18"/>
          <w:lang w:val="en-GB"/>
        </w:rPr>
        <w:sectPr w:rsidR="00AB675F" w:rsidSect="00CD39DD">
          <w:headerReference w:type="even" r:id="rId10"/>
          <w:headerReference w:type="default" r:id="rId11"/>
          <w:footerReference w:type="even" r:id="rId12"/>
          <w:footerReference w:type="default" r:id="rId13"/>
          <w:headerReference w:type="first" r:id="rId14"/>
          <w:footerReference w:type="first" r:id="rId15"/>
          <w:endnotePr>
            <w:numFmt w:val="decimal"/>
          </w:endnotePr>
          <w:pgSz w:w="15840" w:h="12240" w:orient="landscape"/>
          <w:pgMar w:top="1282" w:right="1138" w:bottom="1181" w:left="1138" w:header="720" w:footer="720" w:gutter="0"/>
          <w:cols w:space="720"/>
          <w:titlePg/>
          <w:docGrid w:linePitch="360"/>
          <w15:footnoteColumns w:val="2"/>
        </w:sectPr>
      </w:pPr>
    </w:p>
    <w:p w14:paraId="303A544D" w14:textId="3BFCA5AF" w:rsidR="00AB675F" w:rsidRDefault="00AB675F" w:rsidP="00AB675F">
      <w:pPr>
        <w:spacing w:before="0" w:after="200" w:line="276" w:lineRule="auto"/>
        <w:rPr>
          <w:rFonts w:ascii="Calibri" w:eastAsia="Calibri" w:hAnsi="Calibri" w:cs="Times New Roman"/>
          <w:sz w:val="18"/>
          <w:lang w:val="en-GB"/>
        </w:rPr>
      </w:pPr>
    </w:p>
    <w:sectPr w:rsidR="00AB675F" w:rsidSect="00AB675F">
      <w:endnotePr>
        <w:numFmt w:val="decimal"/>
      </w:endnotePr>
      <w:type w:val="continuous"/>
      <w:pgSz w:w="15840" w:h="12240" w:orient="landscape"/>
      <w:pgMar w:top="1282" w:right="1138" w:bottom="1181" w:left="1138" w:header="720" w:footer="720" w:gutter="0"/>
      <w:cols w:num="4" w:space="709"/>
      <w:titlePg/>
      <w:docGrid w:linePitch="360"/>
      <w15:footnoteColumns w:val="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C1A23D" w16cid:durableId="235FA549"/>
  <w16cid:commentId w16cid:paraId="28FC1843" w16cid:durableId="235FA5B1"/>
  <w16cid:commentId w16cid:paraId="6A351A75" w16cid:durableId="235FA674"/>
  <w16cid:commentId w16cid:paraId="35B050AF" w16cid:durableId="235FA6DE"/>
  <w16cid:commentId w16cid:paraId="157FE91B" w16cid:durableId="235FA76A"/>
  <w16cid:commentId w16cid:paraId="2805270C" w16cid:durableId="235FA74D"/>
  <w16cid:commentId w16cid:paraId="2C6B0DE3" w16cid:durableId="235FA71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DC57F" w14:textId="77777777" w:rsidR="00F0397F" w:rsidRDefault="00F0397F" w:rsidP="00117666">
      <w:pPr>
        <w:spacing w:after="0"/>
      </w:pPr>
      <w:r>
        <w:separator/>
      </w:r>
    </w:p>
  </w:endnote>
  <w:endnote w:type="continuationSeparator" w:id="0">
    <w:p w14:paraId="051C47E9" w14:textId="77777777" w:rsidR="00F0397F" w:rsidRDefault="00F0397F" w:rsidP="00117666">
      <w:pPr>
        <w:spacing w:after="0"/>
      </w:pPr>
      <w:r>
        <w:continuationSeparator/>
      </w:r>
    </w:p>
  </w:endnote>
  <w:endnote w:id="1">
    <w:p w14:paraId="267CC135" w14:textId="062D3C07"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{"citationID":"CsstGQBw","properties":{"formattedCitation":"(Bonada et al., 2018)","plainCitation":"(Bonada et al., 2018)","noteIndex":1},"citationItems":[{"id":2501,"uris":["http://zotero.org/users/2311545/items/MC867Z25"],"uri":["http://zotero.org/users/2311545/items/MC867Z25"],"itemData":{"id":2501,"type":"article-journal","abstract":"Anticipating vineyard irrigation requirements in future climates is of strategic importance to maintain sustainability and wine regional identity. In the context of worldwide warming and climate-driven shifts in amount and seasonality of rainfall, we investigate the interactive effects of warming and water deficit on Shiraz vine transpiration under the conditions of the Barossa Valley, Australia. Transpiration of Shiraz vines was measured with thermal dissipation sap flow probes in a factorial experiment combining two thermal (heated with open-top chambers and control at ambient temperature) and two water regimes (wet and dry). Increased vapour pressure deficit (VPD) and canopy size in heated vines led to higher transpiration rates in irrigated vines during the first season. However, faster depletion of soil water by highly transpiring vines, followed by insufficient soil water replenishment by rain and irrigation, resulted in a negative feedback on vine transpiration the following season when heated vines were more water stressed than controls. The effect of warming was thus reversed the second season, with higher transpiration under ambient temperature. Therefore, dry soil, we suggest, could over-ride the effect of warming on the other variables driving transpiration (VPD, canopy size, and possibly stomatal conductance). Water scheduling will need to incorporate increased water demand under elevated temperature to maintain grapevine production in the long term.","container-title":"Oeno One","DOI":"10.20870/oeno-one.2018.52.2.2141","ISSN":"2494-1271","issue":"2","journalAbbreviation":"OENE One","language":"English","note":"WOS:000438934600006","source":"Web of Science","title":"Interactive effects of warming and water deficit on Shiraz vine transpiration in the Barossa Valley, Australia","volume":"52","author":[{"family":"Bonada","given":"Marcos"},{"family":"Buesa","given":"Ignacio"},{"family":"Moran","given":"Martin A."},{"family":"Sadras","given":"Victor O."}],"issued":{"date-parts":[["2018"]]}}}],"schema":"https://github.com/citation-style-language/schema/raw/master/csl-citation.json"}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Bonada</w:t>
      </w:r>
      <w:proofErr w:type="spellEnd"/>
      <w:r w:rsidRPr="00691DDD">
        <w:rPr>
          <w:rFonts w:ascii="Calibri" w:hAnsi="Calibri" w:cs="Calibri"/>
          <w:lang w:val="fr-FR"/>
        </w:rPr>
        <w:t xml:space="preserve"> et al., 2018 </w:t>
      </w:r>
      <w:r w:rsidRPr="00691DDD">
        <w:fldChar w:fldCharType="end"/>
      </w:r>
    </w:p>
  </w:endnote>
  <w:endnote w:id="2">
    <w:p w14:paraId="1B0CE613" w14:textId="2C98DEAB"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lang w:val="fr-FR"/>
        </w:rPr>
        <w:fldChar w:fldCharType="begin"/>
      </w:r>
      <w:r w:rsidRPr="00691DDD">
        <w:rPr>
          <w:lang w:val="fr-FR"/>
        </w:rPr>
        <w:instrText xml:space="preserve"> ADDIN ZOTERO_ITEM CSL_CITATION {"citationID":"iIwzJIEl","properties":{"formattedCitation":"(Chrysargyris et al., 2018)","plainCitation":"(Chrysargyris et al., 2018)","noteIndex":2},"citationItems":[{"id":2430,"uris":["http://zotero.org/users/2311545/items/NYKAGP5R"],"uri":["http://zotero.org/users/2311545/items/NYKAGP5R"],"itemData":{"id":2430,"type":"article-journal","abstract":"The Middle East, the cradle of viticulture and wine production, is gradually but steadily becoming hotter and drier because of climate change (CC). In the current study, we evaluated the effect of tillage and irrigation on yield and quality characteristics of the heat-resistant, indigenous red-grape variety Maratheftiko for one year. Yield increased (two-fold) in vines with irrigation and tillage compared to tillage with no irrigation. The absence of tillage buffered the negative effect of the lack of irrigation on yield. At the veraison stage, leaf stomatal conductance decreased in non-irrigated vines, independently of the application of tillage or not. At veraison, tillage increased (up to 27.5%) phenolics when compared to no tillage in non-irrigated vines. Vines accumulated more N, P, and K and less Mg during the ﬂowering stage compared to veraison. At veraison, irrigation decreased K content in vines subjected to tillage and decreased Mg content in vines subjected to no tillage. Total soluble solids and anthocyanins of berries increased with the absence of irrigation and tillage. Total phenolics increased with tillage in both irrigated and non-irrigated plants. Our results indicate that no tillage systems may be viable as an adaptation strategy in the context of CC.","container-title":"Journal of Water and Climate Change","DOI":"10.2166/wcc.2018.135","ISSN":"2040-2244, 2408-9354","language":"en","source":"DOI.org (Crossref)","title":"Drought stress and soil management practices in grapevines in Cyprus under the threat of climate change","URL":"https://iwaponline.com/jwcc/article/doi/10.2166/wcc.2018.135/62798/Drought-stress-and-soil-management-practices-in","author":[{"family":"Chrysargyris","given":"Antonios"},{"family":"Xylia","given":"Panayiota"},{"family":"Litskas","given":"Vassilis"},{"family":"Mandoulaki","given":"Athanasia"},{"family":"Antoniou","given":"Demetris"},{"family":"Boyias","given":"Timos"},{"family":"Stavrinides","given":"Menelaos"},{"family":"Tzortzakis","given":"Nikos"}],"accessed":{"date-parts":[["2019",6,14]]},"issued":{"date-parts":[["2018",7,23]]}}}],"schema":"https://github.com/citation-style-language/schema/raw/master/csl-citation.json"} </w:instrText>
      </w:r>
      <w:r w:rsidRPr="00691DDD">
        <w:rPr>
          <w:lang w:val="fr-FR"/>
        </w:rPr>
        <w:fldChar w:fldCharType="separate"/>
      </w:r>
      <w:proofErr w:type="spellStart"/>
      <w:r w:rsidRPr="00691DDD">
        <w:rPr>
          <w:rFonts w:ascii="Calibri" w:hAnsi="Calibri" w:cs="Calibri"/>
          <w:lang w:val="fr-FR"/>
        </w:rPr>
        <w:t>Chrysargyris</w:t>
      </w:r>
      <w:proofErr w:type="spellEnd"/>
      <w:r w:rsidRPr="00691DDD">
        <w:rPr>
          <w:rFonts w:ascii="Calibri" w:hAnsi="Calibri" w:cs="Calibri"/>
          <w:lang w:val="fr-FR"/>
        </w:rPr>
        <w:t xml:space="preserve"> et al., 2018 </w:t>
      </w:r>
      <w:r w:rsidRPr="00691DDD">
        <w:rPr>
          <w:lang w:val="fr-FR"/>
        </w:rPr>
        <w:fldChar w:fldCharType="end"/>
      </w:r>
    </w:p>
  </w:endnote>
  <w:endnote w:id="3">
    <w:p w14:paraId="58E315E2" w14:textId="4422B10E"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lang w:val="fr-FR"/>
        </w:rPr>
        <w:fldChar w:fldCharType="begin"/>
      </w:r>
      <w:r w:rsidRPr="00691DDD">
        <w:rPr>
          <w:lang w:val="fr-FR"/>
        </w:rPr>
        <w:instrText xml:space="preserve"> ADDIN ZOTERO_ITEM CSL_CITATION {"citationID":"rPH9xMgM","properties":{"formattedCitation":"(Mir\\uc0\\u225{}s-Avalos et al., 2016)","plainCitation":"(Mirás-Avalos et al., 2016)","noteIndex":3},"citationItems":[{"id":2647,"uris":["http://zotero.org/users/2311545/items/P5IWMAJX"],"uri":["http://zotero.org/users/2311545/items/P5IWMAJX"],"itemData":{"id":2647,"type":"article-journal","abstract":"Aims: Vine-growers worldwide are concerned about climate change effects on grape yield and quality. Drip irrigation systems are increasingly being installed even in humid regions such as Galicia (NW Spain). In this context, a field experiment was carried out over three seasons (2012-2014) on white Vitis vinifera L. cv. ‘Albariño’ to assess the effects of deficit irrigation on vine physiology, yield and must and wine composition.","container-title":"OENO One","DOI":"10.20870/oeno-one.2016.50.4.63","ISSN":"2494-1271","issue":"4","journalAbbreviation":"OENO One","language":"en","source":"DOI.org (Crossref)","title":"Irrigation effects on the performance of grapevine (Vitis vinifera L.) cv. ‘Albariño’ under the humid climate of Galicia","URL":"http://oeno-one.eu/article/view/63","volume":"50","author":[{"family":"Mirás-Avalos","given":"José Manuel"},{"family":"Trigo-Córdoba","given":"Emiliano"},{"family":"Bouzas-Cid","given":"Yolanda"},{"family":"Orriols-Fernández","given":"Ignacio"}],"accessed":{"date-parts":[["2019",7,29]]},"issued":{"date-parts":[["2016",12,21]]}}}],"schema":"https://github.com/citation-style-language/schema/raw/master/csl-citation.json"} </w:instrText>
      </w:r>
      <w:r w:rsidRPr="00691DDD">
        <w:rPr>
          <w:lang w:val="fr-FR"/>
        </w:rPr>
        <w:fldChar w:fldCharType="separate"/>
      </w:r>
      <w:r w:rsidRPr="00691DDD">
        <w:rPr>
          <w:rFonts w:ascii="Calibri" w:hAnsi="Calibri" w:cs="Calibri"/>
          <w:szCs w:val="24"/>
          <w:lang w:val="fr-FR"/>
        </w:rPr>
        <w:t xml:space="preserve"> </w:t>
      </w:r>
      <w:proofErr w:type="spellStart"/>
      <w:r w:rsidRPr="00691DDD">
        <w:rPr>
          <w:rFonts w:ascii="Calibri" w:hAnsi="Calibri" w:cs="Calibri"/>
          <w:szCs w:val="24"/>
          <w:lang w:val="fr-FR"/>
        </w:rPr>
        <w:t>Mirás</w:t>
      </w:r>
      <w:proofErr w:type="spellEnd"/>
      <w:r w:rsidRPr="00691DDD">
        <w:rPr>
          <w:rFonts w:ascii="Calibri" w:hAnsi="Calibri" w:cs="Calibri"/>
          <w:szCs w:val="24"/>
          <w:lang w:val="fr-FR"/>
        </w:rPr>
        <w:t xml:space="preserve">-Avalos et al., 2016 </w:t>
      </w:r>
      <w:r w:rsidRPr="00691DDD">
        <w:rPr>
          <w:lang w:val="fr-FR"/>
        </w:rPr>
        <w:fldChar w:fldCharType="end"/>
      </w:r>
    </w:p>
  </w:endnote>
  <w:endnote w:id="4">
    <w:p w14:paraId="1ACB54AC" w14:textId="6FC0C715"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lang w:val="fr-FR"/>
        </w:rPr>
        <w:fldChar w:fldCharType="begin"/>
      </w:r>
      <w:r w:rsidRPr="00691DDD">
        <w:rPr>
          <w:lang w:val="fr-FR"/>
        </w:rPr>
        <w:instrText xml:space="preserve"> ADDIN ZOTERO_ITEM CSL_CITATION {"citationID":"cLvNQbRP","properties":{"formattedCitation":"(Romero et al., 2018)","plainCitation":"(Romero et al., 2018)","noteIndex":4},"citationItems":[{"id":2186,"uris":["http://zotero.org/users/2311545/items/YINPEBL3"],"uri":["http://zotero.org/users/2311545/items/YINPEBL3"],"itemData":{"id":2186,"type":"article-journal","abstract":"Regulated deficit irrigation (RDI) and partial root zone irrigation (PRI) were compared for five years, in field-grown mature Monastrell grapevines grafted on five different rootstocks (140Ru, 1103 P, 41B, 110R, and 161-49C), in the semiarid winegrowing region of D.O. Bullas, South Eastern Spain. Vines grafted on invigorating rootstocks (140Ru or 1103 P) showed the highest vigor, water productivity, and productive water use efficiency (WUEyield), but at the expense of berry quality (lower berry quality indices, QI), compared to those on rootstocks of medium-low vigor (41B, 110R, and 161-49C). Vines grafted on 41B showed a moderate vigor-yield-efficiency-quality response, and this did not improve substantially the final berry quality. The least vigorous rootstocks (161-49C and 110R) gave lower yield, WUEyield, and productivity ratios, but a significant improvement in long-term final berry quality. The PRI increased the yield and/or berry quality attributes, especially in low vigor rootstocks (161-49C, 110R) and high vigor rootstocks (140Ru, 1103 P), but not in the medium vigor rootstock 41B. In addition, PRI produced a beneficial increase in the nutraceutical potential for practically all rootstocks. The PRI vines grafted on 161-49C gave the lowest yield and WUEyield, but the highest QI scores and the highest nutraceutical value, while PRI vines grafted on 110R had enhanced long-term yield, WUEyield, and amino acid and resveratrol contents, with similar berry quality (QI) indices, compared to RDI vines. Both 161-49C and 110R seem good options to achieve a compromise between long-term yield-quality-efficiency and returns for the grower. The application of low water volumes (85-90 mm year−1) with well-designed DI strategies was enough to maintain the vines in an optimum physiological state, obtaining moderate yields (7,400–9,900 kg ha−1, for 161-49C and 110R) with high berry quality and nutraceutical potential for premium red wine production. Such an approach can serve as an adaptation measure in the face of climate change, to improve vine performance and enhance Monastrell vineyard sustainability under semiarid and water limiting conditions.","container-title":"Agricultural Water Management","DOI":"10.1016/j.agwat.2018.07.012","ISSN":"0378-3774","journalAbbreviation":"Agricultural Water Management","page":"73-93","source":"ScienceDirect","title":"Selecting rootstocks to improve vine performance and vineyard sustainability in deficit irrigated Monastrell grapevines under semiarid conditions","volume":"209","author":[{"family":"Romero","given":"Pascual"},{"family":"Botía","given":"Pablo"},{"family":"Navarro","given":"Josefa María"}],"issued":{"date-parts":[["2018",10,30]]}}}],"schema":"https://github.com/citation-style-language/schema/raw/master/csl-citation.json"} </w:instrText>
      </w:r>
      <w:r w:rsidRPr="00691DDD">
        <w:rPr>
          <w:lang w:val="fr-FR"/>
        </w:rPr>
        <w:fldChar w:fldCharType="separate"/>
      </w:r>
      <w:r w:rsidRPr="00691DDD">
        <w:rPr>
          <w:rFonts w:ascii="Calibri" w:hAnsi="Calibri" w:cs="Calibri"/>
          <w:lang w:val="fr-FR"/>
        </w:rPr>
        <w:t xml:space="preserve"> Romero et al., 2018 </w:t>
      </w:r>
      <w:r w:rsidRPr="00691DDD">
        <w:rPr>
          <w:lang w:val="fr-FR"/>
        </w:rPr>
        <w:fldChar w:fldCharType="end"/>
      </w:r>
    </w:p>
  </w:endnote>
  <w:endnote w:id="5">
    <w:p w14:paraId="057C0E99" w14:textId="23E6D7C1" w:rsidR="00AD2ABD" w:rsidRPr="00691DDD" w:rsidRDefault="00AD2ABD" w:rsidP="00AB675F">
      <w:pPr>
        <w:pStyle w:val="Notedefin"/>
        <w:tabs>
          <w:tab w:val="left" w:pos="7280"/>
        </w:tabs>
        <w:rPr>
          <w:lang w:val="fr-FR"/>
        </w:rPr>
      </w:pPr>
      <w:r w:rsidRPr="00691DDD">
        <w:rPr>
          <w:rStyle w:val="Appeldenotedefin"/>
          <w:vertAlign w:val="baseline"/>
        </w:rPr>
        <w:endnoteRef/>
      </w:r>
      <w:r w:rsidRPr="00691DDD">
        <w:rPr>
          <w:lang w:val="fr-FR"/>
        </w:rPr>
        <w:t xml:space="preserve"> </w:t>
      </w:r>
      <w:r w:rsidRPr="00691DDD">
        <w:rPr>
          <w:lang w:val="fr-FR"/>
        </w:rPr>
        <w:fldChar w:fldCharType="begin"/>
      </w:r>
      <w:r w:rsidRPr="00691DDD">
        <w:rPr>
          <w:lang w:val="es-ES"/>
        </w:rPr>
        <w:instrText xml:space="preserve"> ADDIN ZOTERO_ITEM CSL_CITATION {"citationID":"Hdf4ckx9","properties":{"formattedCitation":"(Trigo-C\\uc0\\u243{}rdoba et al., 2015)","plainCitation":"(Trigo-Córdoba et al., 2015)","noteIndex":5},"citationItems":[{"id":2182,"uris":["http://zotero.org/users/2311545/items/DUNYLTG2"],"uri":["http://zotero.org/users/2311545/items/DUNYLTG2"],"itemData":{"id":2182,"type":"article-journal","abstract":"Galicia is a region located in NW Spain characterized by high rainfall amounts; however, climate change is altering the temporal and spatial distribution of rainfall. Thus, vinegrowers are concerned about this climate variability that may affect grape production and quality and, therefore, drip irrigation systems are increasingly being installed in Galician vineyards. Hence, the development of efficient irrigation management practices is required. In this regard, a field experiment was carried out over three seasons (2012–2014) on white Vitis vinifera L. cv. ‘Godello’ and ‘Treixadura’ in order to assess the effects of deficit irrigation on vine performance and must and wine composition. Rain-fed vines were compared with a treatment irrigated to 50% of the estimated crop evapotranspiration (ETc) from bloom to two weeks before harvest. Both cultivars showed more positive plant water status under irrigation than under rain-fed conditions; however, stomatal conductance and chlorophyll fluorescence attributes were similar between treatments. Yield was unaffected by irrigation except for Treixadura cultivar in 2014 (25% increase). On the contrary, irrigation increased pruning weight, around 15%, for both cultivars. Total soluble solids of the must decreased and total acidity increased with irrigation; however, the wines were very similar between treatments. Water productivity was higher under rain-fed conditions for Godello, which led to similar gross incomes between treatments but with a lower production cost for rain-fed. In the case of Treixadura, significantly higher gross incomes were estimated for irrigation only in the last year of studies, which may not justify the use of irrigation. Therefore, irrigation does not seem an economically viable agricultural practice under the conditions of this trial.","container-title":"Agricultural Water Management","DOI":"10.1016/j.agwat.2015.07.011","ISSN":"0378-3774","journalAbbreviation":"Agricultural Water Management","page":"20-30","source":"ScienceDirect","title":"Effects of deficit irrigation on the performance of grapevine (Vitis vinifera L.) cv. ‘Godello’ and ‘Treixadura’ in Ribeiro, NW Spain","volume":"161","author":[{"family":"Trigo-Córdoba","given":"Emiliano"},{"family":"Bouzas-Cid","given":"Yolanda"},{"family":"Orriols-Fernández","given":"Ignacio"},{"family":"Mirás-Avalos","given":"José Manuel"}],"issued":{"date-parts":[["2015",11,1]]}}}],"schema":"https://github.com/citation-style-language/schema/raw/master/csl-citation.json"} </w:instrText>
      </w:r>
      <w:r w:rsidRPr="00691DDD">
        <w:rPr>
          <w:lang w:val="fr-FR"/>
        </w:rPr>
        <w:fldChar w:fldCharType="separate"/>
      </w:r>
      <w:r w:rsidRPr="00691DDD">
        <w:rPr>
          <w:rFonts w:ascii="Calibri" w:hAnsi="Calibri" w:cs="Calibri"/>
          <w:szCs w:val="24"/>
          <w:lang w:val="fr-FR"/>
        </w:rPr>
        <w:t xml:space="preserve"> Trigo-Córdoba et al., 2015 </w:t>
      </w:r>
      <w:r w:rsidRPr="00691DDD">
        <w:rPr>
          <w:lang w:val="fr-FR"/>
        </w:rPr>
        <w:fldChar w:fldCharType="end"/>
      </w:r>
    </w:p>
  </w:endnote>
  <w:endnote w:id="6">
    <w:p w14:paraId="0348BB55" w14:textId="17B78161" w:rsidR="00AD2ABD" w:rsidRPr="00691DDD" w:rsidRDefault="00AD2ABD" w:rsidP="00AB675F">
      <w:pPr>
        <w:pStyle w:val="Notedefin"/>
        <w:tabs>
          <w:tab w:val="left" w:pos="4960"/>
        </w:tabs>
        <w:rPr>
          <w:lang w:val="fr-FR"/>
        </w:rPr>
      </w:pPr>
      <w:r w:rsidRPr="00691DDD">
        <w:rPr>
          <w:rStyle w:val="Appeldenotedefin"/>
          <w:vertAlign w:val="baseline"/>
        </w:rPr>
        <w:endnoteRef/>
      </w:r>
      <w:r w:rsidRPr="00691DDD">
        <w:rPr>
          <w:lang w:val="fr-FR"/>
        </w:rPr>
        <w:t xml:space="preserve"> </w:t>
      </w:r>
      <w:r w:rsidRPr="00691DDD">
        <w:rPr>
          <w:lang w:val="fr-FR"/>
        </w:rPr>
        <w:fldChar w:fldCharType="begin"/>
      </w:r>
      <w:r w:rsidRPr="00691DDD">
        <w:rPr>
          <w:lang w:val="es-ES"/>
        </w:rPr>
        <w:instrText xml:space="preserve"> ADDIN ZOTERO_ITEM CSL_CITATION {"citationID":"x9LzERjH","properties":{"formattedCitation":"(Wenter et al., 2018)","plainCitation":"(Wenter et al., 2018)","noteIndex":6},"citationItems":[{"id":2640,"uris":["http://zotero.org/users/2311545/items/FKMHKPU7"],"uri":["http://zotero.org/users/2311545/items/FKMHKPU7"],"itemData":{"id":2640,"type":"article-journal","abstract":"Irrigation is becoming an extremely important practice for mountain viticulture to guarantee the quality of the production in a climate change scenario. The aim of this work was to relate the degree and the timing of water stress caused by limited soil water availability to the performance of field-grown Sauvignon blanc vines. The 2-year trial (2014–2015) was conducted in a terraced Sauvignon blanc vineyard located in a coarse-textured soil of South Tyrol, Italian Alps, at 500 m altitude. Treatments were: full irrigation (FI), corresponding to the standard farm irrigation approach; deficit irrigation (DI), corresponding to half of the FI water volume; rain fed (RF), not irrigated. In year 2014, the drought period was short and intense, lasting for approximately 15 days during flowering. The reduction of the number of berries per bunch was severe in RF vines, leading to a strong limitation of the final yield per vine. A rainfall above the seasonal average for the study area in summer 2014 (post veraison phases) allowed, despite the average berry weight reduction, DI vines to reach a final yield that did not differ as compared to FI. Year 2015 was much dryer, with a drought period lasting from blooming to approximately 20 days after veraison. Both RF and DI vines were severely affected by water shortage as indicated by different physiological indexes (pre-dawn leaf water potential, leaf gas exchanges) and growth, yield and grape maturation process were impaired. Results indicate that under the described experimental conditions, water stress that occurred in the period before and around fruit set, with pre-dawn leaf water potential (Ψpd) lower than −0.7 MPa, severely reduced the final number of berries per cluster. A deficit irrigation regime in the same phenological stage was able to reduce the intensity of water stress (Ψpd around −0.4 MPa) and did not affect the fruit set process. Increasing water stress intensity between fruit set and veraison (up to a Ψpd of −0.9 MPa) progressively depressed berry weight and quality. This work underlines that under the unpredictable climatic conditions that characterized mountain environment, a strict control of the vine and soil water balance is needed for a successful management of deficit irrigation systems.","container-title":"Scientia Horticulturae","DOI":"10.1016/j.scienta.2018.03.037","ISSN":"0304-4238","journalAbbreviation":"Scientia Horticulturae","page":"137-145","source":"ScienceDirect","title":"Effect of different timings and intensities of water stress on yield and berry composition of grapevine (cv. Sauvignon blanc) in a mountain environment","volume":"236","author":[{"family":"Wenter","given":"Andreas"},{"family":"Zanotelli","given":"Damiano"},{"family":"Montagnani","given":"Leonardo"},{"family":"Tagliavini","given":"Massimo"},{"family":"Andreotti","given":"Carlo"}],"issued":{"date-parts":[["2018",6,16]]}}}],"schema":"https://github.com/citation-style-language/schema/raw/master/csl-citation.json"} </w:instrText>
      </w:r>
      <w:r w:rsidRPr="00691DDD">
        <w:rPr>
          <w:lang w:val="fr-FR"/>
        </w:rPr>
        <w:fldChar w:fldCharType="separate"/>
      </w:r>
      <w:r w:rsidRPr="00691DDD">
        <w:rPr>
          <w:rFonts w:ascii="Calibri" w:hAnsi="Calibri" w:cs="Calibri"/>
          <w:lang w:val="fr-FR"/>
        </w:rPr>
        <w:t xml:space="preserve"> </w:t>
      </w:r>
      <w:proofErr w:type="spellStart"/>
      <w:r w:rsidRPr="00691DDD">
        <w:rPr>
          <w:rFonts w:ascii="Calibri" w:hAnsi="Calibri" w:cs="Calibri"/>
          <w:lang w:val="fr-FR"/>
        </w:rPr>
        <w:t>Wenter</w:t>
      </w:r>
      <w:proofErr w:type="spellEnd"/>
      <w:r w:rsidRPr="00691DDD">
        <w:rPr>
          <w:rFonts w:ascii="Calibri" w:hAnsi="Calibri" w:cs="Calibri"/>
          <w:lang w:val="fr-FR"/>
        </w:rPr>
        <w:t xml:space="preserve"> et al., 2018 </w:t>
      </w:r>
      <w:r w:rsidRPr="00691DDD">
        <w:rPr>
          <w:lang w:val="fr-FR"/>
        </w:rPr>
        <w:fldChar w:fldCharType="end"/>
      </w:r>
    </w:p>
  </w:endnote>
  <w:endnote w:id="7">
    <w:p w14:paraId="184764C1" w14:textId="4FC4E919"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es-ES"/>
        </w:rPr>
        <w:instrText xml:space="preserve"> ADDIN ZOTERO_ITEM CSL_CITATION {"citationID":"tkbg3eac","properties":{"formattedCitation":"(Lobos et al., 2015)","plainCitation":"(Lobos et al., 2015)","noteIndex":7},"citationItems":[{"id":2301,"uris":["http://zotero.org/users/2311545/items/C95ZDKU8"],"uri":["http://zotero.org/users/2311545/items/C95ZDKU8"],"itemData":{"id":2301,"type":"article-journal","container-title":"OENO One","DOI":"10.20870/oeno-one.2015.49.2.86","ISSN":"2494-1271","issue":"2","journalAbbreviation":"1","language":"en","page":"137-144","source":"oeno-one.eu","title":"Effects of kaolin-based particle film and fruit zone netting on Cabernet Sauvignon grapevine physiology and fruit quality","volume":"49","author":[{"family":"Lobos","given":"Gustavo A."},{"family":"Acevedo-Opazo","given":"César"},{"family":"Guajardo-Moreno","given":"Alejandro"},{"family":"Valdés-Gómez","given":"Héctor"},{"family":"Taylor","given":"James A."},{"family":"Laurie","given":"V. Felipe"}],"issued":{"date-parts":[["2015",6,30]]}}}],"schema":"https://github.com/citation-style-language/schema/raw/master/csl-citation.json"}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Lobos</w:t>
      </w:r>
      <w:proofErr w:type="spellEnd"/>
      <w:r w:rsidRPr="00691DDD">
        <w:rPr>
          <w:rFonts w:ascii="Calibri" w:hAnsi="Calibri" w:cs="Calibri"/>
          <w:lang w:val="fr-FR"/>
        </w:rPr>
        <w:t xml:space="preserve"> et al., 2015 </w:t>
      </w:r>
      <w:r w:rsidRPr="00691DDD">
        <w:fldChar w:fldCharType="end"/>
      </w:r>
    </w:p>
  </w:endnote>
  <w:endnote w:id="8">
    <w:p w14:paraId="7313E8E9" w14:textId="5BAC10F1" w:rsidR="00AD2ABD" w:rsidRPr="00691DDD" w:rsidRDefault="00AD2ABD" w:rsidP="009A7789">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es-ES"/>
        </w:rPr>
        <w:instrText xml:space="preserve"> ADDIN ZOTERO_ITEM CSL_CITATION {"citationID":"s3aVY6YK","properties":{"formattedCitation":"(Baronti et al., 2014; Chrysargyris et al., 2018; Cirigliano et al., 2017)","plainCitation":"(Baronti et al., 2014; Chrysargyris et al., 2018; Cirigliano et al., 2017)","dontUpdate":true,"noteIndex":8},"citationItems":[{"id":2291,"uris":["http://zotero.org/users/2311545/items/J5Y4L9SZ"],"uri":["http://zotero.org/users/2311545/items/J5Y4L9SZ"],"itemData":{"id":2291,"type":"article-journal","abstract":"Soil water status plays an important role in growth-yield and grape quality of Vitis vinifera (L.). In some cases, periods of moderate water stress have been indicated to exert a positive effect on the quality of grape production. However, prolonged water stress may have a strong negative affect grapevine photosynthesis and grape yield, especially in dry Mediterranean environments. Biochar is a co-product of a thermochemical conversion of biomass that is recognized to be a beneficial soil amendment, which when incorporated into the soil increases soil water retention. We investigated the effect of two rates of biochar application (22 and 44tonha−1) on plant water relations of V. vinifera in a field experiment in central Italy. Biochar obtained from the carbonization of orchard pruning waste was applied to the soil over two consecutive growing seasons. The treatments did not show a significant increase in soil hydrophobicity. Moreover, soil analysis and ecophysiological measurements indicated a substantial relative increases in available soil water content compared to control soils (from 3.2% to 45% in the 22 and 44tonha−1 application rates, respectively) and in leaf water potential (24–37%) during droughts.","container-title":"European Journal of Agronomy","DOI":"10.1016/j.eja.2013.11.003","ISSN":"1161-0301","journalAbbreviation":"European Journal of Agronomy","page":"38-44","source":"ScienceDirect","title":"Impact of biochar application on plant water relations in Vitis vinifera (L.)","volume":"53","author":[{"family":"Baronti","given":"S."},{"family":"Vaccari","given":"F. P."},{"family":"Miglietta","given":"F."},{"family":"Calzolari","given":"C."},{"family":"Lugato","given":"E."},{"family":"Orlandini","given":"S."},{"family":"Pini","given":"R."},{"family":"Zulian","given":"C."},{"family":"Genesio","given":"L."}],"issued":{"date-parts":[["2014",2,1]]}}},{"id":2430,"uris":["http://zotero.org/users/2311545/items/NYKAGP5R"],"uri":["http://zotero.org/users/2311545/items/NYKAGP5R"],"itemData":{"id":2430,"type":"article-journal","abstract":"The Middle East, the cradle of viticulture and wine production, is gradually but steadily becoming hotter and drier because of climate change (CC). In the current study, we evaluated the effect of tillage and irrigation on yield and quality characteristics of the heat-resistant, indigenous red-grape variety Maratheftiko for one year. Yield increased (two-fold) in vines with irrigation and tillage compared to tillage with no irrigation. The absence of tillage buffered the negative effect of the lack of irrigation on yield. At the veraison stage, leaf stomatal conductance decreased in non-irrigated vines, independently of the application of tillage or not. At veraison, tillage increased (up to 27.5%) phenolics when compared to no tillage in non-irrigated vines. Vines accumulated more N, P, and K and less Mg during the ﬂowering stage compared to veraison. At veraison, irrigation decreased K content in vines subjected to tillage and decreased Mg content in vines subjected to no tillage. Total soluble solids and anthocyanins of berries increased with the absence of irrigation and tillage. Total phenolics increased with tillage in both irrigated and non-irrigated plants. Our results indicate that no tillage systems may be viable as an adaptation strategy in the context of CC.","container-title":"Journal of Water and Climate Change","DOI":"10.2166/wcc.2018.135","ISSN":"2040-2244, 2408-9354","language":"en","source":"DOI.org (Crossref)","title":"Drought stress and soil management practices in grapevines in Cyprus under the threat of climate change","URL":"https://iwaponline.com/jwcc/article/doi/10.2166/wcc.2018.135/62798/Drought-stress-and-soil-management-practices-in","author":[{"family":"Chrysargyris","given":"Antonios"},{"family":"Xylia","given":"Panayiota"},{"family":"Litskas","given":"Vassilis"},{"family":"Mandoulaki","given":"Athanasia"},{"family":"Antoniou","given":"Demetris"},{"family":"Boyias","given":"Timos"},{"family":"Stavrinides","given":"Menelaos"},{"family":"Tzortzakis","given":"Nikos"}],"accessed":{"date-parts":[["2019",6,14]]},"issued":{"date-parts":[["2018",7,23]]}}},{"id":2579,"uris":["http://zotero.org/users/2311545/items/5IG2U4LQ"],"uri":["http://zotero.org/users/2311545/items/5IG2U4LQ"],"itemData":{"id":2579,"type":"article-journal","abstract":"P. Cirigliano, M. V. Chiriacò, A. Nuňez, G. Dal Monte, and T. Labagnara. 2017. Combined effect of irrigation and compost application on Montepulciano berry composition in a volcanic environment of Latium region (central Italy). Cien. Inv. Agr. 44(2): 195-206. Montepulciano red grape is cultivated in the northern part of the Latium region, primarily for the production of DOC “Colli Etruschi Viterbesi” structured wines for aging. In Mediterranean areas, viticulture is closely influenced by vine water status. In this context, the practice of irrigation may alleviate water-stress-related reductions in plant development to guarantee grape quality, especially in semi-arid areas. The application of on-farm compost in a vineyard may affect grape quality without negative effects, thereby enhancing environmental sustainability. The aim of this work was to investigate the combined effect of irrigation and compost application on the Montepulciano variety in the volcanic environment of Latium region, thereby improving the polyphenol concentrations in the berries. The trial was conducted during three growing seasons (2011–2013). Irrigation was performed according to the protocol proposed by Ojeda and Saurin (2014). The pre-dawn leaf water potential (ψpd) from July to September was measured weekly for maintaining vine water status in the range between -0.4 and -0.6 Mpa. Irrigation (I) and irrigation plus compost application (IC) were compared to a non-irrigated control (C). Berry weight was not influenced by moderate irrigation, whereas titratable acidity and total soluble solids were negatively correlated to the increment of water dropped. The primary finding was a positive influence on polyphenol contents of the grapes at harvest. Best performance was highlighted in 2012 with 263 liter vine-1 of water supplied. Overall, the sustainable use of water and on-farm compost improved Montepulciano grape quality in this volcanic area, thereby enhancing the adaptation of Mediterranean viticulture to climate change conditions.","container-title":"Ciencia e investigación agraria","DOI":"10.7764/rcia.v44i2.1691","ISSN":"07181620","issue":"2","journalAbbreviation":"Ciencia e investigación agraria","language":"en","page":"195-206","source":"DOI.org (Crossref)","title":"Efecto combinado de la aplicación de riego y compost sobre la composición de la baya Montepulciano en un entorno volcánico de la región de Lacio (Italia central)","volume":"44","author":[{"family":"Cirigliano","given":"Pasquale"},{"family":"Vincenza Chiriacò","given":"Maria"},{"literal":"CMCC – Fondazione Centro Euro-Mediterraneo sui Cambiamenti Climatici"},{"family":"Nunez","given":"Abelardo"},{"literal":"Universidad Autonoma de Chihuahua"},{"family":"Dal Monte","given":"Giovanni"},{"literal":"CREA-CMC Consiglio per la ricerca in agricoltura e l’analisi dell’economia agraria"},{"family":"Labagnara","given":"Tilde"},{"literal":"CREA-VE Consiglio per la ricerca in agricoltura e l’analisi dell’economia agraria"}],"issued":{"date-parts":[["2017",8,30]]}}}],"schema":"https://github.com/citation-style-language/schema/raw/master/csl-citation.json"}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Baronti</w:t>
      </w:r>
      <w:proofErr w:type="spellEnd"/>
      <w:r w:rsidRPr="00691DDD">
        <w:rPr>
          <w:rFonts w:ascii="Calibri" w:hAnsi="Calibri" w:cs="Calibri"/>
          <w:lang w:val="fr-FR"/>
        </w:rPr>
        <w:t xml:space="preserve"> et al., 2014 </w:t>
      </w:r>
      <w:r w:rsidRPr="00691DDD">
        <w:fldChar w:fldCharType="end"/>
      </w:r>
    </w:p>
  </w:endnote>
  <w:endnote w:id="9">
    <w:p w14:paraId="4431B6D5" w14:textId="55999C8D" w:rsidR="00AD2ABD" w:rsidRPr="00691DDD" w:rsidRDefault="00AD2ABD" w:rsidP="009349CB">
      <w:pPr>
        <w:pStyle w:val="Notedefin"/>
        <w:rPr>
          <w:lang w:val="fr-FR"/>
        </w:rPr>
      </w:pPr>
      <w:r w:rsidRPr="00691DDD">
        <w:rPr>
          <w:rStyle w:val="Appeldenotedefin"/>
          <w:vertAlign w:val="baseline"/>
        </w:rPr>
        <w:endnoteRef/>
      </w:r>
      <w:r w:rsidRPr="00691DDD">
        <w:fldChar w:fldCharType="begin"/>
      </w:r>
      <w:r w:rsidRPr="00691DDD">
        <w:rPr>
          <w:lang w:val="fr-FR"/>
        </w:rPr>
        <w:instrText xml:space="preserve"> ADDIN ZOTERO_ITEM CSL_CITATION {"citationID":"L21yRPdN","properties":{"formattedCitation":"(Attia et al., 2014)","plainCitation":"(Attia et al., 2014)","noteIndex":9},"citationItems":[{"id":2480,"uris":["http://zotero.org/users/2311545/items/JRP2XRHM"],"uri":["http://zotero.org/users/2311545/items/JRP2XRHM"],"itemData":{"id":2480,"type":"article-journal","container-title":"OENO One","DOI":"10.20870/oeno-one.2014.48.4.1691","ISSN":"2494-1271","issue":"4","journalAbbreviation":"1","language":"en","page":"237-245","source":"oeno-one.eu","title":"Foliar application of processed calcite particles improves leaf photosynthesis of potted &lt;em&gt;Vitis vinifera&lt;/em&gt; L. (var. ‘Cot’) grown under water deficit","volume":"48","author":[{"family":"Attia","given":"Faouzi"},{"family":"Martinez","given":"Laurent"},{"family":"Lamaze","given":"Thierry"}],"issued":{"date-parts":[["2014",12,31]]}}}],"schema":"https://github.com/citation-style-language/schema/raw/master/csl-citation.json"} </w:instrText>
      </w:r>
      <w:r w:rsidRPr="00691DDD">
        <w:fldChar w:fldCharType="separate"/>
      </w:r>
      <w:r w:rsidRPr="00691DDD">
        <w:rPr>
          <w:rFonts w:ascii="Calibri" w:hAnsi="Calibri" w:cs="Calibri"/>
          <w:lang w:val="fr-FR"/>
        </w:rPr>
        <w:t xml:space="preserve"> </w:t>
      </w:r>
      <w:r>
        <w:rPr>
          <w:rFonts w:ascii="Calibri" w:hAnsi="Calibri" w:cs="Calibri"/>
          <w:lang w:val="fr-FR"/>
        </w:rPr>
        <w:t xml:space="preserve"> </w:t>
      </w:r>
      <w:proofErr w:type="spellStart"/>
      <w:r w:rsidRPr="00691DDD">
        <w:rPr>
          <w:rFonts w:ascii="Calibri" w:hAnsi="Calibri" w:cs="Calibri"/>
          <w:lang w:val="fr-FR"/>
        </w:rPr>
        <w:t>Attia</w:t>
      </w:r>
      <w:proofErr w:type="spellEnd"/>
      <w:r w:rsidRPr="00691DDD">
        <w:rPr>
          <w:rFonts w:ascii="Calibri" w:hAnsi="Calibri" w:cs="Calibri"/>
          <w:lang w:val="fr-FR"/>
        </w:rPr>
        <w:t xml:space="preserve"> et al., 2014 </w:t>
      </w:r>
      <w:r w:rsidRPr="00691DDD">
        <w:fldChar w:fldCharType="end"/>
      </w:r>
    </w:p>
  </w:endnote>
  <w:endnote w:id="10">
    <w:p w14:paraId="423FD881" w14:textId="7091646B" w:rsidR="00AD2ABD" w:rsidRPr="00691DDD" w:rsidRDefault="00AD2ABD" w:rsidP="009349CB">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Pr>
          <w:lang w:val="fr-FR"/>
        </w:rPr>
        <w:instrText xml:space="preserve"> ADDIN ZOTERO_ITEM CSL_CITATION {"citationID":"uZc9aNE0","properties":{"formattedCitation":"(Dinis et al., 2018)","plainCitation":"(Dinis et al., 2018)","dontUpdate":true,"noteIndex":10},"citationItems":[{"id":2307,"uris":["http://zotero.org/users/2311545/items/KW444QB3"],"uri":["http://zotero.org/users/2311545/items/KW444QB3"],"itemData":{"id":2307,"type":"article-journal","container-title":"Photosynthetica","DOI":"10.1007/s11099-017-0714-3","ISSN":"0300-3604, 1573-9058","issue":"2","language":"en","page":"641-651","source":"DOI.org (Crossref)","title":"Improvement of grapevine physiology and yield under summer stress by kaolin-foliar application: water relations, photosynthesis and oxidative damage","title-short":"Improvement of grapevine physiology and yield under summer stress by kaolin-foliar application","volume":"56","author":[{"family":"Dinis","given":"L.-T."},{"family":"Malheiro","given":"A. C."},{"family":"Luzio","given":"A."},{"family":"Fraga","given":"H."},{"family":"Ferreira","given":"H."},{"family":"Gonçalves","given":"I."},{"family":"Pinto","given":"G."},{"family":"Correia","given":"C. M."},{"family":"Moutinho-Pereira","given":"J."}],"issued":{"date-parts":[["2018",6]]}}}],"schema":"https://github.com/citation-style-language/schema/raw/master/csl-citation.json"} </w:instrText>
      </w:r>
      <w:r w:rsidRPr="00691DDD">
        <w:fldChar w:fldCharType="separate"/>
      </w:r>
      <w:r w:rsidRPr="00691DDD">
        <w:rPr>
          <w:rFonts w:ascii="Calibri" w:hAnsi="Calibri"/>
          <w:lang w:val="fr-FR"/>
        </w:rPr>
        <w:t xml:space="preserve"> </w:t>
      </w:r>
      <w:proofErr w:type="spellStart"/>
      <w:r w:rsidRPr="00691DDD">
        <w:rPr>
          <w:rFonts w:ascii="Calibri" w:hAnsi="Calibri"/>
          <w:lang w:val="fr-FR"/>
        </w:rPr>
        <w:t>Dinis</w:t>
      </w:r>
      <w:proofErr w:type="spellEnd"/>
      <w:r w:rsidRPr="00691DDD">
        <w:rPr>
          <w:rFonts w:ascii="Calibri" w:hAnsi="Calibri"/>
          <w:lang w:val="fr-FR"/>
        </w:rPr>
        <w:t xml:space="preserve"> et al., 2018 </w:t>
      </w:r>
      <w:r w:rsidRPr="00691DDD">
        <w:fldChar w:fldCharType="end"/>
      </w:r>
    </w:p>
  </w:endnote>
  <w:endnote w:id="11">
    <w:p w14:paraId="26619F83" w14:textId="571BF5B9" w:rsidR="00AD2ABD" w:rsidRPr="00AB675F" w:rsidRDefault="00AD2ABD" w:rsidP="009349CB">
      <w:pPr>
        <w:pStyle w:val="Notedefin"/>
        <w:rPr>
          <w:lang w:val="fr-FR"/>
        </w:rPr>
      </w:pPr>
      <w:r w:rsidRPr="00691DDD">
        <w:rPr>
          <w:rStyle w:val="Appeldenotedefin"/>
          <w:vertAlign w:val="baseline"/>
        </w:rPr>
        <w:endnoteRef/>
      </w:r>
      <w:r w:rsidRPr="00AB675F">
        <w:rPr>
          <w:lang w:val="fr-FR"/>
        </w:rPr>
        <w:t xml:space="preserve"> </w:t>
      </w:r>
      <w:r w:rsidRPr="00691DDD">
        <w:fldChar w:fldCharType="begin"/>
      </w:r>
      <w:r w:rsidRPr="00AB675F">
        <w:rPr>
          <w:lang w:val="fr-FR"/>
        </w:rPr>
        <w:instrText xml:space="preserve"> ADDIN ZOTERO_ITEM CSL_CITATION {"citationID":"5AlqJrJy","properties":{"formattedCitation":"(Fahey and Rogiers, 2019)","plainCitation":"(Fahey and Rogiers, 2019)","noteIndex":11},"citationItems":[{"id":2676,"uris":["http://zotero.org/users/2311545/items/JQ692G8W"],"uri":["http://zotero.org/users/2311545/items/JQ692G8W"],"itemData":{"id":2676,"type":"article-journal","abstract":"Background and Aims Di-1-p-menthene, a film-forming antitranspirant, is reported to impede transpiration by acting as a physical barrier to water vapour loss from plant tissues. We tested this assumption on grapevine leaves across a range of temperature as well as on the bunch rachis and berries at several developmental stages. Methods and Results Gas exchange of Shiraz leaves was monitored at 20, 25, 30 and 35°C under controlled conditions after treatment with 1 and 2% di-1-p-menthene. Transpiration, photosynthesis and stomatal conductance were reduced at each temperature, but instantaneous water use efficiency (CO2 fixation relative to water loss) was improved only at 25 and 30°C. There was no further reduction in water use or improved water use efficiency with the application of a 2% over 1% emulsion. The antitranspirant was most effective when applied to the underside of the leaves, forming a physical barrier over the stomatal cavity without reduction in stomatal aperture. Di-1-p-menthene also curtailed bunch water loss in Merlot by lowering transpiration of both the rachis and berries at the fruitset, peppercorn, pea size and veraison stages, and at 20 and 25°Brix. Increasing the concentration of the antitranspirant from 1% to 2 or 3% added some benefit; however, this was dependent on the developmental stage. Both leaf and berry temperature was elevated by the spray application. Di-1-p-menthene did not interfere with flowering or promote fruit abortion when applied prior to capfall. Conclusion Di-1-p-menthene maintains berry turgidity through effects on both the canopy and the bunches themselves. Significance of the Study The antitranspirant, di-1-p-menthene, may provide protection against desiccation under field conditions and this will have implications for yield and berry composition.","container-title":"Australian Journal of Grape and Wine Research","DOI":"10.1111/ajgw.12371","ISSN":"1755-0238","issue":"1","language":"en","page":"134-141","source":"Wiley Online Library","title":"Di-1-p-menthene reduces grape leaf and bunch transpiration","volume":"25","author":[{"family":"Fahey","given":"D. J."},{"family":"Rogiers","given":"S. Y."}],"issued":{"date-parts":[["2019"]]}}}],"schema":"https://github.com/citation-style-language/schema/raw/master/csl-citation.json"} </w:instrText>
      </w:r>
      <w:r w:rsidRPr="00691DDD">
        <w:fldChar w:fldCharType="separate"/>
      </w:r>
      <w:r w:rsidRPr="00AB675F">
        <w:rPr>
          <w:rFonts w:ascii="Calibri" w:hAnsi="Calibri"/>
          <w:lang w:val="fr-FR"/>
        </w:rPr>
        <w:t xml:space="preserve"> Fahey and </w:t>
      </w:r>
      <w:proofErr w:type="spellStart"/>
      <w:r w:rsidRPr="00AB675F">
        <w:rPr>
          <w:rFonts w:ascii="Calibri" w:hAnsi="Calibri"/>
          <w:lang w:val="fr-FR"/>
        </w:rPr>
        <w:t>Rogiers</w:t>
      </w:r>
      <w:proofErr w:type="spellEnd"/>
      <w:r w:rsidRPr="00AB675F">
        <w:rPr>
          <w:rFonts w:ascii="Calibri" w:hAnsi="Calibri"/>
          <w:lang w:val="fr-FR"/>
        </w:rPr>
        <w:t xml:space="preserve">, 2019 </w:t>
      </w:r>
      <w:r w:rsidRPr="00691DDD">
        <w:fldChar w:fldCharType="end"/>
      </w:r>
    </w:p>
  </w:endnote>
  <w:endnote w:id="12">
    <w:p w14:paraId="0A31257B" w14:textId="06414DD4" w:rsidR="00AD2ABD" w:rsidRPr="00645340" w:rsidRDefault="00AD2ABD" w:rsidP="009349CB">
      <w:pPr>
        <w:pStyle w:val="Notedefin"/>
        <w:rPr>
          <w:lang w:val="fr-FR"/>
        </w:rPr>
      </w:pPr>
      <w:r w:rsidRPr="00691DDD">
        <w:rPr>
          <w:rStyle w:val="Appeldenotedefin"/>
          <w:vertAlign w:val="baseline"/>
        </w:rPr>
        <w:endnoteRef/>
      </w:r>
      <w:r w:rsidRPr="00AB675F">
        <w:rPr>
          <w:lang w:val="fr-FR"/>
        </w:rPr>
        <w:t xml:space="preserve"> </w:t>
      </w:r>
      <w:r w:rsidRPr="00691DDD">
        <w:fldChar w:fldCharType="begin"/>
      </w:r>
      <w:r w:rsidRPr="00AB675F">
        <w:rPr>
          <w:lang w:val="fr-FR"/>
        </w:rPr>
        <w:instrText xml:space="preserve"> ADDIN ZOTERO_ITEM CSL_CITATION {"citationID":"ONRElKZt","properties":{"formattedCitation":"(Lobos et al., 2015; Palliotti et al., 2013)","plainCitation":"(Lobos et al., 2015; Palliotti et al., 2013)","dontUpdate":true,"noteIndex":12},"citationItems":[{"id":2301,"uris":["http://zotero.org/users/2311545/items/C95ZDKU8"],"uri":["http://zotero.org/users/2311545/items/C95ZDKU8"],"itemData":{"id":2301,"type":"article-journal","container-title":"OENO One","DOI":"10.20870/oeno-one.2015.49.2.86","ISSN":"2494-1271","issue":"2","journalAbbreviation":"1","language":"en","page":"137-144","source":"oeno-one.eu","title":"Effects of kaolin-based particle film and fruit zone netting on Cabernet Sauvignon grapevine physiology and fruit quality","volume":"49","author":[{"family":"Lobos","given":"Gustavo A."},{"family":"Acevedo-Opazo","given":"César"},{"family":"Guajardo-Moreno","given":"Alejandro"},{"family":"Valdés-Gómez","given":"Héctor"},{"family":"Taylor","given":"James A."},{"family":"Laurie","given":"V. Felipe"}],"issued":{"date-parts":[["2015",6,30]]}}},{"id":2795,"uris":["http://zotero.org/users/2311545/items/I6ZZTD5X"],"uri":["http://zotero.org/users/2311545/items/I6ZZTD5X"],"itemData":{"id":2795,"type":"article-journal","abstract":"The effectiveness of a postveraison application of the film-forming antitranspirant Vapor Gard (VG, a.i. di-1-p-menthene) was investigated as a technique to delay grape ripening and reduce sugar accumulation in the berry. The study was carried out over the 2010–2011 seasons in a nonirrigated vineyard of cv. Sangiovese in central Italy. Vapor Gard was applied at 2% concentration to the upper two-thirds of the canopy (most functional leaves) and it significantly lowered leaf assimilation and transpiration rates and increased intrinsic water use efficiency. The Fv/ Fm ratio was not modified, emphasizing that photoinhibition did not occur at the photosystem II complex, whereas the reduction of pool size of plastoquinone matched well with reduced CO2 fixation found in VG-treated vines. In both years VG treatment reduced the pace of sugar accumulation in the berry as compared to control vines, scoring a -1.2 Brix at harvest and wine</w:instrText>
      </w:r>
      <w:r w:rsidRPr="00645340">
        <w:rPr>
          <w:lang w:val="fr-FR"/>
        </w:rPr>
        <w:instrText xml:space="preserve"> alcohol content at -1% without compromising the recovery of concentrations of carbohydrates and total nitrogen in canes and roots. Concurrently, organic acids, pH, and phenolic richness of grapes and wines were unaffected, whereas there was a decrease in anthocyanin content in the berry (-19% compared to control vines) and in the wine (-15% compared to control vines). The application of VG at postveraison above the cluster zone is an effective, simple, and viable technique to hinder berry sugaring and obtain less alcoholic wines. To be effective the spraying should be performed at ~14 to 15 Brix, making sure that the lower leaf epidermis is fully wetted by the chemical.","container-title":"American Journal of Enology and Viticulture","DOI":"10.5344/ajev.2013.13015","ISSN":"0002-9254","issue":"3","journalAbbreviation":"Am. J. Enol. Vitic.","language":"en","page":"378-385","source":"DOI.org (Crossref)","title":"Postveraison Application of Antitranspirant Di-1- &lt;i&gt;p&lt;/i&gt; -Menthene to Control Sugar Accumulation in Sangiovese Grapevines","volume":"64","author":[{"family":"Palliotti","given":"Alberto"},{"family":"Panara","given":"Francesco"},{"family":"Famiani","given":"Franco"},{"family":"Sabbatini","given":"Paolo"},{"family":"Howell","given":"G. Stanley"},{"family":"Silvestroni","given":"Oriana"},{"family":"Poni","given":"Stefano"}],"issued":{"date-parts":[["2013",9]]}}}],"schema":"https://github.com/citation-style-language/schema/raw/master/csl-citation.json"} </w:instrText>
      </w:r>
      <w:r w:rsidRPr="00691DDD">
        <w:fldChar w:fldCharType="separate"/>
      </w:r>
      <w:r w:rsidRPr="00645340">
        <w:rPr>
          <w:rFonts w:ascii="Calibri" w:hAnsi="Calibri" w:cs="Calibri"/>
          <w:lang w:val="fr-FR"/>
        </w:rPr>
        <w:t xml:space="preserve"> </w:t>
      </w:r>
      <w:proofErr w:type="spellStart"/>
      <w:r w:rsidRPr="00645340">
        <w:rPr>
          <w:rFonts w:ascii="Calibri" w:hAnsi="Calibri" w:cs="Calibri"/>
          <w:lang w:val="fr-FR"/>
        </w:rPr>
        <w:t>Palliotti</w:t>
      </w:r>
      <w:proofErr w:type="spellEnd"/>
      <w:r w:rsidRPr="00645340">
        <w:rPr>
          <w:rFonts w:ascii="Calibri" w:hAnsi="Calibri" w:cs="Calibri"/>
          <w:lang w:val="fr-FR"/>
        </w:rPr>
        <w:t xml:space="preserve"> et al., 2013 </w:t>
      </w:r>
      <w:r w:rsidRPr="00691DDD">
        <w:fldChar w:fldCharType="end"/>
      </w:r>
    </w:p>
  </w:endnote>
  <w:endnote w:id="13">
    <w:p w14:paraId="27449989" w14:textId="03188BAB"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{"citationID":"LM6dZZUv","properties":{"formattedCitation":"(Caravia et al., 2016)","plainCitation":"(Caravia et al., 2016)","noteIndex":13},"citationItems":[{"id":2511,"uris":["http://zotero.org/users/2311545/items/658TDFPQ"],"uri":["http://zotero.org/users/2311545/items/658TDFPQ"],"itemData":{"id":2511,"type":"article-journal","abstract":"Background and Aims: The impact of high temperature on grapevine function is predicted to be a serious problem in our warming climate. We studied the impact of shading on some aspects of vine physiology, berry cell death and other components of berry development and on the resultant wines in order to understand grapevine physiology and the ripening process in shaded conditions and to assess shading as a mitigation strategy for high temperature.\nMethods and Results: Several shading treatments on Shiraz vines were imposed from veraison to harvest during three seasons at two locations. An overhead shade (OS) treatment (62% absorption) was the most consistent in high temperature mitigation. Compared with controls (no shading) or to soil shade, the leaves of OS vines had higher chlorophyll concentration, higher net CO2 assimilation at saturating light, and higher midday stem water potential but similar sap ﬂow and leaf transpiration rates. Overhead shade berries accumulated sugars per berry at a similar rate but had lower TSS due to higher water content. Berry cell vitality measured with impedance or vital stains was higher in OS vines, and mass loss was delayed. Wines had lower alcohol with no signiﬁcant difference in the concentration of anthocyanins; however, phenolic substances and some of the colour properties were affected.\nConclusion: Overhead shade can ameliorate the impact of heat stress through a signiﬁcant reduction in berry cell death and in loss of berry mass. This results in reduced alcohol concentration with relatively minor effects on other wine components. Signiﬁcance of Study: Shading from veraison to harvest may be a viable mitigation strategy against extreme high temperature during ripening.","container-title":"Australian Journal of Grape and Wine Research","DOI":"10.1111/ajgw.12248","ISSN":"13227130","issue":"3","journalAbbreviation":"Australian Journal of Grape and Wine Research","language":"en","page":"422-437","source":"DOI.org (Crossref)","title":"Application of shade treatments during Shiraz berry ripening to reduce the impact of high temperature: Shade reduces impact of high temperature on Shiraz","title-short":"Application of shade treatments during Shiraz berry ripening to reduce the impact of high temperature","volume":"22","author":[{"family":"Caravia","given":"L."},{"family":"Collins","given":"C."},{"family":"Petrie","given":"P.R."},{"family":"Tyerman","given":"S.D."}],"issued":{"date-parts":[["2016",10]]}}}],"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Caravia</w:t>
      </w:r>
      <w:proofErr w:type="spellEnd"/>
      <w:r w:rsidRPr="00691DDD">
        <w:rPr>
          <w:rFonts w:ascii="Calibri" w:hAnsi="Calibri" w:cs="Calibri"/>
          <w:lang w:val="fr-FR"/>
        </w:rPr>
        <w:t xml:space="preserve"> et al., 2016 </w:t>
      </w:r>
      <w:r w:rsidRPr="00691DDD">
        <w:fldChar w:fldCharType="end"/>
      </w:r>
    </w:p>
  </w:endnote>
  <w:endnote w:id="14">
    <w:p w14:paraId="0DC2F39D" w14:textId="3F5DEE3D"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{"citationID":"9AWprmE2","properties":{"formattedCitation":"(Hunter et al., 2016)","plainCitation":"(Hunter et al., 2016)","noteIndex":14},"citationItems":[{"id":2629,"uris":["http://zotero.org/users/2311545/items/G7PP6J2D"],"uri":["http://zotero.org/users/2311545/items/G7PP6J2D"],"itemData":{"id":2629,"type":"article-journal","abstract":"Establishment of vineyards is often forced towards geo-morphologically complex terroir where aspect, slope, relief and erosion are determining factors in orientation of rows. In this novel study, changes in primarily microclimate proﬁles and vine physiological behaviour with different row orientations were studied on a ﬂat terrain in a semi-arid environment with the purpose of aiding vineyard management decisions and practices for production of grapes and wine. Effects of grapevine row orientation (NS, EW, NE-SW, NW-SE) of vertically trellised and shoot positioned Vitis vinifera L. Shiraz/101-14 Mgt on vineyard meso- and microclimate as well as vine physiological status, within the context of regional macroclimate, were investigated under ﬁeld conditions over many seasons. Novel wind velocity and direction proﬁles in vineyard rows showed velocity in work rows paralleling ambient prevailing wind and direction ﬂow patterns being affected by canopy development and row orientation; NW-SE and EW orientated rows maintained higher wind velocity in work rows than NS and NE-SW rows. Mesoclimatic photosynthetic active radiation was in line with macroclimate radiation. Microclimatically, EW orientated rows maintained lowest interior canopy light interception, NS orientation displayed highest values, peaking in morning and afternoon, whereas NE-SW and NW-SE orientations peaked primarily in afternoon and morning, respectively. The EW orientated rows captured largest portion of total radiation in the bunch zone from soil reﬂected radiation. Canopy interior temperature differences were likely masked by air temperature. Basal leaf water potential was relatively unaffected by row side; results point to internal regulation of whole plant water status. Leaf temperature showed minor differences. Relative humidity followed opposite trends to those of air- and leaf temperature. Leaves of EW orientated vines had highest average photosynthesis, corresponding to stomatal conductance and transpiration. Most uniform canopy photosynthesis occurred for NS and NW-SE orientations. Photosynthesis trends practically demonstrated mirror diurnal images for canopy sides of each orientation. Row orientation signiﬁcantly affected mesoand microclimate, radiation in particular directly affecting energy/heat balances and concomitant canopy physiological processes. The study provided new insights into: vine physiological response to row orientation, the role of row orientation as viticulture practice; decision-making for establishment; and management of existing vineyards, irrespective of terroir soil and climatic conditions and product objectives. Results are globally relevant, especially within the context of climate change, and provide ﬁrst comprehensive climatic/grapevine physiological evidence on the impact of grapevine row orientation as viticulture practice.","container-title":"Agricultural and Forest Meteorology","DOI":"10.1016/j.agrformet.2016.06.013","ISSN":"01681923","journalAbbreviation":"Agricultural and Forest Meteorology","language":"en","page":"104-119","source":"DOI.org (Crossref)","title":"Vineyard row orientation of Vitis vinifera L. cv. Shiraz/101-14 Mgt: Climatic profiles and vine physiological status","title-short":"Vineyard row orientation of Vitis vinifera L. cv. Shiraz/101-14 Mgt","volume":"228-229","author":[{"family":"Hunter","given":"J.J"},{"family":"Volschenk","given":"C.G."},{"family":"Zorer","given":"R."}],"issued":{"date-parts":[["2016",11]]}}}],"schema":"https://github.com/citation-style-language/schema/raw/master/csl-citation.json"} </w:instrText>
      </w:r>
      <w:r w:rsidRPr="00691DDD">
        <w:fldChar w:fldCharType="separate"/>
      </w:r>
      <w:r w:rsidRPr="00691DDD">
        <w:rPr>
          <w:rFonts w:ascii="Calibri" w:hAnsi="Calibri" w:cs="Calibri"/>
          <w:lang w:val="fr-FR"/>
        </w:rPr>
        <w:t xml:space="preserve"> Hunter et al., 2016 </w:t>
      </w:r>
      <w:r w:rsidRPr="00691DDD">
        <w:fldChar w:fldCharType="end"/>
      </w:r>
    </w:p>
  </w:endnote>
  <w:endnote w:id="15">
    <w:p w14:paraId="0B089585" w14:textId="16F9B1EF"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{"citationID":"TS5Tj7iq","properties":{"formattedCitation":"(Gil et al., 2018)","plainCitation":"(Gil et al., 2018)","noteIndex":15},"citationItems":[{"id":1501,"uris":["http://zotero.org/users/2311545/items/AIB6X9BV"],"uri":["http://zotero.org/users/2311545/items/AIB6X9BV"],"itemData":{"id":1501,"type":"article-journal","abstract":"The eﬀects of irrigation water savings by partial root zone drying (PRD) irrigation, shading or mulching on physiology, growth, yield, and wine quality of ‘Syrah’ grapevine (Vitis vinifera L.) was investigated. The study was conducted in a vineyard at two diﬀerent sites, each with a diﬀerent soil type and vegetation index. Plants were subjected to the following four treatments: T0) control, with conventional irrigation regimes used by local growers; T1) shade cloth covering the vine canopy resulting in a 50% reduction in irrigation volume compared to the control; T2) double color plastic mulch (white color facing up and black on the inside facing the soil) resulting in a 50% reduction in irrigation volume compared to the control; and T3) PRD irrigation resulting in a 50% reduction in irrigation volume compared to the control. In general, the use of PRD irrigation, shade cloth or plastic mulch did not signiﬁcantly aﬀect the physiological, growth or yield variables measured, except for fruit cluster weight, which was lower in T3 than in the other treatments, and wine alcohol and polyphenol content, which were higher in T3 than in the other treatments. Shade cloth and plastic mulch treatments resulted in a 50% reduction in water use with no detrimental eﬀects on plant physiology, yield, or wine quality. In addition to a 50% reduction in the amount of irrigation water applied, PRD irrigation also improved wine quality by increasing alcohol and polyphenol contents.","container-title":"Scientia Horticulturae","DOI":"10.1016/j.scienta.2018.06.050","ISSN":"03044238","language":"en","page":"478-483","source":"Crossref","title":"Partial root-zone drying irrigation, shading, or mulching effects on water savings, productivity and quality of ‘Syrah’ grapevines","volume":"240","author":[{"family":"Gil","given":"P.M."},{"family":"Lobos","given":"P."},{"family":"Durán","given":"K."},{"family":"Olguín","given":"J."},{"family":"Cea","given":"D."},{"family":"Schaffer","given":"B."}],"issued":{"date-parts":[["2018",10]]}}}],"schema":"https://github.com/citation-style-language/schema/raw/master/csl-citation.json"} </w:instrText>
      </w:r>
      <w:r w:rsidRPr="00691DDD">
        <w:fldChar w:fldCharType="separate"/>
      </w:r>
      <w:r w:rsidRPr="00691DDD">
        <w:rPr>
          <w:rFonts w:ascii="Calibri" w:hAnsi="Calibri" w:cs="Calibri"/>
          <w:lang w:val="fr-FR"/>
        </w:rPr>
        <w:t xml:space="preserve"> Gil et al., 2018 </w:t>
      </w:r>
      <w:r w:rsidRPr="00691DDD">
        <w:fldChar w:fldCharType="end"/>
      </w:r>
    </w:p>
  </w:endnote>
  <w:endnote w:id="16">
    <w:p w14:paraId="635CCDBB" w14:textId="6DDB0FCC"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rFonts w:ascii="Calibri" w:hAnsi="Calibri" w:cs="Calibri"/>
          <w:szCs w:val="24"/>
        </w:rPr>
        <w:fldChar w:fldCharType="begin"/>
      </w:r>
      <w:r w:rsidRPr="00691DDD">
        <w:rPr>
          <w:rFonts w:ascii="Calibri" w:hAnsi="Calibri" w:cs="Calibri"/>
          <w:szCs w:val="24"/>
          <w:lang w:val="fr-FR"/>
        </w:rPr>
        <w:instrText xml:space="preserve"> ADDIN ZOTERO_ITEM CSL_CITATION {"citationID":"lJJ5Ukjf","properties":{"formattedCitation":"(Vaz et al., 2016)","plainCitation":"(Vaz et al., 2016)","noteIndex":16},"citationItems":[{"id":2750,"uris":["http://zotero.org/users/2311545/items/SVJZQE4C"],"uri":["http://zotero.org/users/2311545/items/SVJZQE4C"],"itemData":{"id":2750,"type":"article-journal","container-title":"Theoretical and Experimental Plant Physiology","DOI":"10.1007/s40626-016-0074-6","ISSN":"2197-0025","issue":"2","journalAbbreviation":"Theor. Exp. Plant Physiol.","language":"en","page":"205-220","source":"DOI.org (Crossref)","title":"Adaptive strategies of two Mediterranean grapevines varieties (Aragonez syn. Tempranillo and Trincadeira) face drought: physiological and structural responses","title-short":"Adaptive strategies of two Mediterranean grapevines varieties (Aragonez syn. Tempranillo and Trincadeira) face drought","volume":"28","author":[{"family":"Vaz","given":"M."},{"family":"Coelho","given":"R."},{"family":"Rato","given":"A."},{"family":"Samara-Lima","given":"R."},{"family":"Silva","given":"L. L."},{"family":"Campostrini","given":"E."},{"family":"Mota","given":"J. B."}],"issued":{"date-parts":[["2016",6]]}}}],"schema":"https://github.com/citation-style-language/schema/raw/master/csl-citation.json"} </w:instrText>
      </w:r>
      <w:r w:rsidRPr="00691DDD">
        <w:rPr>
          <w:rFonts w:ascii="Calibri" w:hAnsi="Calibri" w:cs="Calibri"/>
          <w:szCs w:val="24"/>
        </w:rPr>
        <w:fldChar w:fldCharType="separate"/>
      </w:r>
      <w:r w:rsidRPr="00691DDD">
        <w:rPr>
          <w:rFonts w:ascii="Calibri" w:hAnsi="Calibri" w:cs="Calibri"/>
          <w:lang w:val="fr-FR"/>
        </w:rPr>
        <w:t xml:space="preserve"> </w:t>
      </w:r>
      <w:proofErr w:type="spellStart"/>
      <w:r w:rsidRPr="00691DDD">
        <w:rPr>
          <w:rFonts w:ascii="Calibri" w:hAnsi="Calibri" w:cs="Calibri"/>
          <w:lang w:val="fr-FR"/>
        </w:rPr>
        <w:t>Vaz</w:t>
      </w:r>
      <w:proofErr w:type="spellEnd"/>
      <w:r w:rsidRPr="00691DDD">
        <w:rPr>
          <w:rFonts w:ascii="Calibri" w:hAnsi="Calibri" w:cs="Calibri"/>
          <w:lang w:val="fr-FR"/>
        </w:rPr>
        <w:t xml:space="preserve"> et al., 2016 </w:t>
      </w:r>
      <w:r w:rsidRPr="00691DDD">
        <w:rPr>
          <w:rFonts w:ascii="Calibri" w:hAnsi="Calibri" w:cs="Calibri"/>
          <w:szCs w:val="24"/>
        </w:rPr>
        <w:fldChar w:fldCharType="end"/>
      </w:r>
    </w:p>
  </w:endnote>
  <w:endnote w:id="17">
    <w:p w14:paraId="7A4D6488" w14:textId="5FAEDBF3"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{"citationID":"ExnBSIdd","properties":{"formattedCitation":"(Buesa et al., 2019)","plainCitation":"(Buesa et al., 2019)","noteIndex":17},"citationItems":[{"id":2504,"uris":["http://zotero.org/users/2311545/items/GU4JMN54"],"uri":["http://zotero.org/users/2311545/items/GU4JMN54"],"itemData":{"id":2504,"type":"article-journal","abstract":"Background and Aims: Climate change is advancing grape ripening and decoupling sugar and phenolic maturity, impacting wine typicity. The aim of this study was to test whether late leaf removal (LLR) under different watering regimes delayed harvest of two Spanish red cultivars in a semi-arid and temperate-warm climate.\nMethods and Results: In two trials carried out in eastern Spain with the Bobal and Tempranillo cultivars, vines were partially defoliated above the bunch zone shortly before veraison under rainfed and deﬁcit irrigation conditions during two seasons. The rate of grape ripening in both cultivars was signiﬁcantly affected by LLR under either watering regime, consequently delaying harvest. Vine water status and leaf photosynthetic rate were improved by LLR. The reduction in leaf area-to-fruit ratio resulting from the LLR treatments was found to be more limiting for the accumulation of anthocyanin than for TSS. Consequently, LLR negatively affected wine colour intensity. In addition, yield was constrained by LLR in Tempranillo due to a reduction in bunch and berry mass.\nConclusions: The reduction in the rate of accumulation of grape TSS provoked by LLR did not necessarily result in a more balanced berry maturity. The effectiveness of the LLR technique appears to depend on its ﬁnal impact on leaf area-to-fruit ratio and vine water status, the cultivar photosynthetic compensation capacity and the environmental conditions.","container-title":"Australian Journal of Grape and Wine Research","DOI":"10.1111/ajgw.12368","ISSN":"13227130","issue":"1","journalAbbreviation":"Australian Journal of Grape and Wine Research","language":"en","page":"70-82","source":"DOI.org (Crossref)","title":"Delaying berry ripening of Bobal and Tempranillo grapevines by late leaf removal in a semi-arid and temperate-warm climate under different water regimes: Late leaf removal effects in Bobal and Tempranillo","title-short":"Delaying berry ripening of Bobal and Tempranillo grapevines by late leaf removal in a semi-arid and temperate-warm climate under different water regimes","volume":"25","author":[{"family":"Buesa","given":"I."},{"family":"Caccavello","given":"G."},{"family":"Basile","given":"B."},{"family":"Merli","given":"M. C."},{"family":"Poni","given":"S."},{"family":"Chirivella","given":"C."},{"family":"Intrigliolo","given":"D. S."}],"issued":{"date-parts":[["2019",1]]}}}],"schema":"https://github.com/citation-style-language/schema/raw/master/csl-citation.json"}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Buesa</w:t>
      </w:r>
      <w:proofErr w:type="spellEnd"/>
      <w:r w:rsidRPr="00691DDD">
        <w:rPr>
          <w:rFonts w:ascii="Calibri" w:hAnsi="Calibri" w:cs="Calibri"/>
          <w:lang w:val="fr-FR"/>
        </w:rPr>
        <w:t xml:space="preserve"> et al., 2019 </w:t>
      </w:r>
      <w:r w:rsidRPr="00691DDD">
        <w:fldChar w:fldCharType="end"/>
      </w:r>
    </w:p>
  </w:endnote>
  <w:endnote w:id="18">
    <w:p w14:paraId="0616C14D" w14:textId="7B4CD309"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rFonts w:ascii="Calibri" w:hAnsi="Calibri" w:cs="Calibri"/>
          <w:lang w:val="fr-FR"/>
        </w:rPr>
        <w:fldChar w:fldCharType="begin"/>
      </w:r>
      <w:r w:rsidRPr="00691DDD">
        <w:rPr>
          <w:rFonts w:ascii="Calibri" w:hAnsi="Calibri" w:cs="Calibri"/>
          <w:lang w:val="fr-FR"/>
        </w:rPr>
        <w:instrText xml:space="preserve"> ADDIN ZOTERO_ITEM CSL_CITATION {"citationID":"hqSwXS7B","properties":{"formattedCitation":"(dos Santos et al., 2007)","plainCitation":"(dos Santos et al., 2007)","noteIndex":18},"citationItems":[{"id":2174,"uris":["http://zotero.org/users/2311545/items/Z7GBIEQU"],"uri":["http://zotero.org/users/2311545/items/Z7GBIEQU"],"itemData":{"id":2174,"type":"article-journal","abstract":"The grapevine plays a very important role in the economic, social and cultural sectors of many regions; however vineyards are often grown in regions under stressful conditions and thus they are vulnerable to climate change. The objective of this research was to investigate the effect of partial root-zone drying (PRD) irrigation on vine water relations, vegetative growth, plant microclimate, berry composition and yield components, compared to conventional deficit irrigation (DI, 50% ETc), full irrigation (FI, 100% of ETc) and non-irrigated vines (NI). The study was undertaken in mature ‘Moscatel’ grapevines (Vitis vinifera L.) grown in Pegões, South of Portugal. Compared to the other irrigated treatments, PRD vines showed a better microclimate at the cluster zone with higher incident photosynthetic photon flux density (PPFD). Within the more open canopies of NI and PRD treatments, berry temperatures were higher than those of denser ones (DI and FI). Compared to the conventional irrigation technique the better microclimate observed in PRD vines was a consequence of a reduction in vine growth, where lower values of leaf layer number, leaf area, canopy wideness, water shoots and shoot weight were observed. In PRD vines we observed a tendency to a development of a deeper root system, while DI and FI showed a more homogeneous root distribution throughout the different soil layers. PRD showed an improvement in berry quality with higher values of flavour precursors, and total phenols concentration without any significant yield reduction compared to DI and FI.","container-title":"Scientia Horticulturae","DOI":"10.1016/j.scienta.2007.01.006","ISSN":"0304-4238","issue":"3","journalAbbreviation":"Scientia Horticulturae","page":"321-330","source":"ScienceDirect","title":"Effects of deficit irrigation strategies on cluster microclimate for improving fruit composition of Moscatel field-grown grapevines","volume":"112","author":[{"family":"Santos","given":"Tiago Pedreira","non-dropping-particle":"dos"},{"family":"Lopes","given":"Carlos M."},{"family":"Lucília Rodrigues","given":"M."},{"family":"Souza","given":"Claudia R.","non-dropping-particle":"de"},{"family":"Ricardo-da-Silva","given":"Jorge M."},{"family":"Maroco","given":"João P."},{"family":"Pereira","given":"João S."},{"family":"Manuela Chaves","given":"M."}],"issued":{"date-parts":[["2007",4,23]]}}}],"schema":"https://github.com/citation-style-language/schema/raw/master/csl-citation.json"} </w:instrText>
      </w:r>
      <w:r w:rsidRPr="00691DDD">
        <w:rPr>
          <w:rFonts w:ascii="Calibri" w:hAnsi="Calibri" w:cs="Calibri"/>
          <w:lang w:val="fr-FR"/>
        </w:rPr>
        <w:fldChar w:fldCharType="separate"/>
      </w:r>
      <w:r w:rsidRPr="00691DDD">
        <w:rPr>
          <w:rFonts w:ascii="Calibri" w:hAnsi="Calibri" w:cs="Calibri"/>
          <w:lang w:val="fr-FR"/>
        </w:rPr>
        <w:t xml:space="preserve"> dos Santos et al., 2007 </w:t>
      </w:r>
      <w:r w:rsidRPr="00691DDD">
        <w:rPr>
          <w:rFonts w:ascii="Calibri" w:hAnsi="Calibri" w:cs="Calibri"/>
          <w:lang w:val="fr-FR"/>
        </w:rPr>
        <w:fldChar w:fldCharType="end"/>
      </w:r>
    </w:p>
  </w:endnote>
  <w:endnote w:id="19">
    <w:p w14:paraId="32025F3F" w14:textId="47154FD2"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rFonts w:ascii="Calibri" w:hAnsi="Calibri" w:cs="Calibri"/>
          <w:szCs w:val="24"/>
        </w:rPr>
        <w:fldChar w:fldCharType="begin"/>
      </w:r>
      <w:r w:rsidRPr="00691DDD">
        <w:rPr>
          <w:rFonts w:ascii="Calibri" w:hAnsi="Calibri" w:cs="Calibri"/>
          <w:szCs w:val="24"/>
          <w:lang w:val="es-ES"/>
        </w:rPr>
        <w:instrText xml:space="preserve"> ADDIN ZOTERO_ITEM CSL_CITATION {"citationID":"pj27Chif","properties":{"formattedCitation":"(Savi et al., 2018)","plainCitation":"(Savi et al., 2018)","noteIndex":19},"citationItems":[{"id":2767,"uris":["http://zotero.org/users/2311545/items/CWPBFDFF"],"uri":["http://zotero.org/users/2311545/items/CWPBFDFF"],"itemData":{"id":2767,"type":"article-journal","abstract":"Ongoing variations in rainfall and temperature regimes affect the physiology and productivity of grapevines, calling for irrigation in drought-prone areas. During vintage 2015, we monitored plants water status and indirectly assessed rooting depth and exploited water sources (oxygen isotope analyses) in a mature Vitis vinifera cv. Malvasia Istriana vineyard on red soils (“terra rossa”) developed on highly permeable carbonate rocks. We also investigated effects of topsoil irrigation or late summer rains on plant water status and yield. Under the harsh summer environmental conditions of 2015, the plant water status was overall favorable (moderate water deficit) and never reached critical levels, suggesting that irrigation was not mandatory. Leaf conductance to water vapor (gL) measured in July decreased by about 70% compared to spring, while minimum leaf water potential (Ψmin) dropped by only 16%, suggesting an isohydric behavior of the cultivar (strict stomatal control of transpiration). Both Ψmin and gL reached a minimum in July (peak of drought), and returned to pre-drought values in late summer. Rainfalls or supplemental irrigation (about 40 mm) promoted prompt recovery of plant water status. Irrigation treatments or occasional summer rainfalls can influence the water status of plants, although roots have access to deep water sources. In fact, the isotopic composition of xylem sap was similar to that of soil water sampled in a nearby deep cave, supporting the hypothesis that deep soil is the main water source for grapevines in karstic areas during summertime. Deficit irrigation, based on careful evaluation of physiological indicators of plant water status, might be an effective strategy for promoting sustainable viticulture, and a rationale use of water resources in karstic ecosystems.","container-title":"Agriculture, Ecosystems &amp; Environment","DOI":"10.1016/j.agee.2018.05.009","ISSN":"0167-8809","journalAbbreviation":"Agriculture, Ecosystems &amp; Environment","page":"53-59","source":"ScienceDirect","title":"Vineyard water relations in a karstic area: deep roots and irrigation management","title-short":"Vineyard water relations in a karstic area","volume":"263","author":[{"family":"Savi","given":"Tadeja"},{"family":"Petruzzellis","given":"Francesco"},{"family":"Martellos","given":"Stefano"},{"family":"Stenni","given":"Barbara"},{"family":"Dal Borgo","given":"Anna"},{"family":"Zini","given":"Luca"},{"family":"Lisjak","given":"Klemen"},{"family":"Nardini","given":"Andrea"}],"issued":{"date-parts":[["2018",8,1]]}}}],"schema":"https://github.com/citation-style-language/schema/raw/master/csl-citation.json"} </w:instrText>
      </w:r>
      <w:r w:rsidRPr="00691DDD">
        <w:rPr>
          <w:rFonts w:ascii="Calibri" w:hAnsi="Calibri" w:cs="Calibri"/>
          <w:szCs w:val="24"/>
        </w:rPr>
        <w:fldChar w:fldCharType="separate"/>
      </w:r>
      <w:r w:rsidRPr="00691DDD">
        <w:rPr>
          <w:rFonts w:ascii="Calibri" w:hAnsi="Calibri" w:cs="Calibri"/>
          <w:lang w:val="fr-FR"/>
        </w:rPr>
        <w:t xml:space="preserve"> </w:t>
      </w:r>
      <w:proofErr w:type="spellStart"/>
      <w:r w:rsidRPr="00691DDD">
        <w:rPr>
          <w:rFonts w:ascii="Calibri" w:hAnsi="Calibri" w:cs="Calibri"/>
          <w:lang w:val="fr-FR"/>
        </w:rPr>
        <w:t>Savi</w:t>
      </w:r>
      <w:proofErr w:type="spellEnd"/>
      <w:r w:rsidRPr="00691DDD">
        <w:rPr>
          <w:rFonts w:ascii="Calibri" w:hAnsi="Calibri" w:cs="Calibri"/>
          <w:lang w:val="fr-FR"/>
        </w:rPr>
        <w:t xml:space="preserve"> et al., 2018 </w:t>
      </w:r>
      <w:r w:rsidRPr="00691DDD">
        <w:rPr>
          <w:rFonts w:ascii="Calibri" w:hAnsi="Calibri" w:cs="Calibri"/>
          <w:szCs w:val="24"/>
        </w:rPr>
        <w:fldChar w:fldCharType="end"/>
      </w:r>
    </w:p>
  </w:endnote>
  <w:endnote w:id="20">
    <w:p w14:paraId="200CB72D" w14:textId="1543A00F"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{"citationID":"Yl7FuDQ0","properties":{"formattedCitation":"(Cirigliano et al., 2017)","plainCitation":"(Cirigliano et al., 2017)","noteIndex":20},"citationItems":[{"id":2579,"uris":["http://zotero.org/users/2311545/items/5IG2U4LQ"],"uri":["http://zotero.org/users/2311545/items/5IG2U4LQ"],"itemData":{"id":2579,"type":"article-journal","abstract":"P. Cirigliano, M. V. Chiriacò, A. Nuňez, G. Dal Monte, and T. Labagnara. 2017. Combined effect of irrigation and compost application on Montepulciano berry composition in a volcanic environment of Latium region (central Italy). Cien. Inv. Agr. 44(2): 195-206. Montepulciano red grape is cultivated in the northern part of the Latium region, primarily for the production of DOC “Colli Etruschi Viterbesi” structured wines for aging. In Mediterranean areas, viticulture is closely influenced by vine water status. In this context, the practice of irrigation may alleviate water-stress-related reductions in plant development to guarantee grape quality, especially in semi-arid areas. The application of on-farm compost in a vineyard may affect grape quality without negative effects, thereby enhancing environmental sustainability. The aim of this work was to investigate the combined effect of irrigation and compost application on the Montepulciano variety in the volcanic environment of Latium region, thereby improving the polyphenol concentrations in the berries. The trial was conducted during three growing seasons (2011–2013). Irrigation was performed according to the protocol proposed by Ojeda and Saurin (2014). The pre-dawn leaf water potential (ψpd) from July to September was measured weekly for maintaining vine water status in the range between -0.4 and -0.6 Mpa. Irrigation (I) and irrigation plus compost application (IC) were compared to a non-irrigated control (C). Berry weight was not influenced by moderate irrigation, whereas titratable acidity and total soluble solids were negatively correlated to the increment of water dropped. The primary finding was a positive influence on polyphenol contents of the grapes at harvest. Best performance was highlighted in 2012 with 263 liter vine-1 of water supplied. Overall, the sustainable use of water and on-farm compost improved Montepulciano grape quality in this volcanic area, thereby enhancing the adaptation of Mediterranean viticulture to climate change conditions.","container-title":"Ciencia e investigación agraria","DOI":"10.7764/rcia.v44i2.1691","ISSN":"07181620","issue":"2","journalAbbreviation":"Ciencia e investigación agraria","language":"en","page":"195-206","source":"DOI.org (Crossref)","title":"Efecto combinado de la aplicación de riego y compost sobre la composición de la baya Montepulciano en un entorno volcánico de la región de Lacio (Italia central)","volume":"44","author":[{"family":"Cirigliano","given":"Pasquale"},{"family":"Vincenza Chiriacò","given":"Maria"},{"literal":"CMCC – Fondazione Centro Euro-Mediterraneo sui Cambiamenti Climatici"},{"family":"Nunez","given":"Abelardo"},{"literal":"Universidad Autonoma de Chihuahua"},{"family":"Dal Monte","given":"Giovanni"},{"literal":"CREA-CMC Consiglio per la ricerca in agricoltura e l’analisi dell’economia agraria"},{"family":"Labagnara","given":"Tilde"},{"literal":"CREA-VE Consiglio per la ricerca in agricoltura e l’analisi dell’economia agraria"}],"issued":{"date-parts":[["2017",8,30]]}}}],"schema":"https://github.com/citation-style-language/schema/raw/master/csl-citation.json"} </w:instrText>
      </w:r>
      <w:r w:rsidRPr="00691DDD">
        <w:fldChar w:fldCharType="separate"/>
      </w:r>
      <w:r w:rsidRPr="00691DDD">
        <w:rPr>
          <w:rFonts w:ascii="Calibri" w:hAnsi="Calibri"/>
          <w:lang w:val="fr-FR"/>
        </w:rPr>
        <w:t xml:space="preserve"> </w:t>
      </w:r>
      <w:proofErr w:type="spellStart"/>
      <w:r w:rsidRPr="00691DDD">
        <w:rPr>
          <w:rFonts w:ascii="Calibri" w:hAnsi="Calibri"/>
          <w:lang w:val="fr-FR"/>
        </w:rPr>
        <w:t>Cirigliano</w:t>
      </w:r>
      <w:proofErr w:type="spellEnd"/>
      <w:r w:rsidRPr="00691DDD">
        <w:rPr>
          <w:rFonts w:ascii="Calibri" w:hAnsi="Calibri"/>
          <w:lang w:val="fr-FR"/>
        </w:rPr>
        <w:t xml:space="preserve"> et al., 2017 </w:t>
      </w:r>
      <w:r w:rsidRPr="00691DDD">
        <w:fldChar w:fldCharType="end"/>
      </w:r>
    </w:p>
  </w:endnote>
  <w:endnote w:id="21">
    <w:p w14:paraId="22DBF12C" w14:textId="47389F2F"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rFonts w:ascii="Calibri" w:hAnsi="Calibri" w:cs="Calibri"/>
          <w:szCs w:val="24"/>
          <w:lang w:val="fr-FR"/>
        </w:rPr>
        <w:t xml:space="preserve">Pieri et al., 2012 </w:t>
      </w:r>
    </w:p>
  </w:endnote>
  <w:endnote w:id="22">
    <w:p w14:paraId="6ABFE4D2" w14:textId="41700A1B"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Pr>
          <w:lang w:val="fr-FR"/>
        </w:rPr>
        <w:instrText xml:space="preserve"> ADDIN ZOTERO_ITEM CSL_CITATION {"citationID":"v4C4mm00","properties":{"formattedCitation":"(Torres et al., 2018)","plainCitation":"(Torres et al., 2018)","dontUpdate":true,"noteIndex":22},"citationItems":[{"id":2643,"uris":["http://zotero.org/users/2311545/items/WI3PZZGR"],"uri":["http://zotero.org/users/2311545/items/WI3PZZGR"],"itemData":{"id":2643,"type":"article-journal","abstract":"The projected climate scenario for South Mediterranean Europe predicts lower precipitation and higher temperatures that will negatively affect viticulture in the region. The application of moderate deficit irrigation at crucial moments of berry ripening has been found to improve berry quality. Furthermore, grapevine association with arbuscular mycorrhizal fungi (AMF) may improve grapevine’s ability to cope with abiotic stresses. Therefore, the aims of this research were: (1) to characterize the response of three clones of Vitis vinifera L. cv. Tempranillo to the combination of different water deficit programs and AMF inoculation under elevated temperatures, and (2) to determine whether AMF inoculation can improve berry antioxidant properties under these conditions. The study was carried out on three fruit-bearing cuttings clones of cv. Tempranillo (CL-260, CL-1089 and CL-843) inoculated (+M) or not (−M) with AMF and subjected to two temperature regimes (24/14°C and 28/18°C (day/night)) combined with three irrigation regimes during berry ripening. Irrigation treatments were: (i) water deficit from fruit set to veraison (early deficit, ED); (ii) water deficit from veraison to maturity (late deficit, LD); and (iii) full irrigation (FI). Although each Tempranillo clone seemed to have different abilities to respond to elevated temperatures and water supply, in general, at 24/14°C the LD treatment performed better than ED. Differences among clones were attenuated at 28/18°C. In addition, potential benefits of the LD treatment were improved by AMF inoculation. Thus, in all clones the loss of anthocyanins at 28/18°C detected in −M plants after applying LD did not occur in the +M plants. Moreover, AMF inoculation increased must antioxidant capacity in CL-843 under these environmental conditions. Our results suggest that the implementation of measures to promote the association of grapevines with appropriate AMF for each variety could contribute to optimize effects of irrigation strategy on berry properties under future warming conditions.","container-title":"Agricultural Water Management","DOI":"10.1016/j.agwat.2017.12.004","ISSN":"0378-3774","journalAbbreviation":"Agricultural Water Management","page":"285-298","source":"ScienceDirect","title":"Influence of irrigation strategy and mycorrhizal inoculation on fruit quality in different clones of Tempranillo grown under elevated temperatures","volume":"202","author":[{"family":"Torres","given":"Nazareth"},{"family":"Goicoechea","given":"Nieves"},{"family":"Carmen Antolín","given":"M."}],"issued":{"date-parts":[["2018",4,1]]}}}],"schema":"https://github.com/citation-style-language/schema/raw/master/csl-citation.json"} </w:instrText>
      </w:r>
      <w:r w:rsidRPr="00691DDD">
        <w:fldChar w:fldCharType="separate"/>
      </w:r>
      <w:r w:rsidRPr="00691DDD">
        <w:rPr>
          <w:rFonts w:ascii="Calibri" w:hAnsi="Calibri" w:cs="Calibri"/>
          <w:lang w:val="fr-FR"/>
        </w:rPr>
        <w:t xml:space="preserve"> Torres et al., 2018 </w:t>
      </w:r>
      <w:r w:rsidRPr="00691DDD">
        <w:fldChar w:fldCharType="end"/>
      </w:r>
    </w:p>
  </w:endnote>
  <w:endnote w:id="23">
    <w:p w14:paraId="5EBA4333" w14:textId="062F73CE"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{"citationID":"EZfCNHrQ","properties":{"formattedCitation":"(Meggio et al., 2014)","plainCitation":"(Meggio et al., 2014)","noteIndex":23},"citationItems":[{"id":2758,"uris":["http://zotero.org/users/2311545/items/YNXTJWXV"],"uri":["http://zotero.org/users/2311545/items/YNXTJWXV"],"itemData":{"id":2758,"type":"article-journal","abstract":"Background and Aims In the light of possible climate change, a crucial aspect for future Mediterranean Europe viticulture is the selection of new rootstocks exhibiting adaptability to drought and salt stress. In this context and considering recent literature, it is fundamental to increase our knowledge of the biochemical and physiological events that characterise stress responses in grapevine roots. In this study, leaf and root responses induced by water stress (WS) and sodium chloride (NaCl) exposure in a new selected genotype, named M4 (Vitis vinifera × V. berlandieri) × V. berlandieri cv. Resseguier n. 1), were compared with those of the commercial rootstock 101.14. Methods and Results The effect of progressive WS and NaCl exposure was studied under controlled environmental conditions on ungrafted plants grown in pots. Shoot growth, plant water status and leaf photosynthetic parameters were measured. The concentration of sugars, amino acids and total proteins, as well as the concentration of the more abundant ions, was determined in both leaf and root organs. The M4 genotype showed greater capacity to maintain photosynthetic activity, to accumulate osmotic compounds as well as to counteract Na and Cl accumulation. Conclusion The M4 genotype exhibited a greater capacity to tolerate both WS and exposure to an increasing concentration of Na and Cl, maintaining photosynthetic activity also under severe stress conditions. The root system appeared to play a central role in sustaining biochemical and physiological responses experienced under these adverse conditions. Significance of the Study This study showed that the tolerance to abiotic stress conditions, such as WS and NaCl exposure, depends on root integrity/functionality, confirming that these aspects must be considered in further selection programs.","container-title":"Australian Journal of Grape and Wine Research","DOI":"10.1111/ajgw.12071","ISSN":"1755-0238","issue":"2","language":"en","page":"310-323","source":"Wiley Online Library","title":"Biochemical and physiological responses of two grapevine rootstock genotypes to drought and salt treatments","volume":"20","author":[{"family":"Meggio","given":"F."},{"family":"Prinsi","given":"B."},{"family":"Negri","given":"A. S."},{"family":"Lorenzo","given":"G. Simone Di"},{"family":"Lucchini","given":"G."},{"family":"Pitacco","given":"A."},{"family":"Failla","given":"O."},{"family":"Scienza","given":"A."},{"family":"Cocucci","given":"M."},{"family":"Espen","given":"L."}],"issued":{"date-parts":[["2014"]]}}}],"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Meggio</w:t>
      </w:r>
      <w:proofErr w:type="spellEnd"/>
      <w:r w:rsidRPr="00691DDD">
        <w:rPr>
          <w:rFonts w:ascii="Calibri" w:hAnsi="Calibri" w:cs="Calibri"/>
          <w:lang w:val="fr-FR"/>
        </w:rPr>
        <w:t xml:space="preserve"> et al., 2014 </w:t>
      </w:r>
      <w:r w:rsidRPr="00691DDD">
        <w:fldChar w:fldCharType="end"/>
      </w:r>
    </w:p>
  </w:endnote>
  <w:endnote w:id="24">
    <w:p w14:paraId="2AB0DF7C" w14:textId="3936F022"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{"citationID":"6JyAIyZ1","properties":{"formattedCitation":"(de C. Teixeira et al., 2014)","plainCitation":"(de C. Teixeira et al., 2014)","noteIndex":24},"citationItems":[{"id":3107,"uris":["http://zotero.org/users/2311545/items/XQEBZ4Z9"],"uri":["http://zotero.org/users/2311545/items/XQEBZ4Z9"],"itemData":{"id":3107,"type":"article-journal","abstract":"Long term weather data were used together with specific regression models involving crop coefficient (Kc), reference evapotranspiration (ET0), accumulated degree days (DDac) and precipitation (P), to develop a vineyard water indicator (VWI) for seedless table and wine grapes under different pruning periods in the Brazilian Northeast. The VWI thermo-hydrological indicator was applied together with average values of air temperature (T) for a growing season (GS) to classify the vineyard agroclimatic suitability. For table grapes, the seedless cv. ‘Sugraone’ used as a reference, it was observed that the region has no thermal limitation for commercial grape production. However, higher sugar contents in berries and yield would be obtained in the areas and pruning periods with higher TGS. In relation to wine grape, cv. ‘Syrah’ taking as a reference, it was shown that there are some thermal limitations for the tropical wine quality. This is depending on pruning dates, lower acidity and higher potential alcohol and pH. In wines analyzed under conditions of larger TGS values, wines became unbalanced in terms of phenolic and aromatic composition. Considering the whole Brazilian Northeast region, for table grapes the best pruning periods is from July to September, while for wine grapes they are between April and June. The spatially presented analyses can subsidize vineyard water allocation criterions, when aiming at improvements of grape and wine water productivity in conditions of climate and land use changes.","container-title":"Acta Horticulturae","DOI":"10.17660/ActaHortic.2014.1038.33","ISSN":"0567-7572, 2406-6168","issue":"1038","journalAbbreviation":"Acta Hortic.","language":"en","page":"277-286","source":"DOI.org (Crossref)","title":"AGRO-CLIMATIC SUITABILITY DELIMITATION FOR TABLE AND WINE GRAPE CROPS UNDER IRRIGATION CONDITIONS IN NORTHEASTERN BRAZIL","author":[{"family":"C. Teixeira","given":"A.H.","non-dropping-particle":"de"},{"family":"Tonietto","given":"J."},{"family":"Pereira","given":"G.E."},{"family":"Hernandez","given":"F.B.T."},{"family":"Angelotti","given":"F."},{"family":"Lopes","given":"H.L."}],"issued":{"date-parts":[["2014",6]]}}}],"schema":"https://github.com/citation-style-language/schema/raw/master/csl-citation.json"} </w:instrText>
      </w:r>
      <w:r w:rsidRPr="00691DDD">
        <w:fldChar w:fldCharType="separate"/>
      </w:r>
      <w:r w:rsidRPr="00691DDD">
        <w:rPr>
          <w:rFonts w:ascii="Calibri" w:hAnsi="Calibri" w:cs="Calibri"/>
          <w:lang w:val="fr-FR"/>
        </w:rPr>
        <w:t xml:space="preserve"> de C. Teixeira et al., 2014 </w:t>
      </w:r>
      <w:r w:rsidRPr="00691DDD">
        <w:fldChar w:fldCharType="end"/>
      </w:r>
    </w:p>
  </w:endnote>
  <w:endnote w:id="25">
    <w:p w14:paraId="5E7A575C" w14:textId="6638887F"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{"citationID":"UYp1gwjq","properties":{"formattedCitation":"(Tomaz et al., 2017)","plainCitation":"(Tomaz et al., 2017)","noteIndex":25},"citationItems":[{"id":2344,"uris":["http://zotero.org/users/2311545/items/S9YVYQ3F"],"uri":["http://zotero.org/users/2311545/items/S9YVYQ3F"],"itemData":{"id":2344,"type":"article-journal","abstract":"As a result of its physiological characteristics, vine’s yield and quality responses are greatly affected by water availability in the soil. Knowledge about water uptake of grapevines in pedoclimatic conditions of high water availability is essential when considering the increasing use of irrigation in a previously rainfed crop. We studied the water uptake of irrigated grapevines under different soil covers. The study was carried out over 2 years in southern Portugal, a Mediterranean climate region, in ‘Aragonez’ grapevines planted in Vertisols. A cover crop was sown in half the area while maintaining the permanent resident vegetation in the remaining area. Five levels of annual irrigation supply were applied: 200, 150, 100 and 50 mm, and no irrigation. Soil moisture was monitored every 2 or 3 weeks, and weekly after the start of irrigation. Results show that water uptake in the interrows did not cease after the beginning of irrigation. Water uptake by the vines occurred to depths of approximately 3 m, hence 7.5 times greater than the cover crop root system depth. Results suggest that over time, the presence of the cover crop forces the vine root system, mainly its thinner roots, to seek water in increasingly deeper soil compartments. Copyright © 2017 John Wiley &amp; Sons, Ltd.","container-title":"Irrigation and Drainage","DOI":"10.1002/ird.2115","ISSN":"15310353","issue":"3","journalAbbreviation":"Irrig. and Drain.","language":"en","page":"387-395","source":"DOI.org (Crossref)","title":"Influence of cover cropping on water uptake dynamics in an irrigated Mediterranean vineyard: Cover Cropping and Water Uptake Dynamics","title-short":"Influence of cover cropping on water uptake dynamics in an irrigated Mediterranean vineyard","volume":"66","author":[{"family":"Tomaz","given":"A."},{"family":"Pacheco","given":"C.A."},{"family":"Coleto Martinez","given":"J.M."}],"issued":{"date-parts":[["2017",7]]}}}],"schema":"https://github.com/citation-style-language/schema/raw/master/csl-citation.json"}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Tomaz</w:t>
      </w:r>
      <w:proofErr w:type="spellEnd"/>
      <w:r w:rsidRPr="00691DDD">
        <w:rPr>
          <w:rFonts w:ascii="Calibri" w:hAnsi="Calibri" w:cs="Calibri"/>
          <w:lang w:val="fr-FR"/>
        </w:rPr>
        <w:t xml:space="preserve"> et al., 2017 </w:t>
      </w:r>
      <w:r w:rsidRPr="00691DDD">
        <w:fldChar w:fldCharType="end"/>
      </w:r>
    </w:p>
  </w:endnote>
  <w:endnote w:id="26">
    <w:p w14:paraId="167650EC" w14:textId="1519EB60" w:rsidR="00AD2ABD" w:rsidRPr="00691DDD" w:rsidRDefault="00AD2ABD" w:rsidP="00CD39DD">
      <w:pPr>
        <w:pStyle w:val="Notedefin"/>
        <w:rPr>
          <w:lang w:val="fr-FR"/>
        </w:rPr>
      </w:pPr>
      <w:r w:rsidRPr="00691DDD">
        <w:rPr>
          <w:rStyle w:val="Appeldenotedefin"/>
          <w:vertAlign w:val="baseline"/>
        </w:rPr>
        <w:endnoteRef/>
      </w:r>
      <w:r w:rsidRPr="00691DDD">
        <w:rPr>
          <w:lang w:val="fr-FR"/>
        </w:rPr>
        <w:fldChar w:fldCharType="begin"/>
      </w:r>
      <w:r w:rsidRPr="00691DDD">
        <w:rPr>
          <w:lang w:val="fr-FR"/>
        </w:rPr>
        <w:instrText xml:space="preserve"> ADDIN ZOTERO_ITEM CSL_CITATION {"citationID":"b8M1yOYM","properties":{"formattedCitation":"(Carvalho et al., 2017)","plainCitation":"(Carvalho et al., 2017)","noteIndex":26},"citationItems":[{"id":2567,"uris":["http://zotero.org/users/2311545/items/CS4N9G2Q"],"uri":["http://zotero.org/users/2311545/items/CS4N9G2Q"],"itemData":{"id":2567,"type":"article-journal","abstract":"Widespread agricultural losses attributed to drought, often combined with high temperatures frequently occur in the field simultaneously, namely in Mediterranean climate areas, where the existing scenarios for climate change indicate an increase in the frequency of heat waves and severe drought events in summer. Grapevine (Vitis vinifera L.) is the most cultivated fruit species in the world and the most valuable one and is a traditional Mediterranean species. Currently, viticulture must adjust to impending climate changes that are already pushing vine-growers towards the use of ancient and resilient varieties. Portugal is very rich in grapevine biodiversity, however, currently, 90 % of the total producing area is planted with only 16 varieties. There is a pressing need to understand the existing genetic diversity and the physiological potential of the varieties/genotypes available to be able to respond to climate changes. With the above scenario in mind, an assembly of sixty five DEGs(differentially expresses genes) previously identified as responsive to abiotic stresses in two well studied genotypes, ‘Touriga Nacional’ and ‘Trincadeira’, was designed to scan the gene expression of leaf samples from ten traditional Portuguese varieties growing in two regions with distinct environmental conditions. Forty-five of those DEGs proved to be associated to “abiotic stress” and were chosen to build a custom qPCR array to identify uncharacterized genotypes as sensitive or tolerant to abiotic stress. According to the experimental set-up behind the array design these DEGs can also be used as indicators of the main abiotic stress that the plant is subjected and responding to (drought, heat or excess light).","container-title":"Frontiers in Plant Science","DOI":"10.3389/fpls.2017.01835","ISSN":"1664-462X","journalAbbreviation":"Front. Plant Sci.","language":"English","source":"Frontiers","title":"Design of a Custom RT-qPCR Array for Assignment of Abiotic Stress Tolerance in Traditional Portuguese Grapevine Varieties","URL":"https://www.frontiersin.org/articles/10.3389/fpls.2017.01835/full?report=reader","volume":"8","author":[{"family":"Carvalho","given":"Luísa C."},{"family":"Silva","given":"Marília"},{"family":"Coito","given":"João L."},{"family":"Rocheta","given":"Margarida P."},{"family":"Amâncio","given":"Sara"}],"accessed":{"date-parts":[["2019",7,16]]},"issued":{"date-parts":[["2017"]]}}}],"schema":"https://github.com/citation-style-language/schema/raw/master/csl-citation.json"} </w:instrText>
      </w:r>
      <w:r w:rsidRPr="00691DDD">
        <w:rPr>
          <w:lang w:val="fr-FR"/>
        </w:rPr>
        <w:fldChar w:fldCharType="separate"/>
      </w:r>
      <w:r w:rsidRPr="00691DDD">
        <w:rPr>
          <w:rFonts w:ascii="Calibri" w:hAnsi="Calibri" w:cs="Calibri"/>
          <w:lang w:val="fr-FR"/>
        </w:rPr>
        <w:t xml:space="preserve"> Carvalho et al., 2017 </w:t>
      </w:r>
      <w:r w:rsidRPr="00691DDD">
        <w:rPr>
          <w:lang w:val="fr-FR"/>
        </w:rPr>
        <w:fldChar w:fldCharType="end"/>
      </w:r>
    </w:p>
  </w:endnote>
  <w:endnote w:id="27">
    <w:p w14:paraId="540B21CF" w14:textId="3102B832" w:rsidR="00AD2ABD" w:rsidRPr="00691DDD" w:rsidRDefault="00AD2ABD" w:rsidP="00CD39DD">
      <w:pPr>
        <w:pStyle w:val="Notedefin"/>
        <w:rPr>
          <w:lang w:val="fr-FR"/>
        </w:rPr>
      </w:pPr>
      <w:r w:rsidRPr="00691DDD">
        <w:rPr>
          <w:rStyle w:val="Appeldenotedefin"/>
          <w:vertAlign w:val="baseline"/>
        </w:rPr>
        <w:endnoteRef/>
      </w:r>
      <w:r w:rsidRPr="00691DDD">
        <w:rPr>
          <w:lang w:val="fr-FR"/>
        </w:rPr>
        <w:fldChar w:fldCharType="begin"/>
      </w:r>
      <w:r w:rsidRPr="00691DDD">
        <w:rPr>
          <w:lang w:val="fr-FR"/>
        </w:rPr>
        <w:instrText xml:space="preserve"> ADDIN ZOTERO_ITEM CSL_CITATION {"citationID":"hSGO9DSc","properties":{"formattedCitation":"(Duchene et al., 2012)","plainCitation":"(Duchene et al., 2012)","noteIndex":27},"citationItems":[{"id":2672,"uris":["http://zotero.org/users/2311545/items/WPPLGHMI"],"uri":["http://zotero.org/users/2311545/items/WPPLGHMI"],"itemData":{"id":2672,"type":"article-journal","abstract":"The genetic determinism of developmental stages in grapevine was studied in the progeny of a cross between grapevine cultivars Riesling and Gewurztraminer by combining ecophysiological modelling, genetic analysis and data mining of the grapevine whole genome sequence. The dates of three phenological stages, budbreak, flowering and veraison, were recorded during four successive years for 120 genotypes in the vineyard. The phenotypic data analysed were the duration of three periods expressed in thermal time (degree-days): 15 February to budbreak (Bud), budbreak to flowering (Flo) and flowering to veraison (Ver). Parental and consensus genetic maps were built using 153 microsatellite markers on 188 individuals. Six independent quantitative trait loci (QTLs) were detected for the three phases. They were located on chromosomes 4 and 19 for Bud, chromosomes 7 and 14 for Flo and chromosomes 16 and 18 for Ver. Interactions were detected between loci and also between alleles at the same locus. Using the available grapevine whole-genome sequences, candidate genes underlying the QTLs were identified. VvFT, on chromosome 7, and a CONSTANS-like gene, on chromosome 14, were found to colocalise with the QTLs for flowering time. Genes related to the abscisic acid response and to sugar metabolism were detected within the confidence intervals of QTLs for veraison time. Their possible roles in the developmental process are discussed. These results raise new hypotheses for a better understanding of the physiological processes governing grapevine phenology and provide a framework for breeding new varieties adapted to the future predicted climatic conditions.","container-title":"Theoretical and Applied Genetics","DOI":"10.1007/s00122-011-1734-1","ISSN":"0040-5752","issue":"4","journalAbbreviation":"Theor. Appl. Genet.","language":"English","note":"WOS:000300245100002","page":"623-635","source":"Web of Science","title":"Towards the adaptation of grapevine varieties to climate change: QTLs and candidate genes for developmental stages","title-short":"Towards the adaptation of grapevine varieties to climate change","volume":"124","author":[{"family":"Duchene","given":"Eric"},{"family":"Butterlin","given":"Gisele"},{"family":"Dumas","given":"Vincent"},{"family":"Merdinoglu","given":"Didier"}],"issued":{"date-parts":[["2012",3]]}}}],"schema":"https://github.com/citation-style-language/schema/raw/master/csl-citation.json"} </w:instrText>
      </w:r>
      <w:r w:rsidRPr="00691DDD">
        <w:rPr>
          <w:lang w:val="fr-FR"/>
        </w:rPr>
        <w:fldChar w:fldCharType="separate"/>
      </w:r>
      <w:r w:rsidRPr="00691DDD">
        <w:rPr>
          <w:rFonts w:ascii="Calibri" w:hAnsi="Calibri" w:cs="Calibri"/>
          <w:lang w:val="fr-FR"/>
        </w:rPr>
        <w:t xml:space="preserve"> </w:t>
      </w:r>
      <w:proofErr w:type="spellStart"/>
      <w:r w:rsidRPr="00691DDD">
        <w:rPr>
          <w:rFonts w:ascii="Calibri" w:hAnsi="Calibri" w:cs="Calibri"/>
          <w:lang w:val="fr-FR"/>
        </w:rPr>
        <w:t>Duchene</w:t>
      </w:r>
      <w:proofErr w:type="spellEnd"/>
      <w:r w:rsidRPr="00691DDD">
        <w:rPr>
          <w:rFonts w:ascii="Calibri" w:hAnsi="Calibri" w:cs="Calibri"/>
          <w:lang w:val="fr-FR"/>
        </w:rPr>
        <w:t xml:space="preserve"> et al., 2012 </w:t>
      </w:r>
      <w:r w:rsidRPr="00691DDD">
        <w:rPr>
          <w:lang w:val="fr-FR"/>
        </w:rPr>
        <w:fldChar w:fldCharType="end"/>
      </w:r>
    </w:p>
  </w:endnote>
  <w:endnote w:id="28">
    <w:p w14:paraId="4A1CE541" w14:textId="4E374B52" w:rsidR="00AD2ABD" w:rsidRPr="00691DDD" w:rsidRDefault="00AD2ABD" w:rsidP="00CD39DD">
      <w:pPr>
        <w:pStyle w:val="Notedefin"/>
        <w:rPr>
          <w:lang w:val="fr-FR"/>
        </w:rPr>
      </w:pPr>
      <w:r w:rsidRPr="00691DDD">
        <w:rPr>
          <w:rStyle w:val="Appeldenotedefin"/>
          <w:vertAlign w:val="baseline"/>
        </w:rPr>
        <w:endnoteRef/>
      </w:r>
      <w:r w:rsidRPr="00691DDD">
        <w:rPr>
          <w:lang w:val="fr-FR"/>
        </w:rPr>
        <w:fldChar w:fldCharType="begin"/>
      </w:r>
      <w:r w:rsidRPr="00691DDD">
        <w:rPr>
          <w:lang w:val="fr-FR"/>
        </w:rPr>
        <w:instrText xml:space="preserve"> ADDIN ZOTERO_ITEM CSL_CITATION {"citationID":"rJAL5Eyo","properties":{"formattedCitation":"(Malacarne et al., 2018)","plainCitation":"(Malacarne et al., 2018)","noteIndex":28},"citationItems":[{"id":3111,"uris":["http://zotero.org/users/2311545/items/QVHRGN5P"],"uri":["http://zotero.org/users/2311545/items/QVHRGN5P"],"itemData":{"id":3111,"type":"article-journal","abstract":"In recent years the scientific community has been heavily engaged in studying the grapevine response to climate change. Final goal is the identification of key genetic traits to be used in grapevine breeding and the setting of agronomic practices to improve climatic resilience. The increasing availability of transcriptomic studies, describing gene expression in many tissues and developmental or treatment conditions, have allowed the implementation of gene expression compendia, which enclose a huge amount of information. The mining of transcriptomic data represents an effective approach to expand a known local gene network (LGN) by finding new related genes. We recently published a pipeline based on the iterative application of the PC-algorithm, named NES2RA, to expand gene networks in Escherichia coli and Arabidopsis thaliana. Here, we propose the application of this method to the grapevine transcriptomic compendium Vespucci, in order to expand four LGNs related to the grapevine response to climate change. Two networks are related to the secondary metabolic pathways for anthocyanin and stilbenoid synthesis, involved in the response to solar radiation, whereas the other two are signaling networks, related to the hormones abscisic acid and ethylene, possibly involved in the regulation of cell water balance and cuticle transpiration. The expansion networks produced by NES2RA algorithm have been evaluated by comparison with experimental data and biological knowledge on the identified genes showing fairly good consistency of the results. In addition, the algorithm was effective in retaining only the most significant interactions among the genes providing a useful framework for experimental validation. The application of the NES2RA to Vitis vinifera expression data by means of the BOINC-based implementation is available upon request (valter.cavecchia@cnr.it).","container-title":"Frontiers in Plant Science","DOI":"10.3389/fpls.2018.01385","ISSN":"1664-462X","journalAbbreviation":"Front. Plant Sci.","language":"English","note":"publisher: Frontiers","source":"Frontiers","title":"Discovering Causal Relationships in Grapevine Expression Data to Expand Gene Networks. A Case Study: Four Networks Related to Climate Change","title-short":"Discovering Causal Relationships in Grapevine Expression Data to Expand Gene Networks. A Case Study","URL":"https://www.frontiersin.org/articles/10.3389/fpls.2018.01385/full","volume":"9","author":[{"family":"Malacarne","given":"Giulia"},{"family":"Pilati","given":"Stefania"},{"family":"Valentini","given":"Samuel"},{"family":"Asnicar","given":"Francesco"},{"family":"Moretto","given":"Marco"},{"family":"Sonego","given":"Paolo"},{"family":"Masera","given":"Luca"},{"family":"Cavecchia","given":"Valter"},{"family":"Blanzieri","given":"Enrico"},{"family":"Moser","given":"Claudio"}],"accessed":{"date-parts":[["2020",6,6]]},"issued":{"date-parts":[["2018"]]}}}],"schema":"https://github.com/citation-style-language/schema/raw/master/csl-citation.json"} </w:instrText>
      </w:r>
      <w:r w:rsidRPr="00691DDD">
        <w:rPr>
          <w:lang w:val="fr-FR"/>
        </w:rPr>
        <w:fldChar w:fldCharType="separate"/>
      </w:r>
      <w:r w:rsidRPr="00691DDD">
        <w:rPr>
          <w:rFonts w:ascii="Calibri" w:hAnsi="Calibri" w:cs="Calibri"/>
          <w:lang w:val="fr-FR"/>
        </w:rPr>
        <w:t xml:space="preserve"> </w:t>
      </w:r>
      <w:proofErr w:type="spellStart"/>
      <w:r w:rsidRPr="00691DDD">
        <w:rPr>
          <w:rFonts w:ascii="Calibri" w:hAnsi="Calibri" w:cs="Calibri"/>
          <w:lang w:val="fr-FR"/>
        </w:rPr>
        <w:t>Malacarne</w:t>
      </w:r>
      <w:proofErr w:type="spellEnd"/>
      <w:r w:rsidRPr="00691DDD">
        <w:rPr>
          <w:rFonts w:ascii="Calibri" w:hAnsi="Calibri" w:cs="Calibri"/>
          <w:lang w:val="fr-FR"/>
        </w:rPr>
        <w:t xml:space="preserve"> et al., 2018 </w:t>
      </w:r>
      <w:r w:rsidRPr="00691DDD">
        <w:rPr>
          <w:lang w:val="fr-FR"/>
        </w:rPr>
        <w:fldChar w:fldCharType="end"/>
      </w:r>
    </w:p>
  </w:endnote>
  <w:endnote w:id="29">
    <w:p w14:paraId="5193CD66" w14:textId="1B79DD94"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{"citationID":"i4TDsyXj","properties":{"formattedCitation":"(Milla\\uc0\\u8208{}Tapia et al., 2013)","plainCitation":"(Milla‐Tapia et al., 2013)","noteIndex":29},"citationItems":[{"id":2773,"uris":["http://zotero.org/users/2311545/items/Z66Q5SU9"],"uri":["http://zotero.org/users/2311545/items/Z66Q5SU9"],"itemData":{"id":2773,"type":"article-journal","abstract":"Background and Aims Grapevine introduction into South America occurred after Spanish colonisation during the 16th century. In Chile, some vines were established in small villages and oases along the Atacama Desert. Considering that these plants have survived harsh environmental conditions, we explored and collected naturalised vines from 18°34′LS (close to the Peruvian border) to 31°53′LS, in order to understand their genetic nature and preserve this germplasm. Methods and Results Over 150 grapevine accessions were collected and characterised using 11 Simple Sequence Repeats (SSR) markers, to determine the genetic diversity and to propose a population structuring. SSR diversity was high, with observed heterozygosity (Ho = 0.87) greater than expected heterozygosity (He = 0.70). Three discrete genetic groups were identified, which did not show any association with geographical distribution. Groups 1 (G1) and G3 had a higher level of genetic diversity and also an important level of heterozygosity. Conclusions The gene pool of naturalised grapevines from the Atacama Desert had a significant genetic diversity and exhibited an important level of heterozygote excess. Clustering of this diversity suggested that this naturalised grapevine germplasm would represent a novel source of allelic variants. Significance of the Study Naturalised and admixed genotypes are potential sources of new alleles, and are a unique source of diversity for grapevine breeding cultivars and/or rootstocks better adapted to the prospect of climate change.","container-title":"Australian Journal of Grape and Wine Research","DOI":"10.1111/ajgw.12020","ISSN":"1755-0238","issue":"2","language":"en","page":"299-310","source":"Wiley Online Library","title":"Naturalised grapevines collected from arid regions in Northern Chile exhibit a high level of genetic diversity","volume":"19","author":[{"family":"Milla‐Tapia","given":"A."},{"family":"Gómez","given":"S."},{"family":"Moncada","given":"X."},{"family":"León","given":"P."},{"family":"Ibacache","given":"A."},{"family":"Rosas","given":"M."},{"family":"Carrasco","given":"B."},{"family":"Hinrichsen","given":"P."},{"family":"Zurita‐Silva","given":"A."}],"issued":{"date-parts":[["2013"]]}}}],"schema":"https://github.com/citation-style-language/schema/raw/master/csl-citation.json"} </w:instrText>
      </w:r>
      <w:r w:rsidRPr="00691DDD">
        <w:fldChar w:fldCharType="separate"/>
      </w:r>
      <w:r w:rsidRPr="00691DDD">
        <w:rPr>
          <w:rFonts w:ascii="Calibri" w:hAnsi="Calibri" w:cs="Calibri"/>
          <w:szCs w:val="24"/>
          <w:lang w:val="fr-FR"/>
        </w:rPr>
        <w:t xml:space="preserve"> </w:t>
      </w:r>
      <w:proofErr w:type="spellStart"/>
      <w:r w:rsidRPr="00691DDD">
        <w:rPr>
          <w:rFonts w:ascii="Calibri" w:hAnsi="Calibri" w:cs="Calibri"/>
          <w:szCs w:val="24"/>
          <w:lang w:val="fr-FR"/>
        </w:rPr>
        <w:t>Milla</w:t>
      </w:r>
      <w:proofErr w:type="spellEnd"/>
      <w:r w:rsidRPr="00691DDD">
        <w:rPr>
          <w:rFonts w:ascii="Calibri" w:hAnsi="Calibri" w:cs="Calibri"/>
          <w:szCs w:val="24"/>
          <w:lang w:val="fr-FR"/>
        </w:rPr>
        <w:t xml:space="preserve">‐Tapia et al., 2013 </w:t>
      </w:r>
      <w:r w:rsidRPr="00691DDD">
        <w:fldChar w:fldCharType="end"/>
      </w:r>
    </w:p>
  </w:endnote>
  <w:endnote w:id="30">
    <w:p w14:paraId="2E3B9347" w14:textId="3C5635D0"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{"citationID":"XyiPxtsi","properties":{"formattedCitation":"(Amendola et al., 2017)","plainCitation":"(Amendola et al., 2017)","noteIndex":30},"citationItems":[{"id":2285,"uris":["http://zotero.org/users/2311545/items/UHZJ6UTQ"],"uri":["http://zotero.org/users/2311545/items/UHZJ6UTQ"],"itemData":{"id":2285,"type":"article-journal","abstract":"Application of biochar to the soil is globally recognised as a means to improve soil structure and fertility, increase carbon sequestration, enhance crop production and mitigate climate change. However, although the fine root system is fundamental for plant growth, crop productivity, carbon and nutrient cycling, little is known about the effect of biochar on plant fine roots. This study, conducted in a Montepulciano (Vitis vinifera L.) vineyard, was aimed at investigating the impact of biochar application (at the rate of 10tha−1) on soil chemical and physical properties, fine root dynamics and arbuscular mycorrhizal fungi (AMF) production during a one-year sampling period. To this aim, seasonal variation of fine root mass, length and diameter was measured by the sequential coring technique, whereas fine root annual production was calculated by minimum-maximum procedure and turnover rate of live roots by maximum standing biomass. For AMF annual production, in-growth mesh bags were used to measure glomalin as quantitative indicator of mycorrhizae presence. Results showed that biochar significantly increased organic carbon (20.7%), available ammonium (84.4%), and available water content of the soil (11.8%), while it also promoted the formation of the large fraction of macro aggregates (ø&gt;2mm; 3.1% control; 5.5% treated). Cation exchange capacity, pH, total nitrogen content, and total and available phosphorus content remained unaffected. Immediately after biochar soil amendment, while fine root length remained unchanged, a significant increase in fine root biomass was measured resulting in a higher mean annual biomass (8.56gm−2 control; 13.34gm−2 treated), annual production (8.71gm−2 control; 12.7gm−2 treated) and lifespan (as evidenced by a lower turnover rate; 1.02 yr−1 control; 0.95 yr−1 treated). Moreover, the increase of fine root biomass resulted to be associated with radial growth since mean fine root diameter was significantly higher in biochar-treated plants (0.56mm) than in control plants (0.46mm). Biochar had no significant effect on the annual production of AMF. The results of the present study show that the improvements of soil chemical and physical features due to biochar application have an immediate effect on fine root dynamics and morphology. Furthermore, the increase of fine root biomass is mainly due to radial growth and occurs during the water shortage period, supporting fruit setting and ripening in grapevine plants.","container-title":"Agriculture, Ecosystems &amp; Environment","DOI":"10.1016/j.agee.2017.01.025","ISSN":"0167-8809","journalAbbreviation":"Agriculture, Ecosystems &amp; Environment","page":"236-245","source":"ScienceDirect","title":"Short-term effects of biochar on grapevine fine root dynamics and arbuscular mycorrhizae production","volume":"239","author":[{"family":"Amendola","given":"C."},{"family":"Montagnoli","given":"A."},{"family":"Terzaghi","given":"M."},{"family":"Trupiano","given":"D."},{"family":"Oliva","given":"F."},{"family":"Baronti","given":"S."},{"family":"Miglietta","given":"F."},{"family":"Chiatante","given":"D."},{"family":"Scippa","given":"G. S."}],"issued":{"date-parts":[["2017",2,15]]}}}],"schema":"https://github.com/citation-style-language/schema/raw/master/csl-citation.json"}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Amendola</w:t>
      </w:r>
      <w:proofErr w:type="spellEnd"/>
      <w:r w:rsidRPr="00691DDD">
        <w:rPr>
          <w:rFonts w:ascii="Calibri" w:hAnsi="Calibri" w:cs="Calibri"/>
          <w:lang w:val="fr-FR"/>
        </w:rPr>
        <w:t xml:space="preserve"> et al., 2017 </w:t>
      </w:r>
      <w:r w:rsidRPr="00691DDD">
        <w:fldChar w:fldCharType="end"/>
      </w:r>
    </w:p>
  </w:endnote>
  <w:endnote w:id="31">
    <w:p w14:paraId="3E8DE0BC" w14:textId="5074B537"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{"citationID":"MTK0KH3f","properties":{"formattedCitation":"(Valentini et al., 2019)","plainCitation":"(Valentini et al., 2019)","noteIndex":31},"citationItems":[{"id":2121,"uris":["http://zotero.org/users/2311545/items/NE72PI9U"],"uri":["http://zotero.org/users/2311545/items/NE72PI9U"],"itemData":{"id":2121,"type":"article-journal","abstract":"BACKGROUND: Vineyard strategies have recently been developed to fight the effects of global warming on grapevine, which is causing fast grape ripening, excessive sugar accumulation in berries and high alcohol levels in wines. Among these, we evaluate the effectiveness of post-veraison trimming to slow down sugar accumulation without modifying phenolic ripening, in Sangiovese vines grown in highly fertile and wellwatered soil.\nRESULTS: The removal of about two thirds of leaf area by shoot trimming after veraison led to sugar content reduction without effect on yield. Total and extractable anthocyanins, skin and seed tannins showed no significant variation at harvest after the treatment during the three years trial, while the replenishment of carbohydrates in canes at the end of the trial was negatively affected.\nCONCLUSIONS: These results indicate that in highly fertile and well-watered soil, post-veraison trimming may represent a powerful tool for decreasing sugar concentration at harvest without affecting yield and total and extractable phenolic compounds but, the starch reserves reduction compared to the control serves as a warning about repeated trimming over the years.","container-title":"Journal of the Science of Food and Agriculture","DOI":"10.1002/jsfa.9311","ISSN":"00225142","issue":"3","language":"en","page":"1358-1365","source":"Crossref","title":"Post-veraison trimming slow down sugar accumulation without modifying phenolic ripening in Sangiovese vines: Post-veraison trimming of Sangiovese vines","title-short":"Post-veraison trimming slow down sugar accumulation without modifying phenolic ripening in Sangiovese vines","volume":"99","author":[{"family":"Valentini","given":"Gabriele"},{"family":"Allegro","given":"Gianluca"},{"family":"Pastore","given":"Chiara"},{"family":"Colucci","given":"Emilia"},{"family":"Filippetti","given":"Ilaria"}],"issued":{"date-parts":[["2019",2]]}}}],"schema":"https://github.com/citation-style-language/schema/raw/master/csl-citation.json"} </w:instrText>
      </w:r>
      <w:r w:rsidRPr="00691DDD">
        <w:fldChar w:fldCharType="separate"/>
      </w:r>
      <w:r w:rsidRPr="00691DDD">
        <w:rPr>
          <w:rFonts w:ascii="Calibri" w:hAnsi="Calibri" w:cs="Calibri"/>
          <w:lang w:val="fr-FR"/>
        </w:rPr>
        <w:t xml:space="preserve"> Valentini et al., 2019 </w:t>
      </w:r>
      <w:r w:rsidRPr="00691DDD">
        <w:fldChar w:fldCharType="end"/>
      </w:r>
    </w:p>
  </w:endnote>
  <w:endnote w:id="32">
    <w:p w14:paraId="63F3733F" w14:textId="28CBF026"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{"citationID":"j7r2vuoM","properties":{"formattedCitation":"(Santesteban et al., 2017)","plainCitation":"(Santesteban et al., 2017)","noteIndex":32},"citationItems":[{"id":3108,"uris":["http://zotero.org/users/2311545/items/XFKKQ3TY"],"uri":["http://zotero.org/users/2311545/items/XFKKQ3TY"],"itemData":{"id":3108,"type":"article-journal","container-title":"OENO One","DOI":"10.20870/oeno-one.2017.51.2.1583","ISSN":"2494-1271","issue":"2","language":"en","note":"number: 2","page":"191-203","source":"oeno-one.eu","title":"Severe trimming and enhanced competition of laterals as a tool to delay ripening in Tempranillo vineyards under semiarid conditions","volume":"51","author":[{"family":"Santesteban","given":"Luis Gonzaga"},{"family":"Miranda","given":"Carlos"},{"family":"Urrestarazu","given":"Jorge"},{"family":"Loidi","given":"Maite"},{"family":"Royo","given":"José Bernardo"}],"issued":{"date-parts":[["2017",5,15]]}}}],"schema":"https://github.com/citation-style-language/schema/raw/master/csl-citation.json"}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Santesteban</w:t>
      </w:r>
      <w:proofErr w:type="spellEnd"/>
      <w:r w:rsidRPr="00691DDD">
        <w:rPr>
          <w:rFonts w:ascii="Calibri" w:hAnsi="Calibri" w:cs="Calibri"/>
          <w:lang w:val="fr-FR"/>
        </w:rPr>
        <w:t xml:space="preserve"> et al., 2017 </w:t>
      </w:r>
      <w:r w:rsidRPr="00691DDD">
        <w:fldChar w:fldCharType="end"/>
      </w:r>
    </w:p>
  </w:endnote>
  <w:endnote w:id="33">
    <w:p w14:paraId="0D9927C2" w14:textId="35B98BCD"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{"citationID":"thZsmJP4","properties":{"formattedCitation":"(Wolkovich et al., 2017)","plainCitation":"(Wolkovich et al., 2017)","noteIndex":33},"citationItems":[{"id":2002,"uris":["http://zotero.org/users/2311545/items/P7SYLL82"],"uri":["http://zotero.org/users/2311545/items/P7SYLL82"],"itemData":{"id":2002,"type":"article-journal","container-title":"Journal of Ecology","DOI":"10.1111/1365-2745.12786","ISSN":"00220477","issue":"4","language":"en","page":"905-912","source":"Crossref","title":"Phenological diversity provides opportunities for climate change adaptation in winegrapes","volume":"105","author":[{"family":"Wolkovich","given":"E. M."},{"family":"Burge","given":"D. O."},{"family":"Walker","given":"M. A."},{"family":"Nicholas","given":"K. A."}],"editor":[{"family":"Gibson","given":"David"}],"issued":{"date-parts":[["2017",7]]}}}],"schema":"https://github.com/citation-style-language/schema/raw/master/csl-citation.json"}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Wolkovich</w:t>
      </w:r>
      <w:proofErr w:type="spellEnd"/>
      <w:r w:rsidRPr="00691DDD">
        <w:rPr>
          <w:rFonts w:ascii="Calibri" w:hAnsi="Calibri" w:cs="Calibri"/>
          <w:lang w:val="fr-FR"/>
        </w:rPr>
        <w:t xml:space="preserve"> et al., 2017 </w:t>
      </w:r>
      <w:r w:rsidRPr="00691DDD">
        <w:fldChar w:fldCharType="end"/>
      </w:r>
    </w:p>
  </w:endnote>
  <w:endnote w:id="34">
    <w:p w14:paraId="4796F838" w14:textId="1D11FA09"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{"citationID":"6g0HvMdx","properties":{"formattedCitation":"(Petrie et al., 2017)","plainCitation":"(Petrie et al., 2017)","noteIndex":34},"citationItems":[{"id":2329,"uris":["http://zotero.org/users/2311545/items/9NDCN3XW"],"uri":["http://zotero.org/users/2311545/items/9NDCN3XW"],"itemData":{"id":2329,"type":"article-journal","abstract":"Background and Aims The shift in phenological development is the most conspicuous biological effect of climate change in vineyards worldwide. Associated with the advancement in maturity there has been a compression of the harvest period that places significant pressure on vineyard and winery infrastructure. Our aims were to test the feasibility of using delayed pruning as a tool to delay ripening and decompress maturity, to establish how much pruning can be delayed before compromising yield, and to compare the response of Cabernet Sauvignon and Shiraz. Methods and Results Five pruning dates (from winter up to 3 weeks after budburst) were applied in a commercial vineyard, and we monitored phenology, fruit maturation, and measured yield and its components. The maturation, as determined by sugar concentration, was delayed by up to 3 weeks in Shiraz and by 2 weeks in Cabernet Sauvignon. The yield response varied between pruning dates. The Shiraz vines pruned at the latest phenological stage (E-L 15) recorded a reduction in yield of over 50%; the yield of the other treatments ranged from a 24% reduction to a 55% increase relative to that of the Control. Conclusion Maturity was delayed with mostly neutral or positive effects on fruit composition. Significance of the Study Delayed pruning offers a real and cost-effective tool to allow the Australian wine industry to adapt to climate change by delaying ripening and decompressing harvest.","container-title":"Australian Journal of Grape and Wine Research","DOI":"10.1111/ajgw.12303","ISSN":"1755-0238","issue":"3","language":"en","page":"378-389","source":"Wiley Online Library","title":"Pruning after budburst to delay and spread grape maturity","volume":"23","author":[{"family":"Petrie","given":"P. R."},{"family":"Brooke","given":"S. J."},{"family":"Moran","given":"M. A."},{"family":"Sadras","given":"V. O."}],"issued":{"date-parts":[["2017"]]}}}],"schema":"https://github.com/citation-style-language/schema/raw/master/csl-citation.json"} </w:instrText>
      </w:r>
      <w:r w:rsidRPr="00691DDD">
        <w:fldChar w:fldCharType="separate"/>
      </w:r>
      <w:r w:rsidRPr="00691DDD">
        <w:rPr>
          <w:rFonts w:ascii="Calibri" w:hAnsi="Calibri" w:cs="Calibri"/>
          <w:lang w:val="fr-FR"/>
        </w:rPr>
        <w:t xml:space="preserve"> Petrie et al., 2017 </w:t>
      </w:r>
      <w:r w:rsidRPr="00691DDD">
        <w:fldChar w:fldCharType="end"/>
      </w:r>
    </w:p>
  </w:endnote>
  <w:endnote w:id="35">
    <w:p w14:paraId="05BD65C6" w14:textId="3F7B21A9"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{"citationID":"8996CKkD","properties":{"formattedCitation":"(Gil et al., 2018; Molitor et al., 2019)","plainCitation":"(Gil et al., 2018; Molitor et al., 2019)","dontUpdate":true,"noteIndex":35},"citationItems":[{"id":1501,"uris":["http://zotero.org/users/2311545/items/AIB6X9BV"],"uri":["http://zotero.org/users/2311545/items/AIB6X9BV"],"itemData":{"id":1501,"type":"article-journal","abstract":"The e</w:instrText>
      </w:r>
      <w:r w:rsidRPr="00691DDD">
        <w:instrText>ﬀ</w:instrText>
      </w:r>
      <w:r w:rsidRPr="00691DDD">
        <w:rPr>
          <w:lang w:val="fr-FR"/>
        </w:rPr>
        <w:instrText>ects of irrigation water savings by partial root zone drying (PRD) irrigation, shading or mulching on physiology, growth, yield, and wine quality of ‘Syrah’ grapevine (Vitis vinifera L.) was investigated. The study was conducted in a vineyard at two di</w:instrText>
      </w:r>
      <w:r w:rsidRPr="00691DDD">
        <w:instrText>ﬀ</w:instrText>
      </w:r>
      <w:r w:rsidRPr="00691DDD">
        <w:rPr>
          <w:lang w:val="fr-FR"/>
        </w:rPr>
        <w:instrText>erent sites, each with a di</w:instrText>
      </w:r>
      <w:r w:rsidRPr="00691DDD">
        <w:instrText>ﬀ</w:instrText>
      </w:r>
      <w:r w:rsidRPr="00691DDD">
        <w:rPr>
          <w:lang w:val="fr-FR"/>
        </w:rPr>
        <w:instrText>erent soil type and vegetation index. Plants were subjected to the following four treatments: T0) control, with conventional irrigation regimes used by local growers; T1) shade cloth covering the vine canopy resulting in a 50% reduction in irrigation volume compared to the control; T2) double color plastic mulch (white color facing up and black on the inside facing the soil) resulting in a 50% reduction in irrigation volume compared to the control; and T3) PRD irrigation resulting in a 50% reduction in irrigation volume compared to the control. In general, the use of PRD irrigation, shade cloth or plastic mulch did not signi</w:instrText>
      </w:r>
      <w:r w:rsidRPr="00691DDD">
        <w:instrText>ﬁ</w:instrText>
      </w:r>
      <w:r w:rsidRPr="00691DDD">
        <w:rPr>
          <w:lang w:val="fr-FR"/>
        </w:rPr>
        <w:instrText>cantly a</w:instrText>
      </w:r>
      <w:r w:rsidRPr="00691DDD">
        <w:instrText>ﬀ</w:instrText>
      </w:r>
      <w:r w:rsidRPr="00691DDD">
        <w:rPr>
          <w:lang w:val="fr-FR"/>
        </w:rPr>
        <w:instrText>ect the physiological, growth or yield variables measured, except for fruit cluster weight, which was lower in T3 than in the other treatments, and wine alcohol and polyphenol content, which were higher in T3 than in the other treatments. Shade cloth and plastic mulch treatments resulted in a 50% reduction in water use with no detrimental e</w:instrText>
      </w:r>
      <w:r w:rsidRPr="00691DDD">
        <w:instrText>ﬀ</w:instrText>
      </w:r>
      <w:r w:rsidRPr="00691DDD">
        <w:rPr>
          <w:lang w:val="fr-FR"/>
        </w:rPr>
        <w:instrText xml:space="preserve">ects on plant physiology, yield, or wine quality. In addition to a 50% reduction in the amount of irrigation water applied, PRD irrigation also improved wine quality by increasing alcohol and polyphenol contents.","container-title":"Scientia Horticulturae","DOI":"10.1016/j.scienta.2018.06.050","ISSN":"03044238","language":"en","page":"478-483","source":"Crossref","title":"Partial root-zone drying irrigation, shading, or mulching effects on water savings, productivity and quality of ‘Syrah’ grapevines","volume":"240","author":[{"family":"Gil","given":"P.M."},{"family":"Lobos","given":"P."},{"family":"Durán","given":"K."},{"family":"Olguín","given":"J."},{"family":"Cea","given":"D."},{"family":"Schaffer","given":"B."}],"issued":{"date-parts":[["2018",10]]}}},{"id":2248,"uris":["http://zotero.org/users/2311545/items/QQVFQUNV"],"uri":["http://zotero.org/users/2311545/items/QQVFQUNV"],"itemData":{"id":2248,"type":"article-journal","abstract":"The low-input viticultural training system &amp;lsquo;Semi-minimal pruned hedge&amp;rsquo; (SMPH) is progressively being more widely applied in the Central European grapegrowing regions. The present study examined the influence of (i) the training system (SMPH versus the vertical shoot position (VSP) system), (ii) the timing of shoot topping in SMPH, and (iii) the effects of mechanical thinning in SMPH on the bunch rot epidemic, grape maturity, and yield. Six-year field trials on Pinot blanc in Luxembourg demonstrated that yield levels in non-thinned SMPH treatments were 74% higher, and total soluble solids (TSS) at harvest 2.2 brix lower than in VSP. Non-thinned SMPH delayed the bunch rot epidemic and the maturity progress by 18 and 11 days compared to VSP, respectively. Different shoot-topping timings in SMPH did not affect the tested parameters. Mechanical thinning regimes reduced the yield by 28% (moderate thinning) and 53% (severe thinning) compared to non-thinned SMPH and increased TSS by 0.8 and 1.3 brix, respectively. Delayed bunch rot epidemic and maturity progress give rise to the opportunity for a longer maturity period in cooler conditions, making this system of particular interest in future, warmer climatic conditions. Providing that yield levels are managed properly, SMPH might represent an interesting climate change adaptation strategy.","container-title":"Agronomy","DOI":"10.3390/agronomy9040173","issue":"4","language":"en","page":"173","source":"www.mdpi.com","title":"Semi-Minimal Pruned Hedge: A Potential Climate Change Adaptation Strategy in Viticulture","title-short":"Semi-Minimal Pruned Hedge","volume":"9","author":[{"family":"Molitor","given":"Daniel"},{"family":"Schultz","given":"Mareike"},{"family":"Mannes","given":"Robert"},{"family":"Pallez-Barthel","given":"Marine"},{"family":"Hoffmann","given":"Lucien"},{"family":"Beyer","given":"Marco"}],"issued":{"date-parts":[["2019",4]]}}}],"schema":"https://github.com/citation-style-language/schema/raw/master/csl-citation.json"} </w:instrText>
      </w:r>
      <w:r w:rsidRPr="00691DDD">
        <w:fldChar w:fldCharType="separate"/>
      </w:r>
      <w:r w:rsidRPr="00691DDD">
        <w:rPr>
          <w:rFonts w:ascii="Calibri" w:hAnsi="Calibri" w:cs="Calibri"/>
          <w:lang w:val="fr-FR"/>
        </w:rPr>
        <w:t xml:space="preserve">  Molitor et al., 2019 </w:t>
      </w:r>
      <w:r w:rsidRPr="00691DDD">
        <w:fldChar w:fldCharType="end"/>
      </w:r>
    </w:p>
  </w:endnote>
  <w:endnote w:id="36">
    <w:p w14:paraId="4DF5FFD9" w14:textId="2062D6F6"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{"citationID":"wCTFuAac","properties":{"formattedCitation":"(Diffenbaugh et al., 2011)","plainCitation":"(Diffenbaugh et al., 2011)","noteIndex":36},"citationItems":[{"id":2671,"uris":["http://zotero.org/users/2311545/items/JYBYGMFT"],"uri":["http://zotero.org/users/2311545/items/JYBYGMFT"],"itemData":{"id":2671,"type":"article-journal","abstract":"Design and implementation of effective climate change adaptation activities requires quantitative assessment of the impacts that are likely to occur without adaptation, as well as the fraction of impact that can be avoided through each activity. Here we present a quantitative framework inspired by the greenhouse gas stabilization wedges of Pacala and Socolow. In our proposed framework, the damage avoided by each adaptation activity creates an ‘adaptation wedge’ relative to the loss that would occur without that adaptation activity. We use premium winegrape suitability in the western United States as an illustrative case study, focusing on the near-term period that covers the years 2000–39. We ﬁnd that the projected warming over this period results in the loss of suitable winegrape area throughout much of California, including most counties in the high-value North Coast and Central Coast regions. However, in quantifying adaptation wedges for individual high-value counties, we ﬁnd that a large adaptation wedge can be captured by increasing the severe heat tolerance, including elimination of the 50% loss projected by the end of the 2030–9 period in the North Coast region, and reduction of the projected loss in the Central Coast region from 30% to less than 15%. Increased severe heat tolerance can capture an even larger adaptation wedge in the Paciﬁc Northwest, including conversion of a projected loss of more than 30% in the Columbia Valley region of Washington to a projected gain of more than 150%. We also ﬁnd that warming projected over the near-term decades has the potential to alter the quality of winegrapes produced in the western US, and we discuss potential actions that could create adaptation wedges given these potential changes in quality. While the present effort represents an initial exploration of one aspect of one industry, the climate adaptation wedge framework could be used to quantitatively evaluate the opportunities and limits of climate adaptation within and across a broad range of natural and human systems.","container-title":"Environmental Research Letters","DOI":"10.1088/1748-9326/6/2/024024","ISSN":"1748-9326","issue":"2","journalAbbreviation":"Environ. Res. Lett.","language":"en","page":"024024","source":"DOI.org (Crossref)","title":"Climate adaptation wedges: a case study of premium wine in the western United States","title-short":"Climate adaptation wedges","volume":"6","author":[{"family":"Diffenbaugh","given":"Noah S"},{"family":"White","given":"Michael A"},{"family":"Jones","given":"Gregory V"},{"family":"Ashfaq","given":"Moetasim"}],"issued":{"date-parts":[["2011",4,1]]}}}],"schema":"https://github.com/citation-style-language/schema/raw/master/csl-citation.json"}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Diffenbaugh</w:t>
      </w:r>
      <w:proofErr w:type="spellEnd"/>
      <w:r w:rsidRPr="00691DDD">
        <w:rPr>
          <w:rFonts w:ascii="Calibri" w:hAnsi="Calibri" w:cs="Calibri"/>
          <w:lang w:val="fr-FR"/>
        </w:rPr>
        <w:t xml:space="preserve"> et al., 2011 </w:t>
      </w:r>
      <w:r w:rsidRPr="00691DDD">
        <w:fldChar w:fldCharType="end"/>
      </w:r>
    </w:p>
  </w:endnote>
  <w:endnote w:id="37">
    <w:p w14:paraId="7164F408" w14:textId="75C5F349"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{"citationID":"yiJwJwd0","properties":{"formattedCitation":"(Hannah et al., 2013)","plainCitation":"(Hannah et al., 2013)","noteIndex":37},"citationItems":[{"id":1368,"uris":["http://zotero.org/users/2311545/items/9FTRA75M"],"uri":["http://zotero.org/users/2311545/items/9FTRA75M"],"itemData":{"id":1368,"type":"article-journal","container-title":"Proceedings of the National Academy of Sciences","issue":"17","page":"6907–6912","source":"Google Scholar","title":"Climate change, wine, and conservation","volume":"110","author":[{"family":"Hannah","given":"Lee"},{"family":"Roehrdanz","given":"Patrick R."},{"family":"Ikegami","given":"Makihiko"},{"family":"Shepard","given":"Anderson V."},{"family":"Shaw","given":"M. Rebecca"},{"family":"Tabor","given":"Gary"},{"family":"Zhi","given":"Lu"},{"family":"Marquet","given":"Pablo A."},{"family":"Hijmans","given":"Robert J."}],"issued":{"date-parts":[["2013"]]}}}],"schema":"https://github.com/citation-style-language/schema/raw/master/csl-citation.json"} </w:instrText>
      </w:r>
      <w:r w:rsidRPr="00691DDD">
        <w:fldChar w:fldCharType="separate"/>
      </w:r>
      <w:r w:rsidRPr="00691DDD">
        <w:rPr>
          <w:rFonts w:ascii="Calibri" w:hAnsi="Calibri" w:cs="Calibri"/>
          <w:lang w:val="fr-FR"/>
        </w:rPr>
        <w:t xml:space="preserve"> Hannah et al., 2013 </w:t>
      </w:r>
      <w:r w:rsidRPr="00691DDD">
        <w:fldChar w:fldCharType="end"/>
      </w:r>
    </w:p>
  </w:endnote>
  <w:endnote w:id="38">
    <w:p w14:paraId="48F2CCB1" w14:textId="71048EAC"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rFonts w:ascii="Calibri" w:hAnsi="Calibri" w:cs="Calibri"/>
        </w:rPr>
        <w:fldChar w:fldCharType="begin"/>
      </w:r>
      <w:r>
        <w:rPr>
          <w:rFonts w:ascii="Calibri" w:hAnsi="Calibri" w:cs="Calibri"/>
          <w:lang w:val="fr-FR"/>
        </w:rPr>
        <w:instrText xml:space="preserve"> ADDIN ZOTERO_ITEM CSL_CITATION {"citationID":"4nX9VI3f","properties":{"formattedCitation":"(Fraga et al., 2018)","plainCitation":"(Fraga et al., 2018)","dontUpdate":true,"noteIndex":38},"citationItems":[{"id":1759,"uris":["http://zotero.org/users/2311545/items/5ZXAQKEI"],"uri":["http://zotero.org/users/2311545/items/5ZXAQKEI"],"itemData":{"id":1759,"type":"article-journal","abstract":"Air temperatures play a major role on temperate fruit development, and the projected future warming may thereby bring additional threats. The present study aims at analyzing the impacts of climate change on chilling and heat forcing on European vineyards and olive (V&amp;O) orchards. Chilling portions (CP) and growing degree hours (GDH) were computed yearly for the recent past (1989–2005) and the RCP4.5 and RCP8.5 future scenarios (2021–2080), using several regional-global climate models, also considering model uncertainties and biases. Additionally, minimum CP and GDH values found in 90% of all years were also computed. These metrics were then extracted to the current location of V&amp;O in Europe, and CP-GDH delimitations were assessed. For recent past, high CP values are found in north-central European regions, while lower values tend to exist on opposite sides of Europe. Regarding forcing, southern European regions currently show the highest GDH values. Future projections point to an increased warming, particularly under RCP8.5 and for 2041 onwards. A lower/higher CP is projected for south-western/eastern Europe, while most of Europe is projected to have higher GDH. Northern-central European V&amp;O orchards should still have future CP-GDH similar to present values, while most of southern European orchards are expected to have much lower CP and higher GDH, especially under RCP8.5. These changes may bring limitations to some of the world most important V&amp;O producers, such as Spain, Italy and Portugal. The planning of suitable adaptation measures against these threats is critical for the future sustainability of the European V&amp;O sectors.","container-title":"Climatic Change","DOI":"10.1007/s10584-018-2337-5","ISSN":"0165-0009, 1573-1480","language":"en","source":"Crossref","title":"Climate change projections for chilling and heat forcing conditions in European vineyards and olive orchards: a multi-model assessment","title-short":"Climate change projections for chilling and heat forcing conditions in European vineyards and olive orchards","URL":"http://link.springer.com/10.1007/s10584-018-2337-5","author":[{"family":"Fraga","given":"Helder"},{"family":"Pinto","given":"Joaquim G."},{"family":"Santos","given":"João A."}],"accessed":{"date-parts":[["2018",12,6]]},"issued":{"date-parts":[["2018",11,28]]}}}],"schema":"https://github.com/citation-style-language/schema/raw/master/csl-citation.json"} </w:instrText>
      </w:r>
      <w:r w:rsidRPr="00691DDD">
        <w:rPr>
          <w:rFonts w:ascii="Calibri" w:hAnsi="Calibri" w:cs="Calibri"/>
        </w:rPr>
        <w:fldChar w:fldCharType="separate"/>
      </w:r>
      <w:r w:rsidRPr="00691DDD">
        <w:rPr>
          <w:rFonts w:ascii="Calibri" w:hAnsi="Calibri" w:cs="Calibri"/>
          <w:lang w:val="fr-FR"/>
        </w:rPr>
        <w:t xml:space="preserve"> Fraga et al., 2018 </w:t>
      </w:r>
      <w:r w:rsidRPr="00691DDD">
        <w:rPr>
          <w:rFonts w:ascii="Calibri" w:hAnsi="Calibri" w:cs="Calibri"/>
        </w:rPr>
        <w:fldChar w:fldCharType="end"/>
      </w:r>
    </w:p>
  </w:endnote>
  <w:endnote w:id="39">
    <w:p w14:paraId="25A390D2" w14:textId="34573A29"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lang w:val="fr-FR"/>
        </w:rPr>
        <w:fldChar w:fldCharType="begin"/>
      </w:r>
      <w:r w:rsidRPr="00691DDD">
        <w:rPr>
          <w:lang w:val="fr-FR"/>
        </w:rPr>
        <w:instrText xml:space="preserve"> ADDIN ZOTERO_ITEM CSL_CITATION {"citationID":"csI0VgDX","properties":{"formattedCitation":"(Sabir, 2016)","plainCitation":"(Sabir, 2016)","noteIndex":39},"citationItems":[{"id":2803,"uris":["http://zotero.org/users/2311545/items/94LVX9V6"],"uri":["http://zotero.org/users/2311545/items/94LVX9V6"],"itemData":{"id":2803,"type":"article-journal","abstract":"Plant growth and reproductivity of grape cv. 'Italia' subjected to two different irrigation levels in controlled glasshouse were investigated over 2 years. Initially, two years old vines were grafted on 5 BB (V. berlandieri Planch.×V. riparia Michx.), 99 R (V. berlandieri Planch.×V. rupestris Scheele) rootstocks or on its own root system in 40 L pots. During the cultivation, half of the vines of each experimental group were Fully Irrigated (FI: 100% of field capacity) while the others were subjected to continuous Deficit Irrigation (DI: 40% of field capacity). During the study, significant negative effects of DI on plant vegetative development and physiology were observed. The lignified shoot length of vine on 5 BB rootstock decreased by 29.1% under DI as compared to growth under FI. On the other hand, the vine with 99 R rootstock decreased by 18.2% under DI as compared to lignified shoot growth under FI, while a 20.1% decrease occurred for own root (DI vs. FI). Also, DI regime resulted in slight decreases in P, K, and Ca status of leaves, while Zn and Cu concentrations were significantly higher in the vines subjected to DI. DI resulted in reduced cluster weight and vine yield in varying degrees with respect to rootstock usage. Under DI condition, the vines on 99 R yielded better than those on 5 BB, but vines on on 5 BB reacted adversely to DI. Considering the overall findings, grapevines cv. 'Italia' on 99 R exhibited higher drought tolerance than 5 BB. Rootstocks had slight impairing effects on physiological traits, yield, and mineral acquisition of grapevine cv. 'Italia' as compared to own-rooted.","language":"en","page":"13","source":"Zotero","title":"Vegetative and Reproductive Growth Responses of Grapevine cv. 'Italia' (Vitis vinifera L.) Grafted on Different Rootstocks to Contrasting Soil Water Status","author":[{"family":"Sabir","given":"A"}],"issued":{"date-parts":[["2016"]]}}}],"schema":"https://github.com/citation-style-language/schema/raw/master/csl-citation.json"} </w:instrText>
      </w:r>
      <w:r w:rsidRPr="00691DDD">
        <w:rPr>
          <w:lang w:val="fr-FR"/>
        </w:rPr>
        <w:fldChar w:fldCharType="separate"/>
      </w:r>
      <w:r w:rsidRPr="00691DDD">
        <w:rPr>
          <w:rFonts w:ascii="Calibri" w:hAnsi="Calibri"/>
          <w:lang w:val="fr-FR"/>
        </w:rPr>
        <w:t xml:space="preserve"> Sabir, 2016 </w:t>
      </w:r>
      <w:r w:rsidRPr="00691DDD">
        <w:rPr>
          <w:lang w:val="fr-FR"/>
        </w:rPr>
        <w:fldChar w:fldCharType="end"/>
      </w:r>
    </w:p>
  </w:endnote>
  <w:endnote w:id="40">
    <w:p w14:paraId="0EF79F0F" w14:textId="2D55A0A5"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rFonts w:ascii="Calibri" w:hAnsi="Calibri" w:cs="Calibri"/>
        </w:rPr>
        <w:fldChar w:fldCharType="begin"/>
      </w:r>
      <w:r w:rsidRPr="00691DDD">
        <w:rPr>
          <w:rFonts w:ascii="Calibri" w:hAnsi="Calibri" w:cs="Calibri"/>
          <w:lang w:val="fr-FR"/>
        </w:rPr>
        <w:instrText xml:space="preserve"> ADDIN ZOTERO_ITEM CSL_CITATION {"citationID":"BjGhEJAq","properties":{"formattedCitation":"(Genesio et al., 2015)","plainCitation":"(Genesio et al., 2015)","noteIndex":40},"citationItems":[{"id":2718,"uris":["http://zotero.org/users/2311545/items/VC4DJN2A"],"uri":["http://zotero.org/users/2311545/items/VC4DJN2A"],"itemData":{"id":2718,"type":"article-journal","abstract":"Biochar application to agricultural soils has proved to substantially modify the plant–soil–water relationship and lead mostly to a quantitative increase in agricultural production through physical, chemical and biological mechanisms. Nevertheless, the impact of biochar on qualitative traits of agricultural production needs to be further assessed. The effect of biochar application on vine yield and grape quality parameters is here investigated in a non-irrigated vineyard in Tuscany (central Italy). Results from four harvest-years showed a higher productivity, up to 66%, of treated plots with respect to their controls, while no significant differences were observed in grape quality parameters. The observed increase in productivity was inversely correlated with rainfall in the vegetative period, confirming the key role of biochar in regulating plant water availability. These findings support the feasibility of a biochar-based strategy as an effective adaptation measure to reduce the impact of water stress periods with no negative effects on grape quality.","container-title":"Agriculture, Ecosystems &amp; Environment","DOI":"10.1016/j.agee.2014.11.021","ISSN":"0167-8809","journalAbbreviation":"Agriculture, Ecosystems &amp; Environment","page":"20-25","source":"ScienceDirect","title":"Biochar increases vineyard productivity without affecting grape quality: Results from a four years field experiment in Tuscany","title-short":"Biochar increases vineyard productivity without affecting grape quality","volume":"201","author":[{"family":"Genesio","given":"Lorenzo"},{"family":"Miglietta","given":"Franco"},{"family":"Baronti","given":"Silvia"},{"family":"Vaccari","given":"Francesco P."}],"issued":{"date-parts":[["2015",3,1]]}}}],"schema":"https://github.com/citation-style-language/schema/raw/master/csl-citation.json"} </w:instrText>
      </w:r>
      <w:r w:rsidRPr="00691DDD">
        <w:rPr>
          <w:rFonts w:ascii="Calibri" w:hAnsi="Calibri" w:cs="Calibri"/>
        </w:rPr>
        <w:fldChar w:fldCharType="separate"/>
      </w:r>
      <w:r w:rsidRPr="00691DDD">
        <w:rPr>
          <w:rFonts w:ascii="Calibri" w:hAnsi="Calibri" w:cs="Calibri"/>
          <w:lang w:val="fr-FR"/>
        </w:rPr>
        <w:t xml:space="preserve"> </w:t>
      </w:r>
      <w:proofErr w:type="spellStart"/>
      <w:r w:rsidRPr="00691DDD">
        <w:rPr>
          <w:rFonts w:ascii="Calibri" w:hAnsi="Calibri" w:cs="Calibri"/>
          <w:lang w:val="fr-FR"/>
        </w:rPr>
        <w:t>Genesio</w:t>
      </w:r>
      <w:proofErr w:type="spellEnd"/>
      <w:r w:rsidRPr="00691DDD">
        <w:rPr>
          <w:rFonts w:ascii="Calibri" w:hAnsi="Calibri" w:cs="Calibri"/>
          <w:lang w:val="fr-FR"/>
        </w:rPr>
        <w:t xml:space="preserve"> et al., 2015 </w:t>
      </w:r>
      <w:r w:rsidRPr="00691DDD">
        <w:rPr>
          <w:rFonts w:ascii="Calibri" w:hAnsi="Calibri" w:cs="Calibri"/>
        </w:rPr>
        <w:fldChar w:fldCharType="end"/>
      </w:r>
    </w:p>
  </w:endnote>
  <w:endnote w:id="41">
    <w:p w14:paraId="4C9DC2F6" w14:textId="5D907091"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{"citationID":"gOARomQR","properties":{"formattedCitation":"(Van Leeuwen et al., 2019)","plainCitation":"(Van Leeuwen et al., 2019)","noteIndex":41},"citationItems":[{"id":2515,"uris":["http://zotero.org/users/2311545/items/FHE8XIRA"],"uri":["http://zotero.org/users/2311545/items/FHE8XIRA"],"itemData":{"id":2515,"type":"article-journal","abstract":"Aims : Climate  change  imposes  increasingly  warm  and  dry  conditions  in  most  winegrowing  regions.  Mediterranean vineyards  are  particularly  vulnerable  and  have  registered,  in  most  situations,  declining  yields  over  the  past  years. Although a majority of Mediterranean vineyards are still dry-farmed, yields can be increased by the implementation of irrigation.  However,  irrigation  has  an  impact  on  increasingly  affected  water  resources.  An  alternative  solution  to irrigation  can  be  the  adaptation  of  training  systems.  As  can  be  shown  by  water  balance  modeling,  low  density  nonirrigated  vineyards  are  much  less  vulnerable  to  climatic  drought  compared  to  medium  or  high  density  vineyards.  And while yields tend to be lower in low density vineyards, so are production costs. The aim of this study is to investigate to what extent low density vineyards can be a sustainable and cost effective adaptation for grape growing in dry climates.","container-title":"OENO One","DOI":"10.20870/oeno-one.2019.53.2.2420","ISSN":"2494-1271","issue":"2","journalAbbreviation":"OENO One","language":"en","page":"129-146","source":"DOI.org (Crossref)","title":"Reduced density is an environmental friendly and cost effective solution to increase resilence to drought in vineyards in a contexte of climate change","volume":"53","author":[{"family":"Van Leeuwen","given":"Cornelis"},{"family":"Pieri","given":"Philippe"},{"family":"Gowdy","given":"Mark"},{"family":"Ollat","given":"Nathalie"},{"family":"Roby","given":"Jean-Philippe"}],"issued":{"date-parts":[["2019",4,26]]}}}],"schema":"https://github.com/citation-style-language/schema/raw/master/csl-citation.json"} </w:instrText>
      </w:r>
      <w:r w:rsidRPr="00691DDD">
        <w:fldChar w:fldCharType="separate"/>
      </w:r>
      <w:r w:rsidRPr="00691DDD">
        <w:rPr>
          <w:rFonts w:ascii="Calibri" w:hAnsi="Calibri" w:cs="Calibri"/>
          <w:lang w:val="fr-FR"/>
        </w:rPr>
        <w:t xml:space="preserve"> Van Leeuwen et al., 2019 </w:t>
      </w:r>
      <w:r w:rsidRPr="00691DDD">
        <w:fldChar w:fldCharType="end"/>
      </w:r>
    </w:p>
  </w:endnote>
  <w:endnote w:id="42">
    <w:p w14:paraId="5B4D4044" w14:textId="549A9D8E"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{"citationID":"ZvfLEM0K","properties":{"formattedCitation":"(Berdeja et al., 2015)","plainCitation":"(Berdeja et al., 2015)","noteIndex":42},"citationItems":[{"id":2494,"uris":["http://zotero.org/users/2311545/items/KWYPDIAR"],"uri":["http://zotero.org/users/2311545/items/KWYPDIAR"],"itemData":{"id":2494,"type":"article-journal","container-title":"Horticulture Research","DOI":"10.1038/hortres.2015.12","ISSN":"2052-7276","issue":"1","journalAbbreviation":"Hortic Res","language":"en","page":"15012","source":"DOI.org (Crossref)","title":"Water limitation and rootstock genotype interact to alter grape berry metabolism through transcriptome reprogramming","volume":"2","author":[{"family":"Berdeja","given":"Mariam"},{"family":"Nicolas","given":"Philippe"},{"family":"Kappel","given":"Christian"},{"family":"Dai","given":"Zhan Wu"},{"family":"Hilbert","given":"Ghislaine"},{"family":"Peccoux","given":"Anthony"},{"family":"Lafontaine","given":"Magali"},{"family":"Ollat","given":"Nathalie"},{"family":"Gomès","given":"Eric"},{"family":"Delrot","given":"Serge"}],"issued":{"date-parts":[["2015",12]]}}}],"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Berdeja</w:t>
      </w:r>
      <w:proofErr w:type="spellEnd"/>
      <w:r w:rsidRPr="00691DDD">
        <w:rPr>
          <w:rFonts w:ascii="Calibri" w:hAnsi="Calibri" w:cs="Calibri"/>
          <w:lang w:val="fr-FR"/>
        </w:rPr>
        <w:t xml:space="preserve"> et al., 2015 </w:t>
      </w:r>
      <w:r w:rsidRPr="00691DDD">
        <w:fldChar w:fldCharType="end"/>
      </w:r>
    </w:p>
  </w:endnote>
  <w:endnote w:id="43">
    <w:p w14:paraId="3DA755EF" w14:textId="18EE718A"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{"citationID":"EWVk0CIe","properties":{"formattedCitation":"(Stoll et al., 2013)","plainCitation":"(Stoll et al., 2013)","noteIndex":43},"citationItems":[{"id":3116,"uris":["http://zotero.org/users/2311545/items/Q7UKG7SJ"],"uri":["http://zotero.org/users/2311545/items/Q7UKG7SJ"],"itemData":{"id":3116,"type":"article-journal","container-title":"Acta Horticulturae","DOI":"10.17660/ActaHortic.2013.978.34","ISSN":"0567-7572, 2406-6168","issue":"978","journalAbbreviation":"Acta Hortic.","page":"293-299","source":"DOI.org (Crossref)","title":"IMPACT OF VARIOUS LEAF AREA MODIFICATIONS ON BERRY MATURATION IN VITIS VINIFERA L. 'RIESLING'","author":[{"family":"Stoll","given":"M."},{"family":"Bischoff-Schaefer","given":"M."},{"family":"Lafontaine","given":"M."},{"family":"Tittmann","given":"S."},{"family":"Henschke","given":"J."}],"issued":{"date-parts":[["2013",3]]}}}],"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Stoll</w:t>
      </w:r>
      <w:proofErr w:type="spellEnd"/>
      <w:r w:rsidRPr="00691DDD">
        <w:rPr>
          <w:rFonts w:ascii="Calibri" w:hAnsi="Calibri" w:cs="Calibri"/>
          <w:lang w:val="fr-FR"/>
        </w:rPr>
        <w:t xml:space="preserve"> et al., 2013 </w:t>
      </w:r>
      <w:r w:rsidRPr="00691DDD">
        <w:fldChar w:fldCharType="end"/>
      </w:r>
    </w:p>
  </w:endnote>
  <w:endnote w:id="44">
    <w:p w14:paraId="57987482" w14:textId="0D5A2109"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{"citationID":"dp9szm70","properties":{"formattedCitation":"(Mart\\uc0\\u237{}nez-L\\uc0\\u252{}scher et al., 2017)","plainCitation":"(Martínez-Lüscher et al., 2017)","noteIndex":44},"citationItems":[{"id":1439,"uris":["http://zotero.org/users/2311545/items/8PZRZGNX"],"uri":["http://zotero.org/users/2311545/items/8PZRZGNX"],"itemData":{"id":1439,"type":"article-journal","abstract":"The incidence of solar radiation on red-skinned grapes can promote the synthesis of </w:instrText>
      </w:r>
      <w:r w:rsidRPr="00691DDD">
        <w:instrText>ﬂ</w:instrText>
      </w:r>
      <w:r w:rsidRPr="00691DDD">
        <w:rPr>
          <w:lang w:val="fr-FR"/>
        </w:rPr>
        <w:instrText>avonoids desirable for wine production, but elevated temperature may impair their accumulation. We performed a shade cloth trial covering the fruit zone (from pepper-corn size to maturity) with four polyethylene 1 m curtains with di</w:instrText>
      </w:r>
      <w:r w:rsidRPr="00691DDD">
        <w:instrText>ﬀ</w:instrText>
      </w:r>
      <w:r w:rsidRPr="00691DDD">
        <w:rPr>
          <w:lang w:val="fr-FR"/>
        </w:rPr>
        <w:instrText>erent optical properties (20% shading factor Pearl colored and 40% shading factor Aluminet, Blue, and Black colored) and a Control with no cover. Cluster temperature was 3.7 °C lower on the Southwest side in Black-40% clusters during the warmest part of the day compared to Control. Results indicated a lower berry weight under the Aluminet-40%. Berries under the nets often had signi</w:instrText>
      </w:r>
      <w:r w:rsidRPr="00691DDD">
        <w:instrText>ﬁ</w:instrText>
      </w:r>
      <w:r w:rsidRPr="00691DDD">
        <w:rPr>
          <w:lang w:val="fr-FR"/>
        </w:rPr>
        <w:instrText>cantly lower pH and higher TA than Control, but only the Black-40% were signi</w:instrText>
      </w:r>
      <w:r w:rsidRPr="00691DDD">
        <w:instrText>ﬁ</w:instrText>
      </w:r>
      <w:r w:rsidRPr="00691DDD">
        <w:rPr>
          <w:lang w:val="fr-FR"/>
        </w:rPr>
        <w:instrText xml:space="preserve">cant at harvest. Black-40% had higher values of anthocyanins than Control toward the last weeks of development. Berry skin </w:instrText>
      </w:r>
      <w:r w:rsidRPr="00691DDD">
        <w:instrText>ﬂ</w:instrText>
      </w:r>
      <w:r w:rsidRPr="00691DDD">
        <w:rPr>
          <w:lang w:val="fr-FR"/>
        </w:rPr>
        <w:instrText xml:space="preserve">avonol and anthocyanin composition and concentration were measured by C18 reversed-phased HPLC; and proanthocyanidin isolates were characterized by acid catalysis in the presence of excess phloroglucinol followed by reversed-phase HPLC. Proanthocyanidins and </w:instrText>
      </w:r>
      <w:r w:rsidRPr="00691DDD">
        <w:instrText>ﬂ</w:instrText>
      </w:r>
      <w:r w:rsidRPr="00691DDD">
        <w:rPr>
          <w:lang w:val="fr-FR"/>
        </w:rPr>
        <w:instrText xml:space="preserve">avonol contents were lower in Black-40% before veraison and the </w:instrText>
      </w:r>
      <w:r w:rsidRPr="00691DDD">
        <w:instrText>ﬁ</w:instrText>
      </w:r>
      <w:r w:rsidRPr="00691DDD">
        <w:rPr>
          <w:lang w:val="fr-FR"/>
        </w:rPr>
        <w:instrText>rst part of ripening, respectively. However, their contents in Control decreased toward the end of ripening to a point where any net was di</w:instrText>
      </w:r>
      <w:r w:rsidRPr="00691DDD">
        <w:instrText>ﬀ</w:instrText>
      </w:r>
      <w:r w:rsidRPr="00691DDD">
        <w:rPr>
          <w:lang w:val="fr-FR"/>
        </w:rPr>
        <w:instrText xml:space="preserve">erent from Control. Anthocyanin and </w:instrText>
      </w:r>
      <w:r w:rsidRPr="00691DDD">
        <w:instrText>ﬂ</w:instrText>
      </w:r>
      <w:r w:rsidRPr="00691DDD">
        <w:rPr>
          <w:lang w:val="fr-FR"/>
        </w:rPr>
        <w:instrText>avonol pro</w:instrText>
      </w:r>
      <w:r w:rsidRPr="00691DDD">
        <w:instrText>ﬁ</w:instrText>
      </w:r>
      <w:r w:rsidRPr="00691DDD">
        <w:rPr>
          <w:lang w:val="fr-FR"/>
        </w:rPr>
        <w:instrText>les were richer in 3′, 4′, 5′ hydroxylated forms. Proanthocyanidin chain length was not a</w:instrText>
      </w:r>
      <w:r w:rsidRPr="00691DDD">
        <w:instrText>ﬀ</w:instrText>
      </w:r>
      <w:r w:rsidRPr="00691DDD">
        <w:rPr>
          <w:lang w:val="fr-FR"/>
        </w:rPr>
        <w:instrText>ected while small changes were observed in the proportion of terminal catechin/ epicatechin and in seed galloylation in response to treatments. Results show that shade cloths may e</w:instrText>
      </w:r>
      <w:r w:rsidRPr="00691DDD">
        <w:instrText>ﬃ</w:instrText>
      </w:r>
      <w:r w:rsidRPr="00691DDD">
        <w:rPr>
          <w:lang w:val="fr-FR"/>
        </w:rPr>
        <w:instrText xml:space="preserve">ciently palliate temperature spikes, especially the last weeks before harvest, while transmitting enough radiation into the fruit zone to achieve a better grape composition compared to uncovered grapes.","container-title":"Journal of Agricultural and Food Chemistry","DOI":"10.1021/acs.jafc.7b04163","ISSN":"0021-8561, 1520-5118","issue":"49","language":"en","page":"10693-10702","source":"Crossref","title":"Partial Solar Radiation Exclusion with Color Shade Nets Reduces the Degradation of Organic Acids and Flavonoids of Grape Berry ( &lt;i&gt;Vitis vinifera&lt;/i&gt; L.)","volume":"65","author":[{"family":"Martínez-Lüscher","given":"Johann"},{"family":"Chen","given":"Christopher Cody Lee"},{"family":"Brillante","given":"Luca"},{"family":"Kurtural","given":"Sahap Kaan"}],"issued":{"date-parts":[["2017",12,13]]}}}],"schema":"https://github.com/citation-style-language/schema/raw/master/csl-citation.json"} </w:instrText>
      </w:r>
      <w:r w:rsidRPr="00691DDD">
        <w:fldChar w:fldCharType="separate"/>
      </w:r>
      <w:r w:rsidRPr="00691DDD">
        <w:rPr>
          <w:rFonts w:ascii="Calibri" w:hAnsi="Calibri" w:cs="Times New Roman"/>
          <w:szCs w:val="24"/>
          <w:lang w:val="fr-FR"/>
        </w:rPr>
        <w:t xml:space="preserve"> </w:t>
      </w:r>
      <w:proofErr w:type="spellStart"/>
      <w:r w:rsidRPr="00691DDD">
        <w:rPr>
          <w:rFonts w:ascii="Calibri" w:hAnsi="Calibri" w:cs="Times New Roman"/>
          <w:szCs w:val="24"/>
          <w:lang w:val="fr-FR"/>
        </w:rPr>
        <w:t>Martínez-Lüscher</w:t>
      </w:r>
      <w:proofErr w:type="spellEnd"/>
      <w:r w:rsidRPr="00691DDD">
        <w:rPr>
          <w:rFonts w:ascii="Calibri" w:hAnsi="Calibri" w:cs="Times New Roman"/>
          <w:szCs w:val="24"/>
          <w:lang w:val="fr-FR"/>
        </w:rPr>
        <w:t xml:space="preserve"> et al., 2017 </w:t>
      </w:r>
      <w:r w:rsidRPr="00691DDD">
        <w:fldChar w:fldCharType="end"/>
      </w:r>
    </w:p>
  </w:endnote>
  <w:endnote w:id="45">
    <w:p w14:paraId="0EBA9265" w14:textId="550B5F9C"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{"citationID":"I4b7VZGX","properties":{"formattedCitation":"(Schelezki et al., 2018)","plainCitation":"(Schelezki et al., 2018)","noteIndex":45},"citationItems":[{"id":2764,"uris":["http://zotero.org/users/2311545/items/6FFWXMJD"],"uri":["http://zotero.org/users/2311545/items/6FFWXMJD"],"itemData":{"id":2764,"type":"article-journal","abstract":"A changing climate has led to winegrapes being harvested with increased sugar levels and at greater risk of berry shrivel. A suggested easy-to-adopt strategy to manage the associated rising wine alcohol levels is the pre-fermentative substitution of juice with either “green harvest wine” or water. Our study investigates the effects of this approach on Vitis vinifera L. cv. Cabernet Sauvignon wine quality attributes. Wines were also made from fruit collected at consecutive earlier harvest time points to produce wines comparable in alcohol to the substituted wines. Tannin concentrations and colour did not change significantly in the wines with modified alcohol content even at higher juice substitution rates. Differences in polysaccharide and tannin composition indicated variability in extraction dynamics according to substitution rate and type of blending component. In scenarios where berry shrivel is inevitable, the incorporation of water in particular offers much promise as part of a strategy to manage wine alcohol content.","container-title":"Food Chemistry","DOI":"10.1016/j.foodchem.2017.10.024","ISSN":"0308-8146","journalAbbreviation":"Food Chemistry","page":"50-59","source":"ScienceDirect","title":"Comparison of consecutive harvests versus blending treatments to produce lower alcohol wines from Cabernet Sauvignon grapes: Impact on polysaccharide and tannin content and composition","title-short":"Comparison of consecutive harvests versus blending treatments to produce lower alcohol wines from Cabernet Sauvignon grapes","volume":"244","author":[{"family":"Schelezki","given":"Olaf J."},{"family":"Smith","given":"Paul A."},{"family":"Hranilovic","given":"Ana"},{"family":"Bindon","given":"Keren A."},{"family":"Jeffery","given":"David W."}],"issued":{"date-parts":[["2018",4,1]]}}}],"schema":"https://github.com/citation-style-language/schema/raw/master/csl-citation.json"}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Schelezki</w:t>
      </w:r>
      <w:proofErr w:type="spellEnd"/>
      <w:r w:rsidRPr="00691DDD">
        <w:rPr>
          <w:rFonts w:ascii="Calibri" w:hAnsi="Calibri" w:cs="Calibri"/>
          <w:lang w:val="fr-FR"/>
        </w:rPr>
        <w:t xml:space="preserve"> et al., 2018 </w:t>
      </w:r>
      <w:r w:rsidRPr="00691DDD">
        <w:fldChar w:fldCharType="end"/>
      </w:r>
    </w:p>
  </w:endnote>
  <w:endnote w:id="46">
    <w:p w14:paraId="268EE723" w14:textId="1CD84444"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{"citationID":"czg6npuD","properties":{"formattedCitation":"(Delay et al., 2015)","plainCitation":"(Delay et al., 2015)","noteIndex":46},"citationItems":[{"id":2664,"uris":["http://zotero.org/users/2311545/items/ADZYQN6Z"],"uri":["http://zotero.org/users/2311545/items/ADZYQN6Z"],"itemData":{"id":2664,"type":"article-journal","abstract":"The mountain environment is perceived today by vine-growers as a strong structural constraint. Yet in the current context of climate change, in which we turn to genetics, irrigation or innovation in cultural practices to maintain production quality, could the mountain environment emerge as a solution for adapting to climate change in vine-growing? Here we explore the role of cooperative policies that may be deployed on the territorial scale, using an agent-based model. Our model was based on the viticulture of the Banyuls–Collioures AOC area, which is characterized by small-scale vine-growers and marked by widespread involvement in cooperative systems. The simulation results showed an important role of cooperative policies not only to conserve narrow production window and required vine quality, but also in respect of the emblematic landscape structure. These results should foster vine-growers to strengthen their cooperatives and adequately use these organizations to mitigate future climate change impacts.","container-title":"Land Use Policy","DOI":"10.1016/j.landusepol.2015.05.008","ISSN":"0264-8377","journalAbbreviation":"Land Use Policy","page":"51-62","source":"ScienceDirect","title":"The mountain environment, a driver for adaptation to climate change","volume":"48","author":[{"family":"Delay","given":"Etienne"},{"family":"Piou","given":"Cyril"},{"family":"Quenol","given":"Hervé"}],"issued":{"date-parts":[["2015",11,1]]}}}],"schema":"https://github.com/citation-style-language/schema/raw/master/csl-citation.json"} </w:instrText>
      </w:r>
      <w:r w:rsidRPr="00691DDD">
        <w:fldChar w:fldCharType="separate"/>
      </w:r>
      <w:r w:rsidRPr="00691DDD">
        <w:rPr>
          <w:rFonts w:ascii="Calibri" w:hAnsi="Calibri" w:cs="Calibri"/>
          <w:lang w:val="fr-FR"/>
        </w:rPr>
        <w:t xml:space="preserve"> Delay et al., 2015 </w:t>
      </w:r>
      <w:r w:rsidRPr="00691DDD">
        <w:fldChar w:fldCharType="end"/>
      </w:r>
    </w:p>
  </w:endnote>
  <w:endnote w:id="47">
    <w:p w14:paraId="5345F744" w14:textId="450A3473"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{"citationID":"ubF3rLTD","properties":{"formattedCitation":"(Phogat et al., 2018)","plainCitation":"(Phogat et al., 2018)","noteIndex":47},"citationItems":[{"id":3015,"uris":["http://zotero.org/users/2311545/items/2QN4D37R"],"uri":["http://zotero.org/users/2311545/items/2QN4D37R"],"itemData":{"id":3015,"type":"article-journal","abstract":"Water and water related salinity risks to viticulture were assessed by running the HYDRUS-1D model with 100 ensembles of downscaled daily meteorological data obtained from the Global Climate Model (GCM) for 2020–2099. The modeling output was evaluated for seasonal irrigation requirements of viticulture (Ir), root zone soil salinity at the beginning of the new season (ECswi), and the average seasonal salinity (ECsw) for all 100 realizations for four 20-year periods centred on 2030 (2020–2039), 2050 (2040–2059), 2070 (2060–2079), and 2090 (2080–2099). The model showed a 4.2% increase in the mean seasonal Ir of viticulture during 2020–2039 as compared to Ir of 350.9 mm during 2004–2015. Similarly, the mean seasonal Ir increased by 7.5, 10.9, and 16.9% during 2040–2059, 2060–2079, and 2080–2099, respectively, as compared to 2004–2015. These projections indicate that viticulture can face significant deficit conditions, which may have a drastic impact on the sustainability and productivity of the grapevine. Likewise, the average median ECswi increased by 40% during 2020–2039 as compared to the 2004–2015 mean ECswi value of 1.63 dS/m, but remained below the threshold (ECsw = 4.2 dS/m) for viticulture. The median seasonal ECswi almost doubled (3.15 dS/m) during 2040–2059, varied from 1.73–8.15 dS/m during 2060–2079, and increased more than three times during 2080–2099 to surpass the threshold salinity for grapevines. Similarly, the seasonal average root zone salinity (ECsw) showed a 47% increase during 2020–2039 over the baseline salinity. It continued increasing at a growing pace during 2040–2059 (1.5–8.64 dS/m) and 2060–2079 (2.78–9.52 dS/m), and increased to almost three times (6.04 dS/m) during 2080–2099 compared to the corresponding baseline salinity (1.97 dS/m). The continued presence of high salt concentrations in the root zone can significantly affect the growth, yield, and wine quality. The modeling results indicate that soil salinity at the beginning of the vine season and the average seasonal salinity are crucial factors that may need special management to sustain the viticulture in this region.","container-title":"Agricultural Water Management","DOI":"10.1016/j.agwat.2018.01.025","ISSN":"0378-3774","journalAbbreviation":"Agricultural Water Management","language":"en","page":"107-117","source":"ScienceDirect","title":"Identifying the future water and salinity risks to irrigated viticulture in the Murray-Darling Basin, South Australia","volume":"201","author":[{"family":"Phogat","given":"V."},{"family":"Cox","given":"J. W."},{"family":"Šimůnek","given":"J."}],"issued":{"date-parts":[["2018",3,31]]}}}],"schema":"https://github.com/citation-style-language/schema/raw/master/csl-citation.json"}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Phogat</w:t>
      </w:r>
      <w:proofErr w:type="spellEnd"/>
      <w:r w:rsidRPr="00691DDD">
        <w:rPr>
          <w:rFonts w:ascii="Calibri" w:hAnsi="Calibri" w:cs="Calibri"/>
          <w:lang w:val="fr-FR"/>
        </w:rPr>
        <w:t xml:space="preserve"> et al., 2018 </w:t>
      </w:r>
      <w:r w:rsidRPr="00691DDD">
        <w:fldChar w:fldCharType="end"/>
      </w:r>
    </w:p>
  </w:endnote>
  <w:endnote w:id="48">
    <w:p w14:paraId="3E2BC578" w14:textId="55D483A2"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{"citationID":"S9zyadna","properties":{"formattedCitation":"(Concepci\\uc0\\u243{}n Ramos, 2016)","plainCitation":"(Concepción Ramos, 2016)","noteIndex":48},"citationItems":[{"id":2603,"uris":["http://zotero.org/users/2311545/items/86PRK96Q"],"uri":["http://zotero.org/users/2311545/items/86PRK96Q"],"itemData":{"id":2603,"type":"article-journal","abstract":"Most vines in the Mediterranean are cultivated on bare soils, due to the scarcity of water. In addition, most traditional soil conservation measures have been eliminated to facilitate the movement of machinery in the fields. In such conditions, high erosion rates are recorded. Given the predicted changes in precipitation and an increasing number of extreme events, an increase in erosion processes is expected. In this study, erosion processes under different climate change scenarios were evaluated as well as the effects of implementing drainage terraces in vineyards. Soil losses were simulated using the WEPP model. The results confirmed the relevance of extreme events on annual soil losses. The WEPP model gave satisfactory results in predicting runoff and soil losses, although the soil losses recorded after some extreme events were under-predicted. The model responded to changes in precipitation and because of that a decrease in precipitation gave rise to a decrease in soil losses. For the scenario in 2050, runoff volumes decreased between 19.1 and 50.1%, while erosion rates decreased between 34 and 56%. However, the expected increase in rainfall intensity may contribute to higher erosion rates than at present. The construction of drainage terraces, perpendicular to the maximum slope, 3 m wide and 30 m between terraces, may lead to an average decrease in soil losses of about 45%.","container-title":"AIMS Agriculture and Food","DOI":"10.3934/agrfood.2016.2.124","ISSN":"2471-2086","issue":"2","language":"en","page":"124-143","source":"DOI.org (Crossref)","title":"Soil losses in rainfed Mediterranean vineyards under climate change scenarios. The effects of drainage terraces.","volume":"1","author":[{"family":"Concepción Ramos","given":"María"}],"issued":{"date-parts":[["2016"]]}}}],"schema":"https://github.com/citation-style-language/schema/raw/master/csl-citation.json"} </w:instrText>
      </w:r>
      <w:r w:rsidRPr="00691DDD">
        <w:fldChar w:fldCharType="separate"/>
      </w:r>
      <w:r w:rsidRPr="00691DDD">
        <w:rPr>
          <w:rFonts w:ascii="Calibri" w:hAnsi="Calibri" w:cs="Calibri"/>
          <w:szCs w:val="24"/>
          <w:lang w:val="fr-FR"/>
        </w:rPr>
        <w:t xml:space="preserve"> Concepción Ramos, 2016 </w:t>
      </w:r>
      <w:r w:rsidRPr="00691DDD">
        <w:fldChar w:fldCharType="end"/>
      </w:r>
    </w:p>
  </w:endnote>
  <w:endnote w:id="49">
    <w:p w14:paraId="3043574C" w14:textId="3560E643"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{"citationID":"181GKRFK","properties":{"formattedCitation":"(Aparicio et al., 2019)","plainCitation":"(Aparicio et al., 2019)","noteIndex":49},"citationItems":[{"id":1502,"uris":["http://zotero.org/users/2311545/items/DULAR9UN"],"uri":["http://zotero.org/users/2311545/items/DULAR9UN"],"itemData":{"id":1502,"type":"article-journal","abstract":"Maltese agriculture faces great challenges due to the severe scarcity of water. Sufﬁcient water resources, in quantity and quality, are necessary to cover the demand in the production of wine grape, one of the most important crops in Maltese agriculture. But also, economic efﬁciency is essential in the grape cultivation. A Cost-Beneﬁt Analysis (CBA) is deﬁned for Maltese vineyards in the Siġġiewi region, considering two irrigation scenarios, irrigation with groundwater or “do-nothing”, compared with the “use non-conventional waters” from mixing water from a small desalination plant and groundwater. For the alternative ‘mixing desalinated water with groundwater’ it is possible to improve water availability and quality for vine crops, while increasing economic beneﬁts for farmer. The results indicate a proﬁtable project from a minimum area of 1 ha, but ﬁnal beneﬁt is highly dependent on the irrigated surface extension according to water price. Desalination, compared with other type of nonconventional water is considered the best option in this assessment with a small reverse osmosis (RO) desalination plant (120 m3 /day) for covering the irrigation needs.","container-title":"Science of The Total Environment","DOI":"10.1016/j.scitotenv.2018.09.059","ISSN":"00489697","language":"en","page":"734-740","source":"Crossref","title":"Agricultural irrigation of vine crops from desalinated and brackish groundwater under an economic perspective. A case study in Siġġiewi, Malta","volume":"650","author":[{"family":"Aparicio","given":"Jesus"},{"family":"Tenza-Abril","given":"Antonio J."},{"family":"Borg","given":"Malcolm"},{"family":"Galea","given":"John"},{"family":"Candela","given":"Lucila"}],"issued":{"date-parts":[["2019",2]]}}}],"schema":"https://github.com/citation-style-language/schema/raw/master/csl-citation.json"} </w:instrText>
      </w:r>
      <w:r w:rsidRPr="00691DDD">
        <w:fldChar w:fldCharType="separate"/>
      </w:r>
      <w:r w:rsidRPr="00691DDD">
        <w:rPr>
          <w:rFonts w:ascii="Calibri" w:hAnsi="Calibri" w:cs="Calibri"/>
          <w:lang w:val="fr-FR"/>
        </w:rPr>
        <w:t xml:space="preserve"> </w:t>
      </w:r>
      <w:proofErr w:type="spellStart"/>
      <w:r w:rsidRPr="00691DDD">
        <w:rPr>
          <w:rFonts w:ascii="Calibri" w:hAnsi="Calibri" w:cs="Calibri"/>
          <w:lang w:val="fr-FR"/>
        </w:rPr>
        <w:t>Aparicio</w:t>
      </w:r>
      <w:proofErr w:type="spellEnd"/>
      <w:r w:rsidRPr="00691DDD">
        <w:rPr>
          <w:rFonts w:ascii="Calibri" w:hAnsi="Calibri" w:cs="Calibri"/>
          <w:lang w:val="fr-FR"/>
        </w:rPr>
        <w:t xml:space="preserve"> et al., 2019 </w:t>
      </w:r>
      <w:r w:rsidRPr="00691DDD">
        <w:fldChar w:fldCharType="end"/>
      </w:r>
    </w:p>
  </w:endnote>
  <w:endnote w:id="50">
    <w:p w14:paraId="2278DC1F" w14:textId="057DFAA7"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lang w:val="fr-FR"/>
        </w:rPr>
        <w:fldChar w:fldCharType="begin"/>
      </w:r>
      <w:r w:rsidRPr="00691DDD">
        <w:rPr>
          <w:lang w:val="fr-FR"/>
        </w:rPr>
        <w:instrText xml:space="preserve"> ADDIN ZOTERO_ITEM CSL_CITATION {"citationID":"mekJjnS8","properties":{"formattedCitation":"(Galbreath et al., 2016)","plainCitation":"(Galbreath et al., 2016)","noteIndex":50},"citationItems":[{"id":3104,"uris":["http://zotero.org/users/2311545/items/4YVPK5BD"],"uri":["http://zotero.org/users/2311545/items/4YVPK5BD"],"itemData":{"id":3104,"type":"article-journal","abstract":"This study examined the drivers of climate change innovations and the effects of these innovations on firm outcomes in a sample of 203 firms in the South Australian wine cluster. The results of structural equation modeling analysis suggest that absorptive capacity has a direct effect on climate change innovations, and stimulates knowledge exchanges (KEs) between firms in the cluster. KEs between firms in the cluster in turn directly affect the climate change innovations. The findings suggest a perhaps counterintuitive interrelationship between firm- and cluster-level impacts, in which KEs between firms in the cluster play a partial mediating role in the innovation process. The study further finds that climate change innovations are related to firm performance (FP) and reductions in greenhouse gases (GHGs): mitigative innovations lead to greater GHG reductions while adaptive innovations impact on FP. Contributions of the findings are discussed, as are future research directions.","container-title":"Journal of Business Ethics","DOI":"10.1007/s10551-014-2461-8","ISSN":"1573-0697","issue":"2","journalAbbreviation":"J Bus Ethics","language":"en","page":"217-231","source":"Springer Link","title":"The Drivers of Climate Change Innovations: Evidence from the Australian Wine Industry","title-short":"The Drivers of Climate Change Innovations","volume":"135","author":[{"family":"Galbreath","given":"Jeremy"},{"family":"Charles","given":"David"},{"family":"Oczkowski","given":"Eddie"}],"issued":{"date-parts":[["2016",5,1]]}}}],"schema":"https://github.com/citation-style-language/schema/raw/master/csl-citation.json"} </w:instrText>
      </w:r>
      <w:r w:rsidRPr="00691DDD">
        <w:rPr>
          <w:lang w:val="fr-FR"/>
        </w:rPr>
        <w:fldChar w:fldCharType="separate"/>
      </w:r>
      <w:r w:rsidRPr="00691DDD">
        <w:rPr>
          <w:rFonts w:ascii="Calibri" w:hAnsi="Calibri"/>
          <w:lang w:val="fr-FR"/>
        </w:rPr>
        <w:t xml:space="preserve"> </w:t>
      </w:r>
      <w:proofErr w:type="spellStart"/>
      <w:r w:rsidRPr="00691DDD">
        <w:rPr>
          <w:rFonts w:ascii="Calibri" w:hAnsi="Calibri"/>
          <w:lang w:val="fr-FR"/>
        </w:rPr>
        <w:t>Galbreath</w:t>
      </w:r>
      <w:proofErr w:type="spellEnd"/>
      <w:r w:rsidRPr="00691DDD">
        <w:rPr>
          <w:rFonts w:ascii="Calibri" w:hAnsi="Calibri"/>
          <w:lang w:val="fr-FR"/>
        </w:rPr>
        <w:t xml:space="preserve"> et al., 2016 </w:t>
      </w:r>
      <w:r w:rsidRPr="00691DDD">
        <w:rPr>
          <w:lang w:val="fr-FR"/>
        </w:rPr>
        <w:fldChar w:fldCharType="end"/>
      </w:r>
    </w:p>
  </w:endnote>
  <w:endnote w:id="51">
    <w:p w14:paraId="11A15F1E" w14:textId="47077895" w:rsidR="00AD2ABD" w:rsidRPr="00691DDD" w:rsidRDefault="00AD2ABD" w:rsidP="00CD39DD">
      <w:pPr>
        <w:pStyle w:val="Notedefin"/>
        <w:rPr>
          <w:lang w:val="fr-FR"/>
        </w:rPr>
      </w:pPr>
      <w:r w:rsidRPr="00691DDD">
        <w:rPr>
          <w:rStyle w:val="Appeldenotedefin"/>
          <w:vertAlign w:val="baseline"/>
        </w:rPr>
        <w:endnoteRef/>
      </w:r>
      <w:r w:rsidRPr="00691DDD">
        <w:rPr>
          <w:rFonts w:ascii="Calibri" w:hAnsi="Calibri" w:cs="Calibri"/>
        </w:rPr>
        <w:fldChar w:fldCharType="begin"/>
      </w:r>
      <w:r w:rsidRPr="00691DDD">
        <w:rPr>
          <w:rFonts w:ascii="Calibri" w:hAnsi="Calibri" w:cs="Calibri"/>
        </w:rPr>
        <w:instrText xml:space="preserve"> ADDIN ZOTERO_ITEM CSL_CITATION {"citationID":"UlN3JiwO","properties":{"formattedCitation":"(Mir\\uc0\\u225{}s-Avalos et al., 2016; Sacchelli et al., 2016)","plainCitation":"(Mirás-Avalos et al., 2016; Sacchelli et al., 2016)","dontUpdate":true,"noteIndex":51},"citationItems":[{"id":2647,"uris":["http://zotero.org/users/2311545/items/P5IWMAJX"],"uri":["http://zotero.org/users/2311545/items/P5IWMAJX"],"itemData":{"id":2647,"type":"article-journal","abstract":"Aims: Vine-growers worldwide are concerned about climate change effects on grape yield and quality. Drip irrigation systems are increasingly being installed even in humid regions such as Galicia (NW Spain). In this context, a field experiment was carried out over three seasons (2012-2014) on white Vitis vinifera L. cv. ‘Albariño’ to assess the effects of deficit irrigation on vine physiology, yield and must and wine composition.","container-title":"OENO One","DOI":"10.20870/oeno-one.2016.50.4.63","ISSN":"2494-1271","issue":"4","journalAbbreviation":"OENO One","language":"en","source":"DOI.org (Crossref)","title":"Irrigation effects on the performance of grapevine (Vitis vinifera L.) cv. ‘Albariño’ under the humid climate of Galicia","URL":"http://oeno-one.eu/article/view/63","volume":"50","author":[{"family":"Mirás-Avalos","given":"José Manuel"},{"family":"Trigo-Córdoba","given":"Emiliano"},{"family":"Bouzas-Cid","given":"Yolanda"},{"family":"Orriols-Fernández","given":"Ignacio"}],"accessed":{"date-parts":[["2019",7,29]]},"issued":{"date-parts":[["2016",12,21]]}}},{"id":1981,"uris":["http://zoter</w:instrText>
      </w:r>
      <w:r w:rsidRPr="00691DDD">
        <w:rPr>
          <w:rFonts w:ascii="Calibri" w:hAnsi="Calibri" w:cs="Calibri"/>
          <w:lang w:val="fr-FR"/>
        </w:rPr>
        <w:instrText xml:space="preserve">o.org/users/2311545/items/PX3NSTRX"],"uri":["http://zotero.org/users/2311545/items/PX3NSTRX"],"itemData":{"id":1981,"type":"article-journal","abstract":"The paper analyses the evolution and potential future trend of research debate related to climate change impacts on the wine chain. A particular emphasis was given to the evaluation of sustainability in the examined literature. From a methodological point of view, sets of text analysis techniques were combined for the investigation of those selected scientific papers. Results highlight that the detailed and in-depth examination of the subject is quite recent. Furthermore, the analysis of climate change on wine production sustainability is primarily focused on the environmental aspects and not to the socio-economic ones. Lastly, future potential research issues and aims for the examined topic were suggested.","container-title":"Agriculture and Agricultural Science Procedia","DOI":"10.1016/j.aaspro.2016.02.090","ISSN":"22107843","language":"en","page":"167-175","source":"Crossref","title":"Climate Change, Wine and Sustainability: A Quantitative Discourse Analysis of the International Scientific Literature","title-short":"Climate Change, Wine and Sustainability","volume":"8","author":[{"family":"Sacchelli","given":"Sandro"},{"family":"Fabbrizzi","given":"Sara"},{"family":"Menghini","given":"Silvio"}],"issued":{"date-parts":[["2016"]]}}}],"schema":"https://github.com/citation-style-language/schema/raw/master/csl-citation.json"} </w:instrText>
      </w:r>
      <w:r w:rsidRPr="00691DDD">
        <w:rPr>
          <w:rFonts w:ascii="Calibri" w:hAnsi="Calibri" w:cs="Calibri"/>
        </w:rPr>
        <w:fldChar w:fldCharType="separate"/>
      </w:r>
      <w:r w:rsidRPr="00691DDD">
        <w:rPr>
          <w:rFonts w:ascii="Calibri" w:hAnsi="Calibri" w:cs="Calibri"/>
          <w:szCs w:val="24"/>
          <w:lang w:val="fr-FR"/>
        </w:rPr>
        <w:t xml:space="preserve">  </w:t>
      </w:r>
      <w:proofErr w:type="spellStart"/>
      <w:r w:rsidRPr="00691DDD">
        <w:rPr>
          <w:rFonts w:ascii="Calibri" w:hAnsi="Calibri" w:cs="Calibri"/>
          <w:szCs w:val="24"/>
          <w:lang w:val="fr-FR"/>
        </w:rPr>
        <w:t>Sacchelli</w:t>
      </w:r>
      <w:proofErr w:type="spellEnd"/>
      <w:r w:rsidRPr="00691DDD">
        <w:rPr>
          <w:rFonts w:ascii="Calibri" w:hAnsi="Calibri" w:cs="Calibri"/>
          <w:szCs w:val="24"/>
          <w:lang w:val="fr-FR"/>
        </w:rPr>
        <w:t xml:space="preserve"> et al., 2016 </w:t>
      </w:r>
      <w:r w:rsidRPr="00691DDD">
        <w:rPr>
          <w:rFonts w:ascii="Calibri" w:hAnsi="Calibri" w:cs="Calibri"/>
        </w:rPr>
        <w:fldChar w:fldCharType="end"/>
      </w:r>
    </w:p>
  </w:endnote>
  <w:endnote w:id="52">
    <w:p w14:paraId="76CAAACE" w14:textId="42A57B8E"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rFonts w:ascii="Calibri" w:hAnsi="Calibri" w:cs="Calibri"/>
        </w:rPr>
        <w:fldChar w:fldCharType="begin"/>
      </w:r>
      <w:r w:rsidRPr="00691DDD">
        <w:rPr>
          <w:rFonts w:ascii="Calibri" w:hAnsi="Calibri" w:cs="Calibri"/>
          <w:lang w:val="fr-FR"/>
        </w:rPr>
        <w:instrText xml:space="preserve"> ADDIN ZOTERO_ITEM CSL_CITATION {"citationID":"6GPjXUsy","properties":{"formattedCitation":"(Georgopoulou et al., 2017)","plainCitation":"(Georgopoulou et al., 2017)","noteIndex":52},"citationItems":[{"id":2721,"uris":["http://zotero.org/users/2311545/items/Z5HZ3W27"],"uri":["http://zotero.org/users/2311545/items/Z5HZ3W27"],"itemData":{"id":2721,"type":"article-journal","abstract":"The paper presents a quantitative assessment of mid-term (2021–2050) climate change impacts on and potential adaptation options for selected crops in Greece that are of importance in terms of their share in national agricultural production and gross value added. Central points in the assessment are the monetary evaluation of impacts and the cost-benefit analysis of adaptation options. To address local variability in current and future climate conditions, analysis is spatially disaggregated into geographical regions using as an input downscaled results from climatic models. For some crops (cereals, vegetables, pulses, grapevines), changes in future agricultural yields are assessed by means of agronomic simulation models, while for the rest crops changes are assessed through regression models. The expected effects on crop yields of a number of potential adaptation options are also investigated through the same models, and the costs and benefits of these options are also quantitatively assessed. The findings indicate that climate change may create winners and losers depending on their agricultural activity and location, while adaptation can mitigate adverse effects of climate change under cost-effective terms.","container-title":"Climate Risk Management","DOI":"10.1016/j.crm.2017.02.002","ISSN":"2212-0963","journalAbbreviation":"Climate Risk Management","page":"164-182","source":"ScienceDirect","title":"Climate change impacts and adaptation options for the Greek agriculture in 2021–2050: A monetary assessment","title-short":"Climate change impacts and adaptation options for the Greek agriculture in 2021–2050","volume":"16","author":[{"family":"Georgopoulou","given":"E."},{"family":"Mirasgedis","given":"S."},{"family":"Sarafidis","given":"Y."},{"family":"Vitaliotou","given":"M."},{"family":"Lalas","given":"D. P."},{"family":"Theloudis","given":"I."},{"family":"Giannoulaki","given":"K. -D."},{"family":"Dimopoulos","given":"D."},{"family":"Zavras","given":"V."}],"issued":{"date-parts":[["2017",1,1]]}}}],"schema":"https://github.com/citation-style-language/schema/raw/master/csl-citation.json"} </w:instrText>
      </w:r>
      <w:r w:rsidRPr="00691DDD">
        <w:rPr>
          <w:rFonts w:ascii="Calibri" w:hAnsi="Calibri" w:cs="Calibri"/>
        </w:rPr>
        <w:fldChar w:fldCharType="separate"/>
      </w:r>
      <w:r w:rsidRPr="00691DDD">
        <w:rPr>
          <w:rFonts w:ascii="Calibri" w:hAnsi="Calibri" w:cs="Calibri"/>
          <w:lang w:val="fr-FR"/>
        </w:rPr>
        <w:t xml:space="preserve"> </w:t>
      </w:r>
      <w:proofErr w:type="spellStart"/>
      <w:r w:rsidRPr="00691DDD">
        <w:rPr>
          <w:rFonts w:ascii="Calibri" w:hAnsi="Calibri" w:cs="Calibri"/>
          <w:lang w:val="fr-FR"/>
        </w:rPr>
        <w:t>Georgopoulou</w:t>
      </w:r>
      <w:proofErr w:type="spellEnd"/>
      <w:r w:rsidRPr="00691DDD">
        <w:rPr>
          <w:rFonts w:ascii="Calibri" w:hAnsi="Calibri" w:cs="Calibri"/>
          <w:lang w:val="fr-FR"/>
        </w:rPr>
        <w:t xml:space="preserve"> et al., 2017 </w:t>
      </w:r>
      <w:r w:rsidRPr="00691DDD">
        <w:rPr>
          <w:rFonts w:ascii="Calibri" w:hAnsi="Calibri" w:cs="Calibri"/>
        </w:rPr>
        <w:fldChar w:fldCharType="end"/>
      </w:r>
    </w:p>
  </w:endnote>
  <w:endnote w:id="53">
    <w:p w14:paraId="5807A7C8" w14:textId="4DBA7127"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{"citationID":"GrYYPPLN","properties":{"formattedCitation":"(Nicholas and Durham, 2012; Lereboullet et al., 2013; Neethling et al., 2017)","plainCitation":"(Nicholas and Durham, 2012; Lereboullet et al., 2013; Neethling et al., 2017)","noteIndex":53},"citationItems":[{"id":1834,"uris":["http://zotero.org/users/2311545/items/SIBULXD8"],"uri":["http://zotero.org/users/2311545/items/SIBULXD8"],"itemData":{"id":1834,"type":"article-journal","abstract":"The article aims to present a systemic and comparative framework to study adaptation to climate change in agricultural systems. Mediterranean viticulture, projected to experience signiﬁcant and rapid changes in climate, is used as a case study. We apply an international socio-ecological approach focusing on viticulture in Roussillon (France) and McLaren Vale (Australia). Mixed-methods, including analysis of meteorological data, semi-structured interviews and ﬁeld observations, guide an analysis of the exposure, sensitivity and adaptation of the two viticultural systems to climate change. We found that the exposure to climate change is likely to become more acute in the two regions by 2060, and that the sensitivity and adaptive capacity of viticultural systems to such change depend strongly on the complex interaction of ecological and socio-economic factors. Most studies focusing on viticulture and climate change are either oriented towards plant physiology, phenological modelling or the economic future of the industry in one region. The research bridges discipline approaches to provide a holistic comparative analysis to guide adaptation, and argues that socio-ecological analyses will become increasingly important to support adaptation decision-making.","container-title":"Agriculture, Ecosystems &amp; Environment","DOI":"10.1016/j.agee.2012.10.008","ISSN":"01678809","language":"en","page":"273-285","source":"Crossref","title":"Socio-ecological adaptation to climate change: A comparative case study from the Mediterranean wine industry in France and Australia","title-short":"Socio-ecological adaptation to climate change","volume":"164","author":[{"family":"Lereboullet","given":"Anne-Laure"},{"family":"Beltrando","given":"Gérard"},{"family":"Bardsley","given":"Douglas K."}],"issued":{"date-parts":[["2013",1]]}}},{"id":1931,"uris":["http://zotero.org/users/2311545/items/FKC5HFGX"],"uri":["http://zotero.org/users/2311545/items/FKC5HFGX"],"itemData":{"id":1931,"type":"article-journal","abstract":"Adaptation to climate change is a major challenge facing the viticulture sector. Temporally, adaptation strategies and policies have to address potential impacts in both the short- and long term, whereas spatially, place-based and context-specific adaptations are essential. To help inform decision-making on climate change adaptation, this study adopted a bottom-up approach to assess local climate vulnerability and winegrowers’ adaptive processes in two regulated wine-producing areas in the Anjou-Saumur wine growing sub-region, France. The data used for this study were collected through individual semi-structured interviews with 30 winegrowers. With a focus on wine quality, climate-related exposure, and sensitivity were dependent on many contextual factors (e.g., northern geographical position, wine regulatory frameworks, local environmental features) interacting with the regional oceanic climate. Climate and other non-climate-related variables brought about important changes in winegrowers’ management practices, varying in time and space. This ongoing process in decision-making enhanced winegrowers’ adaptive responses, which were primarily reactive (e.g., harvesting, winemaking) or anticipatory (e.g., canopy and soil management) to short-term climate conditions. Winegrowers described changing trends in climateand grapevine (Vitis) -related variables, with the latter attributed to regional climate changes and evolving management practices. Regarding future climate trends, winegrowers’ displayed great uncertainty, placing the most urgent adaptation priority on short-term strategies, while changing grapevine varieties and using irrigation were identified as last resort strategies. The study concluded by discussing the implications of these findings in the context of climate change adaptation in viticulture.","container-title":"Mitigation and Adaptation Strategies for Global Change","DOI":"10.1007/s11027-015-9698-0","ISSN":"1381-2386, 1573-1596","issue":"5","language":"en","page":"777-803","source":"Crossref","title":"Assessing local climate vulnerability and winegrowers’ adaptive processes in the context of climate change","volume":"22","author":[{"family":"Neethling","given":"Etienne"},{"family":"Petitjean","given":"Théo"},{"family":"Quénol","given":"Hervé"},{"family":"Barbeau","given":"Gérard"}],"issued":{"date-parts":[["2017",6]]}}},{"id":1821,"uris":["http://zotero.org/users/2311545/items/TK886YT8"],"uri":["http://zotero.org/users/2311545/items/TK886YT8"],"itemData":{"id":1821,"type":"article-journal","abstract":"The wine industry is increasingly recognized as especially vulnerable to climate change due to the climate sensitivity of both winegrape yields and quality, making it an important model system for the agricultural impacts of global changes. However, agricultural production is strongly inﬂuenced by the management decisions of growers, including their practices to modify the microclimate experienced by the growing crop; these adaptations have not been studied at the vineyard level, where managers on the ground are on the front lines of responding to global change.","container-title":"Global Environmental Change","DOI":"10.1016/j.gloenvcha.2012.01.001","ISSN":"09593780","issue":"2","language":"en","page":"483-494","source":"Crossref","title":"Farm-scale adaptation and vulnerability to environmental stresses: Insights from winegrowing in Northern California","title-short":"Farm-scale adaptation and vulnerability to environmental stresses","volume":"22","author":[{"family":"Nicholas","given":"Kimberly A."},{"family":"Durham","given":"William H."}],"issued":{"date-parts":[["2012",5]]}}}],"schema":"https://github.com/citation-style-language/schema/raw/master/csl-citation.json"} </w:instrText>
      </w:r>
      <w:r w:rsidRPr="00691DDD">
        <w:fldChar w:fldCharType="separate"/>
      </w:r>
      <w:r w:rsidRPr="00691DDD">
        <w:rPr>
          <w:rFonts w:ascii="Calibri" w:hAnsi="Calibri" w:cs="Calibri"/>
          <w:lang w:val="fr-FR"/>
        </w:rPr>
        <w:t xml:space="preserve"> Nicholas and Durham, 2012; Lereboullet et al., 2013; </w:t>
      </w:r>
      <w:proofErr w:type="spellStart"/>
      <w:r w:rsidRPr="00691DDD">
        <w:rPr>
          <w:rFonts w:ascii="Calibri" w:hAnsi="Calibri" w:cs="Calibri"/>
          <w:lang w:val="fr-FR"/>
        </w:rPr>
        <w:t>Neethling</w:t>
      </w:r>
      <w:proofErr w:type="spellEnd"/>
      <w:r w:rsidRPr="00691DDD">
        <w:rPr>
          <w:rFonts w:ascii="Calibri" w:hAnsi="Calibri" w:cs="Calibri"/>
          <w:lang w:val="fr-FR"/>
        </w:rPr>
        <w:t xml:space="preserve"> et al., 2017 </w:t>
      </w:r>
      <w:r w:rsidRPr="00691DDD">
        <w:fldChar w:fldCharType="end"/>
      </w:r>
    </w:p>
  </w:endnote>
  <w:endnote w:id="54">
    <w:p w14:paraId="38BC82BE" w14:textId="04615DE5"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lang w:val="fr-FR"/>
        </w:rPr>
        <w:fldChar w:fldCharType="begin"/>
      </w:r>
      <w:r w:rsidRPr="00691DDD">
        <w:rPr>
          <w:lang w:val="fr-FR"/>
        </w:rPr>
        <w:instrText xml:space="preserve"> ADDIN ZOTERO_ITEM CSL_CITATION {"citationID":"o7og0NjR","properties":{"formattedCitation":"(Monta\\uc0\\u241{}a et al., 2016)","plainCitation":"(Montaña et al., 2016)","noteIndex":54},"citationItems":[{"id":2777,"uris":["http://zotero.org/users/2311545/items/NPKH3SEY"],"uri":["http://zotero.org/users/2311545/items/NPKH3SEY"],"itemData":{"id":2777,"type":"article-journal","container-title":"Regional Environmental Change","DOI":"10.1007/s10113-015-0888-9","ISSN":"1436-3798, 1436-378X","issue":"8","journalAbbreviation":"Reg Environ Change","language":"en","page":"2215-2228","source":"DOI.org (Crossref)","title":"Development, local livelihoods, and vulnerabilities to global environmental change in the South American Dry Andes","volume":"16","author":[{"family":"Montaña","given":"Elma"},{"family":"Diaz","given":"Harry Polo"},{"family":"Hurlbert","given":"Margot"}],"issued":{"date-parts":[["2016",12]]}}}],"schema":"https://github.com/citation-style-language/schema/raw/master/csl-citation.json"} </w:instrText>
      </w:r>
      <w:r w:rsidRPr="00691DDD">
        <w:rPr>
          <w:lang w:val="fr-FR"/>
        </w:rPr>
        <w:fldChar w:fldCharType="separate"/>
      </w:r>
      <w:r w:rsidRPr="00691DDD">
        <w:rPr>
          <w:rFonts w:ascii="Calibri" w:hAnsi="Calibri" w:cs="Calibri"/>
          <w:szCs w:val="24"/>
          <w:lang w:val="fr-FR"/>
        </w:rPr>
        <w:t xml:space="preserve"> </w:t>
      </w:r>
      <w:proofErr w:type="spellStart"/>
      <w:r w:rsidRPr="00691DDD">
        <w:rPr>
          <w:rFonts w:ascii="Calibri" w:hAnsi="Calibri" w:cs="Calibri"/>
          <w:szCs w:val="24"/>
          <w:lang w:val="fr-FR"/>
        </w:rPr>
        <w:t>Montaña</w:t>
      </w:r>
      <w:proofErr w:type="spellEnd"/>
      <w:r w:rsidRPr="00691DDD">
        <w:rPr>
          <w:rFonts w:ascii="Calibri" w:hAnsi="Calibri" w:cs="Calibri"/>
          <w:szCs w:val="24"/>
          <w:lang w:val="fr-FR"/>
        </w:rPr>
        <w:t xml:space="preserve"> et al., 2016 </w:t>
      </w:r>
      <w:r w:rsidRPr="00691DDD">
        <w:rPr>
          <w:lang w:val="fr-FR"/>
        </w:rPr>
        <w:fldChar w:fldCharType="end"/>
      </w:r>
    </w:p>
  </w:endnote>
  <w:endnote w:id="55">
    <w:p w14:paraId="32F079C2" w14:textId="689277F4"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rPr>
          <w:lang w:val="fr-FR"/>
        </w:rPr>
        <w:fldChar w:fldCharType="begin"/>
      </w:r>
      <w:r w:rsidRPr="00691DDD">
        <w:rPr>
          <w:lang w:val="fr-FR"/>
        </w:rPr>
        <w:instrText xml:space="preserve"> ADDIN ZOTERO_ITEM CSL_CITATION {"citationID":"TtS2huIw","properties":{"formattedCitation":"(Ronco et al., 2017)","plainCitation":"(Ronco et al., 2017)","noteIndex":55},"citationItems":[{"id":2419,"uris":["http://zotero.org/users/2311545/items/TH3LAIMW"],"uri":["http://zotero.org/users/2311545/items/TH3LAIMW"],"itemData":{"id":2419,"type":"article-journal","abstract":"In several regions, but especially in semi-arid areas, raising frequency, duration and intensity of drought events, mainly driven by climate change dynamics, are expected to dramatically reduce the current stocks of freshwater resources, limiting crop development and yield especially where agriculture largely depends on irrigation. The achievement of an affordable and sustainable equilibrium between available water resources and irrigation demand is essentially related to the planning and implementation of evidence-based adaptation strategies and actions. The present study proposed a state-of-the art conceptual framework and computational methodology to assess the potential water scarcity risk, due to changes in climate trends and variability, on irrigated croplands. The model has been tested over the irrigated agriculture of Puglia Region, a semi-arid territory with the largest agricultural production in Southern Italy. The methodology, based on the Regional Risk Assessment (RRA) approach, has been applied within a scenario-based hazard framework. Regional climate projections, under alternative greenhouse gas concentration scenarios (RCP4.5 and RCP8.5) and for two different timeframes, 2021–2050 and 2041–2070 compared to the baseline 1976–2005 period, have been used to drive hydrological simulations of river inflow to the most important reservoirs serving irrigation purposes in Puglia. The novelty of the proposed RRA-based approach does not simply rely on the concept of risk as combination of hazard, exposure and vulnerability, but rather elaborates detailed (scientific and conceptual) framing and computational description of these factors, to produce risk spatial pattern maps and related statistics distinguishing the most critical areas (risk hot spots).. The application supported the identification of the most affected areas (i.e. Capitanata Reclamation Consortia under RCP8.5 2041–2070 scenario), crops (fruit trees and vineyards), and, finally, the vulnerability pattern of irrigation systems and networks. The implemented assessment singled out future perspectives of water scarcity risk levels for irrigated agriculture by the administrative extent where individual bodies are in charge of the coordination of public and private irrigation activities (i.e. Reclamation Consortia). Based on the outcomes of the proposed methodology, tailored and knowledge-based adaptation strategies and related actions can be developed, to reduce the risk at both agronomic level (i.e. preferring crops with low vulnerability score, as olive groves) and at structural level (i.e. differentiating the water stocks and supplies and reducing losses and inefficiencies).","container-title":"Advances in Water Resources","DOI":"10.1016/j.advwatres.2017.08.003","ISSN":"0309-1708","journalAbbreviation":"Advances in Water Resources","page":"562-578","source":"ScienceDirect","title":"A risk assessment framework for irrigated agriculture under climate change","volume":"110","author":[{"family":"Ronco","given":"P."},{"family":"Zennaro","given":"F."},{"family":"Torresan","given":"S."},{"family":"Critto","given":"A."},{"family":"Santini","given":"M."},{"family":"Trabucco","given":"A."},{"family":"Zollo","given":"A. L."},{"family":"Galluccio","given":"G."},{"family":"Marcomini","given":"A."}],"issued":{"date-parts":[["2017",12,1]]}}}],"schema":"https://github.com/citation-style-language/schema/raw/master/csl-citation.json"} </w:instrText>
      </w:r>
      <w:r w:rsidRPr="00691DDD">
        <w:rPr>
          <w:lang w:val="fr-FR"/>
        </w:rPr>
        <w:fldChar w:fldCharType="separate"/>
      </w:r>
      <w:r w:rsidRPr="00691DDD">
        <w:rPr>
          <w:rFonts w:ascii="Calibri" w:hAnsi="Calibri" w:cs="Calibri"/>
          <w:lang w:val="fr-FR"/>
        </w:rPr>
        <w:t xml:space="preserve"> </w:t>
      </w:r>
      <w:proofErr w:type="spellStart"/>
      <w:r w:rsidRPr="00691DDD">
        <w:rPr>
          <w:rFonts w:ascii="Calibri" w:hAnsi="Calibri" w:cs="Calibri"/>
          <w:lang w:val="fr-FR"/>
        </w:rPr>
        <w:t>Ronco</w:t>
      </w:r>
      <w:proofErr w:type="spellEnd"/>
      <w:r w:rsidRPr="00691DDD">
        <w:rPr>
          <w:rFonts w:ascii="Calibri" w:hAnsi="Calibri" w:cs="Calibri"/>
          <w:lang w:val="fr-FR"/>
        </w:rPr>
        <w:t xml:space="preserve"> et al., 2017 </w:t>
      </w:r>
      <w:r w:rsidRPr="00691DDD">
        <w:rPr>
          <w:lang w:val="fr-FR"/>
        </w:rPr>
        <w:fldChar w:fldCharType="end"/>
      </w:r>
    </w:p>
  </w:endnote>
  <w:endnote w:id="56">
    <w:p w14:paraId="4E7BCCEF" w14:textId="013040DB" w:rsidR="00AD2ABD" w:rsidRPr="00645340" w:rsidRDefault="00AD2ABD" w:rsidP="00AB675F">
      <w:pPr>
        <w:pStyle w:val="Notedefin"/>
        <w:keepNext/>
        <w:rPr>
          <w:lang w:val="fr-FR"/>
        </w:rPr>
      </w:pPr>
      <w:r w:rsidRPr="00691DDD">
        <w:rPr>
          <w:rStyle w:val="Appeldenotedefin"/>
          <w:vertAlign w:val="baseline"/>
        </w:rPr>
        <w:endnoteRef/>
      </w:r>
      <w:r w:rsidRPr="00645340">
        <w:rPr>
          <w:lang w:val="fr-FR"/>
        </w:rPr>
        <w:t xml:space="preserve"> </w:t>
      </w:r>
      <w:r w:rsidRPr="00691DDD">
        <w:fldChar w:fldCharType="begin"/>
      </w:r>
      <w:r w:rsidRPr="00645340">
        <w:rPr>
          <w:lang w:val="fr-FR"/>
        </w:rPr>
        <w:instrText xml:space="preserve"> ADDIN ZOTERO_ITEM CSL_CITATION {"citationID":"hkfh6A5a","properties":{"formattedCitation":"(Pickering et al., 2014)","plainCitation":"(Pickering et al., 2014)","noteIndex":56},"citationItems":[{"id":2801,"uris":["http://zotero.org/users/2311545/items/BGINS9TH"],"uri":["http://zotero.org/users/2311545/items/BGINS9TH"],"itemData":{"id":2801,"type":"article-journal","abstract":"The agricultural sector is sensitive to climate change (CC) and associated extreme weather events, but suffers in Canada from little strategic research and policy on CC adaptation. The wine industry is often considered the </w:instrText>
      </w:r>
      <w:r w:rsidRPr="00691DDD">
        <w:rPr>
          <w:rFonts w:cs="Times New Roman"/>
          <w:lang w:val="fr-FR"/>
        </w:rPr>
        <w:instrText>‘</w:instrText>
      </w:r>
      <w:r w:rsidRPr="00645340">
        <w:rPr>
          <w:lang w:val="fr-FR"/>
        </w:rPr>
        <w:instrText>canary in the coal mine</w:instrText>
      </w:r>
      <w:r w:rsidRPr="00691DDD">
        <w:rPr>
          <w:rFonts w:cs="Times New Roman"/>
          <w:lang w:val="fr-FR"/>
        </w:rPr>
        <w:instrText>’</w:instrText>
      </w:r>
      <w:r w:rsidRPr="00645340">
        <w:rPr>
          <w:lang w:val="fr-FR"/>
        </w:rPr>
        <w:instrText xml:space="preserve"> for CC due to the narrow geographic and climatic range required by many grape varieties. Adapting to current and projected CC challenges requires industry stakeholders to determine the risks and benefits of CC and develop a level of adaptive capacity. The objectives of this study were to develop a metric for assessing the adaptive capacity of a grape/wine industry, and apply that tool to the Ontario case. A framework was developed and represented as a three-tiered, hierarchical structure, which included eight operational and strategic determinants (financial, institutional, technological, political, knowledge, perception, social capital, and diversity), and 28 specific indicators. A comprehensive questionnaire was created from this framework consisting of 26 statements to which participants indicated their level of agreement. 42 Ontario wine industry members completed the questionnaire via an on-line survey. Results show that the Ontario wine industry has some adaptive capacity in all the key resources assessed. Perception, diversity and knowledge are the determinants with the greatest capacity, while political and technological are the most limited. Overall, industry stakeholders do not perceive they are at a coping threshold and are interested in learning how to better adapt to the impacts of CC. Results are discussed in the context of opportunities to enhance adaptive capacity in the grape/wine community.","language":"en","page":"7","source":"Zotero","title":"DETERMINING ADAPTIVE CAPACITY TO CLIMATE CHANGE IN THE GRAPE AND WINE INDUSTRY","author":[{"family":"Pickering","given":"Kerrie"},{"family":"Plummer","given":"Ryan"},{"family":"Pickering","given":"Gary"}],"issued":{"date-parts":[["2014"]]}}}],"schema":"https://github.com/citation-style-language/schema/raw/master/csl-citation.json"} </w:instrText>
      </w:r>
      <w:r w:rsidRPr="00691DDD">
        <w:fldChar w:fldCharType="separate"/>
      </w:r>
      <w:r w:rsidRPr="00645340">
        <w:rPr>
          <w:rFonts w:ascii="Calibri" w:hAnsi="Calibri" w:cs="Calibri"/>
          <w:lang w:val="fr-FR"/>
        </w:rPr>
        <w:t xml:space="preserve"> Pickering et al., 2014 </w:t>
      </w:r>
      <w:r w:rsidRPr="00691DDD">
        <w:fldChar w:fldCharType="end"/>
      </w:r>
    </w:p>
  </w:endnote>
  <w:endnote w:id="57">
    <w:p w14:paraId="7E71D545" w14:textId="1C2B6981" w:rsidR="00AD2ABD" w:rsidRPr="00645340" w:rsidRDefault="00AD2ABD" w:rsidP="00CD39DD">
      <w:pPr>
        <w:pStyle w:val="Notedefin"/>
        <w:rPr>
          <w:lang w:val="fr-FR"/>
        </w:rPr>
      </w:pPr>
      <w:r w:rsidRPr="00691DDD">
        <w:rPr>
          <w:rStyle w:val="Appeldenotedefin"/>
          <w:vertAlign w:val="baseline"/>
        </w:rPr>
        <w:endnoteRef/>
      </w:r>
      <w:r w:rsidRPr="00645340">
        <w:rPr>
          <w:lang w:val="fr-FR"/>
        </w:rPr>
        <w:t xml:space="preserve"> </w:t>
      </w:r>
      <w:r w:rsidRPr="00691DDD">
        <w:rPr>
          <w:rFonts w:ascii="Calibri" w:hAnsi="Calibri" w:cs="Calibri"/>
          <w:lang w:val="fr-FR"/>
        </w:rPr>
        <w:fldChar w:fldCharType="begin"/>
      </w:r>
      <w:r w:rsidRPr="00645340">
        <w:rPr>
          <w:rFonts w:ascii="Calibri" w:hAnsi="Calibri" w:cs="Calibri"/>
          <w:lang w:val="fr-FR"/>
        </w:rPr>
        <w:instrText xml:space="preserve"> ADDIN ZOTERO_ITEM CSL_CITATION {"citationID":"ivaK4Cea","properties":{"formattedCitation":"(Grantham et al., 2010)","plainCitation":"(Grantham et al., 2010)","noteIndex":57},"citationItems":[{"id":1860,"uris":["http://zotero.org/users/2311545/items/ZB4TEDSJ"],"uri":["http://zotero.org/users/2311545/items/ZB4TEDSJ"],"itemData":{"id":1860,"type":"article-journal","abstract":"1. In Mediterranean and other water-stressed climates, water management is critical to the conservation of freshwater ecosystems. To secure and maintain water allocations for the environment, integrated water management approaches are needed that consider ecosystem flow requirements, patterns of human water demands and the temporal and spatial dynamics of water availability. 2. Human settlements in Mediterranean climates have constructed water storage and conveyance projects at a scale and level of complexity far exceeding those in other, less seasonal climates. As a result, multiple ecological stressors associated with natural periods of flooding and drying are compounded by anthropogenic impacts resulting from water infrastructure development. 3. Despite substantial investments in freshwater ecosystem conservation, particularly in California, U.S.A., success has been limited because the scales at which river management and restoration are implemented are often discordant with the temporal and spatial scales at which ecosystem processes operate. Often, there is also strong social and political resistance to restricting water allocation to existing consumptive uses for environmental protection purposes. Furthermore, institutions rarely have the capacity to develop and implement integrated management programmes needed for freshwater ecosystem conservation. 4. We propose an integrated framework for streamflow management that explicitly considers the temporal and spatial dynamics of water supply and needs of both human and natural systems. This approach makes it possible to assess the effects of alternative management strategies to human water security and ecosystem conditions and facilitates integrated decision-making by water management institutions. 5. We illustrate the framework by applying a GIS-based hydrologic model in a Mediterranean-climate watershed in Sonoma County, California, U.S.A. The model is designed to assess the hydrologic impacts of multiple water users distributed throughout a stream network. We analyse the effects of vineyard water management on environmental flows to (i) evaluate streamflow impacts from small storage ponds designed to meet human water demands and reduce summer diversions, (ii) prioritise the placement of storage ponds to meet human water needs while optimising environmental flow benefits and (iii) examine the environmental and social consequences of flow management policies designed to regulate the timing of diversions to protect ecosystem functions. 6. Thematic implications: spatially explicit models that represent anthropogenic stressors (e.g. water diversions) and environmental flow needs are required to address persistent and growing threats to freshwater biodiversity. A coupled human-natural system approach to water management is particularly useful in Mediterranean climates, characterised by severe competition for water resources and high spatial and temporal variability in flow regimes. However, lessons learned from our analyses are applicable to other highly seasonal systems and those that are expected to have increased precipitation variability resulting from climate change.","container-title":"Freshwater Biology","DOI":"10.1111/j.1365-2427.2009.02379.x","ISSN":"0046-5070","journalAbbreviation":"Freshw. Biol.","language":"English","note":"WOS:000273687100011","page":"188-204","source":"Web of Science","title":"Climatic influences and anthropogenic stressors: an integrated framework for streamflow management in Mediterranean-climate California, USA","title-short":"Climatic influences and anthropogenic stressors","volume":"55","author":[{"family":"Grantham","given":"Theodore E."},{"family":"Merenlender","given":"Adina M."},{"family":"Resh","given":"Vincent H."}],"issued":{"date-parts":[["2010",1]]}}}],"schema":"https://github.com/citation-style-language/schema/raw/master/csl-citation.json"} </w:instrText>
      </w:r>
      <w:r w:rsidRPr="00691DDD">
        <w:rPr>
          <w:rFonts w:ascii="Calibri" w:hAnsi="Calibri" w:cs="Calibri"/>
          <w:lang w:val="fr-FR"/>
        </w:rPr>
        <w:fldChar w:fldCharType="separate"/>
      </w:r>
      <w:r w:rsidRPr="00645340">
        <w:rPr>
          <w:rFonts w:ascii="Calibri" w:hAnsi="Calibri" w:cs="Calibri"/>
          <w:lang w:val="fr-FR"/>
        </w:rPr>
        <w:t xml:space="preserve"> Grantham et al., 2010 </w:t>
      </w:r>
      <w:r w:rsidRPr="00691DDD">
        <w:rPr>
          <w:rFonts w:ascii="Calibri" w:hAnsi="Calibri" w:cs="Calibri"/>
          <w:lang w:val="fr-FR"/>
        </w:rPr>
        <w:fldChar w:fldCharType="end"/>
      </w:r>
    </w:p>
  </w:endnote>
  <w:endnote w:id="58">
    <w:p w14:paraId="700FC035" w14:textId="5E64FB3D" w:rsidR="00AD2ABD" w:rsidRPr="00691DDD" w:rsidRDefault="00AD2ABD" w:rsidP="00CD39DD">
      <w:pPr>
        <w:pStyle w:val="Notedefin"/>
        <w:rPr>
          <w:lang w:val="fr-FR"/>
        </w:rPr>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{"citationID":"HRmaJZ9d","properties":{"formattedCitation":"(Carvalho-Santos et al., 2016)","plainCitation":"(Carvalho-Santos et al., 2016)","noteIndex":58},"citationItems":[{"id":1867,"uris":["http://zotero.org/users/2311545/items/A7P9JEZX"],"uri":["http://zotero.org/users/2311545/items/A7P9JEZX"],"itemData":{"id":1867,"type":"article-journal","abstract":"The separated and combined effects of land-cover scenarios and future climate on the provision of hydrological services were evaluated in Vez watershed, northern Portugal. Soil and Water Assessment Tool was calibrated against daily discharge, sediments and nitrates, with good agreements between model predictions and ﬁeld observations. Four hypothetical land-cover scenarios were applied under current climate conditions (eucalyptus/pine, oak, agriculture/vine and low vegetation). A statistical downscaling of four General Circulation Models, bias-corrected with ground observations, was carried out for 2021–2040 and 2041–2060, using representative concentration pathway 4.5 scenario. Also, the combined effects of future climate conditions were evaluated under eucalyptus/pine and agriculture/vine scenario.","container-title":"Hydrological Processes","DOI":"10.1002/hyp.10621","ISSN":"08856087","issue":"5","language":"en","page":"720-738","source":"Crossref","title":"Assessing the effects of land cover and future climate conditions on the provision of hydrological services in a medium-sized watershed of Portugal: Impacts of Land Cover and Future Climate on Hydrological Services","title-short":"Assessing the effects of land cover and future climate conditions on the provision of hydrological services in a medium-sized watershed of Portugal","volume":"30","author":[{"family":"Carvalho-Santos","given":"Claudia"},{"family":"Nunes","given":"João Pedro"},{"family":"Monteiro","given":"António T."},{"family":"Hein","given":"Lars"},{"family":"Honrado","given":"João Pradinho"}],"issued":{"date-parts":[["2016",2,28]]}}}],"schema":"https://github.com/citation-style-language/schema/raw/master/csl-citation.json"} </w:instrText>
      </w:r>
      <w:r w:rsidRPr="00691DDD">
        <w:fldChar w:fldCharType="separate"/>
      </w:r>
      <w:r w:rsidRPr="00691DDD">
        <w:rPr>
          <w:rFonts w:ascii="Calibri" w:hAnsi="Calibri" w:cs="Calibri"/>
          <w:lang w:val="fr-FR"/>
        </w:rPr>
        <w:t xml:space="preserve"> Carvalho-Santos et al., 2016 </w:t>
      </w:r>
      <w:r w:rsidRPr="00691DDD">
        <w:fldChar w:fldCharType="end"/>
      </w:r>
    </w:p>
  </w:endnote>
  <w:endnote w:id="59">
    <w:p w14:paraId="29317D38" w14:textId="57D21181" w:rsidR="00AD2ABD" w:rsidRPr="00AB675F" w:rsidRDefault="00AD2ABD" w:rsidP="00CD39DD">
      <w:pPr>
        <w:pStyle w:val="Notedefin"/>
      </w:pPr>
      <w:r w:rsidRPr="00691DDD">
        <w:rPr>
          <w:rStyle w:val="Appeldenotedefin"/>
          <w:vertAlign w:val="baseline"/>
        </w:rPr>
        <w:endnoteRef/>
      </w:r>
      <w:r w:rsidRPr="00691DDD">
        <w:rPr>
          <w:lang w:val="fr-FR"/>
        </w:rPr>
        <w:t xml:space="preserve"> </w:t>
      </w:r>
      <w:r w:rsidRPr="00691DDD">
        <w:fldChar w:fldCharType="begin"/>
      </w:r>
      <w:r w:rsidRPr="00691DDD">
        <w:rPr>
          <w:lang w:val="fr-FR"/>
        </w:rPr>
        <w:instrText xml:space="preserve"> ADDIN ZOTERO_ITEM CSL_CITATION {"citationID":"UZFuO4Vq","properties":{"formattedCitation":"(Zhu et al., 2016)","plainCitation":"(Zhu et al., 2016)","noteIndex":59},"citationItems":[{"id":2680,"uris":["http://zotero.org/users/2311545/items/MQZXJZCR"],"uri":["http://zotero.org/users/2311545/items/MQZXJZCR"],"itemData":{"id":2680,"type":"article-journal","container-title":"Regional Environmental Change","DOI":"10.1007/s10113-014-0622-z","ISSN":"1436-3798, 1436-378X","issue":"1","journalAbbreviation":"Reg Environ Change","language":"en","page":"85-96","source":"DOI.org (Crossref)","title":"A model-based assessment of adaptation options for Chianti wine production in Tuscany (Italy) under climate change","volume":"16","author":[{"family":"Zhu","given":"Xueqin"},{"family":"Moriondo","given":"Marco"},{"family":"Ierland","given":"Ekko C.","non-dropping-particle":"van"},{"family":"Trombi","given":"Giacomo"},{"family":"Bindi","given":"Marco"}],"issued":{"date-parts":[["2016",1]]}}}],"schema":"https://github.com/citation-style-language/schema/raw/master/csl-citation.json"} </w:instrText>
      </w:r>
      <w:r w:rsidRPr="00691DDD">
        <w:fldChar w:fldCharType="separate"/>
      </w:r>
      <w:r w:rsidRPr="00691DDD">
        <w:rPr>
          <w:rFonts w:ascii="Calibri" w:hAnsi="Calibri" w:cs="Calibri"/>
          <w:lang w:val="fr-FR"/>
        </w:rPr>
        <w:t xml:space="preserve"> Zhu et al., 2016 </w:t>
      </w:r>
      <w:r w:rsidRPr="00691DDD">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AD2ABD" w:rsidRPr="00577C4C" w:rsidRDefault="00AD2ABD">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6B7523B" w:rsidR="00AD2ABD" w:rsidRPr="00577C4C" w:rsidRDefault="00AD2AB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066F6">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6B7523B" w:rsidR="00AD2ABD" w:rsidRPr="00577C4C" w:rsidRDefault="00AD2AB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066F6">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AD2ABD" w:rsidRPr="00577C4C" w:rsidRDefault="00AD2ABD">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56C4BD2" w:rsidR="00AD2ABD" w:rsidRPr="00577C4C" w:rsidRDefault="00AD2AB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066F6">
                            <w:rPr>
                              <w:noProof/>
                              <w:color w:val="000000" w:themeColor="text1"/>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56C4BD2" w:rsidR="00AD2ABD" w:rsidRPr="00577C4C" w:rsidRDefault="00AD2AB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066F6">
                      <w:rPr>
                        <w:noProof/>
                        <w:color w:val="000000" w:themeColor="text1"/>
                        <w:szCs w:val="40"/>
                      </w:rPr>
                      <w:t>15</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AC1F" w14:textId="77777777" w:rsidR="00AD2ABD" w:rsidRDefault="00AD2AB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C7554" w14:textId="77777777" w:rsidR="00F0397F" w:rsidRDefault="00F0397F" w:rsidP="00117666">
      <w:pPr>
        <w:spacing w:after="0"/>
      </w:pPr>
      <w:r>
        <w:separator/>
      </w:r>
    </w:p>
  </w:footnote>
  <w:footnote w:type="continuationSeparator" w:id="0">
    <w:p w14:paraId="7E87EA23" w14:textId="77777777" w:rsidR="00F0397F" w:rsidRDefault="00F0397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AD2ABD" w:rsidRPr="009151AA" w:rsidRDefault="00AD2AB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4F681" w14:textId="77777777" w:rsidR="00AD2ABD" w:rsidRDefault="00AD2ABD">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AD2ABD" w:rsidRDefault="00AD2AB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9"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D133E"/>
    <w:multiLevelType w:val="hybridMultilevel"/>
    <w:tmpl w:val="97E6BC8A"/>
    <w:lvl w:ilvl="0" w:tplc="067886A2">
      <w:start w:val="4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15D0C"/>
    <w:rsid w:val="00017630"/>
    <w:rsid w:val="0002174A"/>
    <w:rsid w:val="00034304"/>
    <w:rsid w:val="00035434"/>
    <w:rsid w:val="00052A14"/>
    <w:rsid w:val="00077D53"/>
    <w:rsid w:val="000B06E4"/>
    <w:rsid w:val="00105FD9"/>
    <w:rsid w:val="001131C1"/>
    <w:rsid w:val="00117666"/>
    <w:rsid w:val="00151320"/>
    <w:rsid w:val="0015332E"/>
    <w:rsid w:val="0015499D"/>
    <w:rsid w:val="001549D3"/>
    <w:rsid w:val="00160065"/>
    <w:rsid w:val="0016459F"/>
    <w:rsid w:val="00177D84"/>
    <w:rsid w:val="001A4985"/>
    <w:rsid w:val="001D4DCC"/>
    <w:rsid w:val="001E41DA"/>
    <w:rsid w:val="002426C0"/>
    <w:rsid w:val="00267D18"/>
    <w:rsid w:val="00274347"/>
    <w:rsid w:val="002868E2"/>
    <w:rsid w:val="002869C3"/>
    <w:rsid w:val="002936E4"/>
    <w:rsid w:val="002A319B"/>
    <w:rsid w:val="002B4A57"/>
    <w:rsid w:val="002C74CA"/>
    <w:rsid w:val="002F5D48"/>
    <w:rsid w:val="003123F4"/>
    <w:rsid w:val="003544FB"/>
    <w:rsid w:val="00393C4D"/>
    <w:rsid w:val="00395723"/>
    <w:rsid w:val="003D2F2D"/>
    <w:rsid w:val="003D7F75"/>
    <w:rsid w:val="00401590"/>
    <w:rsid w:val="00443C69"/>
    <w:rsid w:val="00447801"/>
    <w:rsid w:val="00452E9C"/>
    <w:rsid w:val="004735C8"/>
    <w:rsid w:val="004947A6"/>
    <w:rsid w:val="004961FF"/>
    <w:rsid w:val="004C77CB"/>
    <w:rsid w:val="00517A89"/>
    <w:rsid w:val="005250F2"/>
    <w:rsid w:val="00537A56"/>
    <w:rsid w:val="00593EEA"/>
    <w:rsid w:val="005A5EEE"/>
    <w:rsid w:val="005B1D1A"/>
    <w:rsid w:val="005D1E6D"/>
    <w:rsid w:val="005F2CAB"/>
    <w:rsid w:val="006375C7"/>
    <w:rsid w:val="00645340"/>
    <w:rsid w:val="00654E8F"/>
    <w:rsid w:val="00660D05"/>
    <w:rsid w:val="006667BF"/>
    <w:rsid w:val="006771A7"/>
    <w:rsid w:val="006820B1"/>
    <w:rsid w:val="00691DDD"/>
    <w:rsid w:val="006A4D7E"/>
    <w:rsid w:val="006B6959"/>
    <w:rsid w:val="006B7D14"/>
    <w:rsid w:val="00701727"/>
    <w:rsid w:val="0070566C"/>
    <w:rsid w:val="007066F6"/>
    <w:rsid w:val="00714C50"/>
    <w:rsid w:val="00725A7D"/>
    <w:rsid w:val="007501BE"/>
    <w:rsid w:val="00790BB3"/>
    <w:rsid w:val="007B1075"/>
    <w:rsid w:val="007C0B7E"/>
    <w:rsid w:val="007C206C"/>
    <w:rsid w:val="00806C9E"/>
    <w:rsid w:val="00817DD6"/>
    <w:rsid w:val="0083759F"/>
    <w:rsid w:val="00885156"/>
    <w:rsid w:val="008D750D"/>
    <w:rsid w:val="009151AA"/>
    <w:rsid w:val="0093429D"/>
    <w:rsid w:val="009349CB"/>
    <w:rsid w:val="00943573"/>
    <w:rsid w:val="00964134"/>
    <w:rsid w:val="00970F7D"/>
    <w:rsid w:val="00985055"/>
    <w:rsid w:val="00994A3D"/>
    <w:rsid w:val="009A5B00"/>
    <w:rsid w:val="009A7789"/>
    <w:rsid w:val="009C2B12"/>
    <w:rsid w:val="009E7DB0"/>
    <w:rsid w:val="00A174D9"/>
    <w:rsid w:val="00A21E28"/>
    <w:rsid w:val="00A277F0"/>
    <w:rsid w:val="00A52660"/>
    <w:rsid w:val="00A8137A"/>
    <w:rsid w:val="00A933AA"/>
    <w:rsid w:val="00AA4D24"/>
    <w:rsid w:val="00AB6715"/>
    <w:rsid w:val="00AB675F"/>
    <w:rsid w:val="00AC6698"/>
    <w:rsid w:val="00AD2ABD"/>
    <w:rsid w:val="00AD49E0"/>
    <w:rsid w:val="00AE0BBB"/>
    <w:rsid w:val="00B01831"/>
    <w:rsid w:val="00B15CED"/>
    <w:rsid w:val="00B1671E"/>
    <w:rsid w:val="00B23D98"/>
    <w:rsid w:val="00B25EB8"/>
    <w:rsid w:val="00B37F4D"/>
    <w:rsid w:val="00B55EC8"/>
    <w:rsid w:val="00BE0D7F"/>
    <w:rsid w:val="00C34525"/>
    <w:rsid w:val="00C52A7B"/>
    <w:rsid w:val="00C56BAF"/>
    <w:rsid w:val="00C679AA"/>
    <w:rsid w:val="00C75972"/>
    <w:rsid w:val="00C76CF2"/>
    <w:rsid w:val="00CD066B"/>
    <w:rsid w:val="00CD39DD"/>
    <w:rsid w:val="00CE1C4A"/>
    <w:rsid w:val="00CE4FEE"/>
    <w:rsid w:val="00D060CF"/>
    <w:rsid w:val="00D42AA9"/>
    <w:rsid w:val="00D7661A"/>
    <w:rsid w:val="00DA6CF3"/>
    <w:rsid w:val="00DB4AAA"/>
    <w:rsid w:val="00DB59C3"/>
    <w:rsid w:val="00DC259A"/>
    <w:rsid w:val="00DD0840"/>
    <w:rsid w:val="00DE23E8"/>
    <w:rsid w:val="00E52377"/>
    <w:rsid w:val="00E537AD"/>
    <w:rsid w:val="00E57337"/>
    <w:rsid w:val="00E64E17"/>
    <w:rsid w:val="00E866C9"/>
    <w:rsid w:val="00EA3D3C"/>
    <w:rsid w:val="00EC090A"/>
    <w:rsid w:val="00ED20B5"/>
    <w:rsid w:val="00EE4235"/>
    <w:rsid w:val="00EF0654"/>
    <w:rsid w:val="00F0397F"/>
    <w:rsid w:val="00F16DFD"/>
    <w:rsid w:val="00F46900"/>
    <w:rsid w:val="00F61D89"/>
    <w:rsid w:val="00FA1A01"/>
    <w:rsid w:val="00FA4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9"/>
    <w:qFormat/>
    <w:rsid w:val="00AB6715"/>
    <w:pPr>
      <w:numPr>
        <w:numId w:val="3"/>
      </w:numPr>
      <w:spacing w:before="240"/>
      <w:contextualSpacing w:val="0"/>
      <w:outlineLvl w:val="0"/>
    </w:pPr>
    <w:rPr>
      <w:b/>
    </w:rPr>
  </w:style>
  <w:style w:type="paragraph" w:styleId="Titre2">
    <w:name w:val="heading 2"/>
    <w:basedOn w:val="Titre1"/>
    <w:next w:val="Normal"/>
    <w:link w:val="Titre2Car"/>
    <w:uiPriority w:val="9"/>
    <w:qFormat/>
    <w:rsid w:val="00AB6715"/>
    <w:pPr>
      <w:numPr>
        <w:ilvl w:val="1"/>
      </w:numPr>
      <w:spacing w:after="200"/>
      <w:outlineLvl w:val="1"/>
    </w:pPr>
  </w:style>
  <w:style w:type="paragraph" w:styleId="Titre3">
    <w:name w:val="heading 3"/>
    <w:basedOn w:val="Normal"/>
    <w:next w:val="Normal"/>
    <w:link w:val="Titre3Car"/>
    <w:uiPriority w:val="9"/>
    <w:qFormat/>
    <w:rsid w:val="00AB6715"/>
    <w:pPr>
      <w:keepNext/>
      <w:keepLines/>
      <w:numPr>
        <w:ilvl w:val="2"/>
        <w:numId w:val="3"/>
      </w:numPr>
      <w:spacing w:before="40" w:after="120"/>
      <w:outlineLvl w:val="2"/>
    </w:pPr>
    <w:rPr>
      <w:rFonts w:eastAsiaTheme="majorEastAsia" w:cstheme="majorBidi"/>
      <w:b/>
      <w:szCs w:val="24"/>
    </w:rPr>
  </w:style>
  <w:style w:type="paragraph" w:styleId="Titre4">
    <w:name w:val="heading 4"/>
    <w:basedOn w:val="Titre3"/>
    <w:next w:val="Normal"/>
    <w:link w:val="Titre4Car"/>
    <w:uiPriority w:val="9"/>
    <w:qFormat/>
    <w:rsid w:val="00AB6715"/>
    <w:pPr>
      <w:numPr>
        <w:ilvl w:val="3"/>
      </w:numPr>
      <w:outlineLvl w:val="3"/>
    </w:pPr>
    <w:rPr>
      <w:iCs/>
    </w:rPr>
  </w:style>
  <w:style w:type="paragraph" w:styleId="Titre5">
    <w:name w:val="heading 5"/>
    <w:basedOn w:val="Titre4"/>
    <w:next w:val="Normal"/>
    <w:link w:val="Titre5Car"/>
    <w:uiPriority w:val="9"/>
    <w:qFormat/>
    <w:rsid w:val="00AB6715"/>
    <w:pPr>
      <w:numPr>
        <w:ilvl w:val="4"/>
      </w:numPr>
      <w:outlineLvl w:val="4"/>
    </w:pPr>
  </w:style>
  <w:style w:type="paragraph" w:styleId="Titre6">
    <w:name w:val="heading 6"/>
    <w:basedOn w:val="Normal"/>
    <w:next w:val="Normal"/>
    <w:link w:val="Titre6Car"/>
    <w:uiPriority w:val="9"/>
    <w:semiHidden/>
    <w:unhideWhenUsed/>
    <w:qFormat/>
    <w:rsid w:val="00CD39DD"/>
    <w:pPr>
      <w:keepNext/>
      <w:keepLines/>
      <w:spacing w:before="40" w:after="0"/>
      <w:outlineLvl w:val="5"/>
    </w:pPr>
    <w:rPr>
      <w:rFonts w:ascii="Calibri Light" w:eastAsia="Times New Roman" w:hAnsi="Calibri Light" w:cs="Times New Roman"/>
      <w:color w:val="1F4D78"/>
      <w:sz w:val="20"/>
      <w:lang w:val="en-GB"/>
    </w:rPr>
  </w:style>
  <w:style w:type="paragraph" w:styleId="Titre7">
    <w:name w:val="heading 7"/>
    <w:basedOn w:val="Normal"/>
    <w:next w:val="Normal"/>
    <w:link w:val="Titre7Car"/>
    <w:uiPriority w:val="9"/>
    <w:semiHidden/>
    <w:unhideWhenUsed/>
    <w:qFormat/>
    <w:rsid w:val="00CD39DD"/>
    <w:pPr>
      <w:keepNext/>
      <w:keepLines/>
      <w:spacing w:before="40" w:after="0"/>
      <w:outlineLvl w:val="6"/>
    </w:pPr>
    <w:rPr>
      <w:rFonts w:ascii="Calibri Light" w:eastAsia="Times New Roman" w:hAnsi="Calibri Light" w:cs="Times New Roman"/>
      <w:i/>
      <w:iCs/>
      <w:color w:val="1F4D78"/>
      <w:sz w:val="20"/>
      <w:lang w:val="en-GB"/>
    </w:rPr>
  </w:style>
  <w:style w:type="paragraph" w:styleId="Titre8">
    <w:name w:val="heading 8"/>
    <w:basedOn w:val="Normal"/>
    <w:next w:val="Normal"/>
    <w:link w:val="Titre8Car"/>
    <w:uiPriority w:val="9"/>
    <w:semiHidden/>
    <w:unhideWhenUsed/>
    <w:qFormat/>
    <w:rsid w:val="00CD39DD"/>
    <w:pPr>
      <w:keepNext/>
      <w:keepLines/>
      <w:spacing w:before="40" w:after="0"/>
      <w:outlineLvl w:val="7"/>
    </w:pPr>
    <w:rPr>
      <w:rFonts w:ascii="Calibri Light" w:eastAsia="Times New Roman" w:hAnsi="Calibri Light" w:cs="Times New Roman"/>
      <w:color w:val="272727"/>
      <w:sz w:val="21"/>
      <w:szCs w:val="21"/>
      <w:lang w:val="en-GB"/>
    </w:rPr>
  </w:style>
  <w:style w:type="paragraph" w:styleId="Titre9">
    <w:name w:val="heading 9"/>
    <w:basedOn w:val="Normal"/>
    <w:next w:val="Normal"/>
    <w:link w:val="Titre9Car"/>
    <w:uiPriority w:val="9"/>
    <w:semiHidden/>
    <w:unhideWhenUsed/>
    <w:qFormat/>
    <w:rsid w:val="00CD39DD"/>
    <w:pPr>
      <w:keepNext/>
      <w:keepLines/>
      <w:spacing w:before="40" w:after="0"/>
      <w:outlineLvl w:val="8"/>
    </w:pPr>
    <w:rPr>
      <w:rFonts w:ascii="Calibri Light" w:eastAsia="Times New Roman" w:hAnsi="Calibri Light" w:cs="Times New Roman"/>
      <w:i/>
      <w:iCs/>
      <w:color w:val="272727"/>
      <w:sz w:val="21"/>
      <w:szCs w:val="21"/>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9"/>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11"/>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11"/>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1"/>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unhideWhenUsed/>
    <w:rsid w:val="00AB6715"/>
    <w:rPr>
      <w:sz w:val="20"/>
      <w:szCs w:val="20"/>
    </w:rPr>
  </w:style>
  <w:style w:type="character" w:customStyle="1" w:styleId="CommentaireCar">
    <w:name w:val="Commentaire Car"/>
    <w:basedOn w:val="Policepardfaut"/>
    <w:link w:val="Commentaire"/>
    <w:uiPriority w:val="99"/>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unhideWhenUsed/>
    <w:rsid w:val="00AB6715"/>
    <w:pPr>
      <w:spacing w:after="0"/>
    </w:pPr>
    <w:rPr>
      <w:sz w:val="20"/>
      <w:szCs w:val="20"/>
    </w:rPr>
  </w:style>
  <w:style w:type="character" w:customStyle="1" w:styleId="NotedebasdepageCar">
    <w:name w:val="Note de bas de page Car"/>
    <w:basedOn w:val="Policepardfaut"/>
    <w:link w:val="Notedebasdepage"/>
    <w:uiPriority w:val="99"/>
    <w:rsid w:val="00AB6715"/>
    <w:rPr>
      <w:rFonts w:ascii="Times New Roman" w:hAnsi="Times New Roman"/>
      <w:sz w:val="20"/>
      <w:szCs w:val="20"/>
    </w:rPr>
  </w:style>
  <w:style w:type="paragraph" w:styleId="En-tte">
    <w:name w:val="header"/>
    <w:basedOn w:val="Normal"/>
    <w:link w:val="En-tteCar"/>
    <w:unhideWhenUsed/>
    <w:rsid w:val="00AB6715"/>
    <w:pPr>
      <w:tabs>
        <w:tab w:val="center" w:pos="4844"/>
        <w:tab w:val="right" w:pos="9689"/>
      </w:tabs>
    </w:pPr>
    <w:rPr>
      <w:b/>
    </w:rPr>
  </w:style>
  <w:style w:type="character" w:customStyle="1" w:styleId="En-tteCar">
    <w:name w:val="En-tête Car"/>
    <w:basedOn w:val="Policepardfaut"/>
    <w:link w:val="En-tte"/>
    <w:rsid w:val="00AB6715"/>
    <w:rPr>
      <w:rFonts w:ascii="Times New Roman" w:hAnsi="Times New Roman"/>
      <w:b/>
      <w:sz w:val="24"/>
    </w:rPr>
  </w:style>
  <w:style w:type="paragraph" w:styleId="Paragraphedeliste">
    <w:name w:val="List Paragraph"/>
    <w:basedOn w:val="Normal"/>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9"/>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9"/>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uiPriority w:val="10"/>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customStyle="1" w:styleId="Titre61">
    <w:name w:val="Titre 61"/>
    <w:basedOn w:val="Normal"/>
    <w:next w:val="Normal"/>
    <w:uiPriority w:val="9"/>
    <w:semiHidden/>
    <w:unhideWhenUsed/>
    <w:qFormat/>
    <w:rsid w:val="00CD39DD"/>
    <w:pPr>
      <w:keepNext/>
      <w:keepLines/>
      <w:tabs>
        <w:tab w:val="num" w:pos="567"/>
      </w:tabs>
      <w:spacing w:before="40" w:after="0" w:line="300" w:lineRule="atLeast"/>
      <w:ind w:left="567" w:hanging="567"/>
      <w:jc w:val="both"/>
      <w:outlineLvl w:val="5"/>
    </w:pPr>
    <w:rPr>
      <w:rFonts w:ascii="Calibri Light" w:eastAsia="Times New Roman" w:hAnsi="Calibri Light" w:cs="Times New Roman"/>
      <w:color w:val="1F4D78"/>
      <w:sz w:val="20"/>
      <w:lang w:val="en-GB"/>
    </w:rPr>
  </w:style>
  <w:style w:type="paragraph" w:customStyle="1" w:styleId="Titre71">
    <w:name w:val="Titre 71"/>
    <w:basedOn w:val="Normal"/>
    <w:next w:val="Normal"/>
    <w:uiPriority w:val="9"/>
    <w:semiHidden/>
    <w:unhideWhenUsed/>
    <w:qFormat/>
    <w:rsid w:val="00CD39DD"/>
    <w:pPr>
      <w:keepNext/>
      <w:keepLines/>
      <w:tabs>
        <w:tab w:val="num" w:pos="567"/>
      </w:tabs>
      <w:spacing w:before="40" w:after="0" w:line="300" w:lineRule="atLeast"/>
      <w:ind w:left="567" w:hanging="567"/>
      <w:jc w:val="both"/>
      <w:outlineLvl w:val="6"/>
    </w:pPr>
    <w:rPr>
      <w:rFonts w:ascii="Calibri Light" w:eastAsia="Times New Roman" w:hAnsi="Calibri Light" w:cs="Times New Roman"/>
      <w:i/>
      <w:iCs/>
      <w:color w:val="1F4D78"/>
      <w:sz w:val="20"/>
      <w:lang w:val="en-GB"/>
    </w:rPr>
  </w:style>
  <w:style w:type="paragraph" w:customStyle="1" w:styleId="Titre81">
    <w:name w:val="Titre 81"/>
    <w:basedOn w:val="Normal"/>
    <w:next w:val="Normal"/>
    <w:uiPriority w:val="9"/>
    <w:semiHidden/>
    <w:unhideWhenUsed/>
    <w:qFormat/>
    <w:rsid w:val="00CD39DD"/>
    <w:pPr>
      <w:keepNext/>
      <w:keepLines/>
      <w:tabs>
        <w:tab w:val="num" w:pos="567"/>
      </w:tabs>
      <w:spacing w:before="40" w:after="0" w:line="300" w:lineRule="atLeast"/>
      <w:ind w:left="567" w:hanging="567"/>
      <w:jc w:val="both"/>
      <w:outlineLvl w:val="7"/>
    </w:pPr>
    <w:rPr>
      <w:rFonts w:ascii="Calibri Light" w:eastAsia="Times New Roman" w:hAnsi="Calibri Light" w:cs="Times New Roman"/>
      <w:color w:val="272727"/>
      <w:sz w:val="21"/>
      <w:szCs w:val="21"/>
      <w:lang w:val="en-GB"/>
    </w:rPr>
  </w:style>
  <w:style w:type="paragraph" w:customStyle="1" w:styleId="Titre91">
    <w:name w:val="Titre 91"/>
    <w:basedOn w:val="Normal"/>
    <w:next w:val="Normal"/>
    <w:uiPriority w:val="9"/>
    <w:semiHidden/>
    <w:unhideWhenUsed/>
    <w:qFormat/>
    <w:rsid w:val="00CD39DD"/>
    <w:pPr>
      <w:keepNext/>
      <w:keepLines/>
      <w:tabs>
        <w:tab w:val="num" w:pos="567"/>
      </w:tabs>
      <w:spacing w:before="40" w:after="0" w:line="300" w:lineRule="atLeast"/>
      <w:ind w:left="567" w:hanging="567"/>
      <w:jc w:val="both"/>
      <w:outlineLvl w:val="8"/>
    </w:pPr>
    <w:rPr>
      <w:rFonts w:ascii="Calibri Light" w:eastAsia="Times New Roman" w:hAnsi="Calibri Light" w:cs="Times New Roman"/>
      <w:i/>
      <w:iCs/>
      <w:color w:val="272727"/>
      <w:sz w:val="21"/>
      <w:szCs w:val="21"/>
      <w:lang w:val="en-GB"/>
    </w:rPr>
  </w:style>
  <w:style w:type="numbering" w:customStyle="1" w:styleId="Aucuneliste1">
    <w:name w:val="Aucune liste1"/>
    <w:next w:val="Aucuneliste"/>
    <w:uiPriority w:val="99"/>
    <w:semiHidden/>
    <w:unhideWhenUsed/>
    <w:rsid w:val="00CD39DD"/>
  </w:style>
  <w:style w:type="character" w:customStyle="1" w:styleId="Titre6Car">
    <w:name w:val="Titre 6 Car"/>
    <w:basedOn w:val="Policepardfaut"/>
    <w:link w:val="Titre6"/>
    <w:uiPriority w:val="9"/>
    <w:semiHidden/>
    <w:rsid w:val="00CD39DD"/>
    <w:rPr>
      <w:rFonts w:ascii="Calibri Light" w:eastAsia="Times New Roman" w:hAnsi="Calibri Light" w:cs="Times New Roman"/>
      <w:color w:val="1F4D78"/>
      <w:sz w:val="20"/>
      <w:lang w:val="en-GB"/>
    </w:rPr>
  </w:style>
  <w:style w:type="character" w:customStyle="1" w:styleId="Titre7Car">
    <w:name w:val="Titre 7 Car"/>
    <w:basedOn w:val="Policepardfaut"/>
    <w:link w:val="Titre7"/>
    <w:uiPriority w:val="9"/>
    <w:semiHidden/>
    <w:rsid w:val="00CD39DD"/>
    <w:rPr>
      <w:rFonts w:ascii="Calibri Light" w:eastAsia="Times New Roman" w:hAnsi="Calibri Light" w:cs="Times New Roman"/>
      <w:i/>
      <w:iCs/>
      <w:color w:val="1F4D78"/>
      <w:sz w:val="20"/>
      <w:lang w:val="en-GB"/>
    </w:rPr>
  </w:style>
  <w:style w:type="character" w:customStyle="1" w:styleId="Titre8Car">
    <w:name w:val="Titre 8 Car"/>
    <w:basedOn w:val="Policepardfaut"/>
    <w:link w:val="Titre8"/>
    <w:uiPriority w:val="9"/>
    <w:semiHidden/>
    <w:rsid w:val="00CD39DD"/>
    <w:rPr>
      <w:rFonts w:ascii="Calibri Light" w:eastAsia="Times New Roman" w:hAnsi="Calibri Light" w:cs="Times New Roman"/>
      <w:color w:val="272727"/>
      <w:sz w:val="21"/>
      <w:szCs w:val="21"/>
      <w:lang w:val="en-GB"/>
    </w:rPr>
  </w:style>
  <w:style w:type="character" w:customStyle="1" w:styleId="Titre9Car">
    <w:name w:val="Titre 9 Car"/>
    <w:basedOn w:val="Policepardfaut"/>
    <w:link w:val="Titre9"/>
    <w:uiPriority w:val="9"/>
    <w:semiHidden/>
    <w:rsid w:val="00CD39DD"/>
    <w:rPr>
      <w:rFonts w:ascii="Calibri Light" w:eastAsia="Times New Roman" w:hAnsi="Calibri Light" w:cs="Times New Roman"/>
      <w:i/>
      <w:iCs/>
      <w:color w:val="272727"/>
      <w:sz w:val="21"/>
      <w:szCs w:val="21"/>
      <w:lang w:val="en-GB"/>
    </w:rPr>
  </w:style>
  <w:style w:type="table" w:customStyle="1" w:styleId="TableauGrille5Fonc1">
    <w:name w:val="Tableau Grille 5 Foncé1"/>
    <w:basedOn w:val="TableauNormal"/>
    <w:next w:val="TableauGrille5Fonc"/>
    <w:uiPriority w:val="50"/>
    <w:rsid w:val="00CD39DD"/>
    <w:pPr>
      <w:spacing w:after="0" w:line="240" w:lineRule="auto"/>
    </w:pPr>
    <w:rPr>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lledutableau1">
    <w:name w:val="Grille du tableau1"/>
    <w:basedOn w:val="TableauNormal"/>
    <w:next w:val="Grilledutableau"/>
    <w:uiPriority w:val="39"/>
    <w:rsid w:val="00CD39D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detabledesmatires1">
    <w:name w:val="En-tête de table des matières1"/>
    <w:basedOn w:val="Titre1"/>
    <w:next w:val="Normal"/>
    <w:uiPriority w:val="39"/>
    <w:unhideWhenUsed/>
    <w:qFormat/>
    <w:rsid w:val="00CD39DD"/>
    <w:pPr>
      <w:keepNext/>
      <w:keepLines/>
      <w:numPr>
        <w:numId w:val="0"/>
      </w:numPr>
      <w:spacing w:line="300" w:lineRule="atLeast"/>
      <w:ind w:left="431" w:hanging="431"/>
      <w:outlineLvl w:val="9"/>
    </w:pPr>
    <w:rPr>
      <w:rFonts w:ascii="Calibri Light" w:eastAsia="Times New Roman" w:hAnsi="Calibri Light"/>
      <w:b w:val="0"/>
      <w:color w:val="2E74B5"/>
      <w:sz w:val="32"/>
      <w:szCs w:val="32"/>
      <w:lang w:val="fr-FR" w:eastAsia="fr-FR"/>
    </w:rPr>
  </w:style>
  <w:style w:type="paragraph" w:customStyle="1" w:styleId="TM21">
    <w:name w:val="TM 21"/>
    <w:basedOn w:val="Normal"/>
    <w:next w:val="Normal"/>
    <w:autoRedefine/>
    <w:uiPriority w:val="39"/>
    <w:unhideWhenUsed/>
    <w:rsid w:val="00CD39DD"/>
    <w:pPr>
      <w:spacing w:before="0" w:after="100" w:line="300" w:lineRule="atLeast"/>
      <w:ind w:left="220"/>
    </w:pPr>
    <w:rPr>
      <w:rFonts w:ascii="Calibri" w:eastAsia="Times New Roman" w:hAnsi="Calibri" w:cs="Times New Roman"/>
      <w:sz w:val="20"/>
      <w:lang w:val="en-GB" w:eastAsia="fr-FR"/>
    </w:rPr>
  </w:style>
  <w:style w:type="paragraph" w:customStyle="1" w:styleId="TM11">
    <w:name w:val="TM 11"/>
    <w:basedOn w:val="Normal"/>
    <w:next w:val="Normal"/>
    <w:autoRedefine/>
    <w:uiPriority w:val="39"/>
    <w:unhideWhenUsed/>
    <w:rsid w:val="00CD39DD"/>
    <w:pPr>
      <w:spacing w:before="0" w:after="100" w:line="300" w:lineRule="atLeast"/>
    </w:pPr>
    <w:rPr>
      <w:rFonts w:ascii="Calibri" w:eastAsia="Times New Roman" w:hAnsi="Calibri" w:cs="Times New Roman"/>
      <w:sz w:val="20"/>
      <w:lang w:val="en-GB" w:eastAsia="fr-FR"/>
    </w:rPr>
  </w:style>
  <w:style w:type="paragraph" w:customStyle="1" w:styleId="TM31">
    <w:name w:val="TM 31"/>
    <w:basedOn w:val="Normal"/>
    <w:next w:val="Normal"/>
    <w:autoRedefine/>
    <w:uiPriority w:val="39"/>
    <w:unhideWhenUsed/>
    <w:rsid w:val="00CD39DD"/>
    <w:pPr>
      <w:spacing w:before="0" w:after="100" w:line="300" w:lineRule="atLeast"/>
      <w:ind w:left="440"/>
    </w:pPr>
    <w:rPr>
      <w:rFonts w:ascii="Calibri" w:eastAsia="Times New Roman" w:hAnsi="Calibri" w:cs="Times New Roman"/>
      <w:sz w:val="20"/>
      <w:lang w:val="en-GB" w:eastAsia="fr-FR"/>
    </w:rPr>
  </w:style>
  <w:style w:type="paragraph" w:customStyle="1" w:styleId="Tabledesillustrations1">
    <w:name w:val="Table des illustrations1"/>
    <w:basedOn w:val="Normal"/>
    <w:next w:val="Normal"/>
    <w:uiPriority w:val="99"/>
    <w:unhideWhenUsed/>
    <w:rsid w:val="00CD39DD"/>
    <w:pPr>
      <w:spacing w:before="0" w:after="0" w:line="300" w:lineRule="atLeast"/>
      <w:jc w:val="both"/>
    </w:pPr>
    <w:rPr>
      <w:rFonts w:ascii="Calibri" w:hAnsi="Calibri"/>
      <w:sz w:val="20"/>
      <w:lang w:val="en-GB"/>
    </w:rPr>
  </w:style>
  <w:style w:type="paragraph" w:customStyle="1" w:styleId="Bibliographie1">
    <w:name w:val="Bibliographie1"/>
    <w:basedOn w:val="Normal"/>
    <w:next w:val="Normal"/>
    <w:uiPriority w:val="37"/>
    <w:unhideWhenUsed/>
    <w:rsid w:val="00CD39DD"/>
    <w:pPr>
      <w:spacing w:before="0" w:after="0"/>
      <w:ind w:left="720" w:hanging="720"/>
      <w:jc w:val="both"/>
    </w:pPr>
    <w:rPr>
      <w:rFonts w:ascii="Calibri" w:hAnsi="Calibri"/>
      <w:sz w:val="20"/>
      <w:lang w:val="en-GB"/>
    </w:rPr>
  </w:style>
  <w:style w:type="character" w:customStyle="1" w:styleId="captions">
    <w:name w:val="captions"/>
    <w:basedOn w:val="Policepardfaut"/>
    <w:rsid w:val="00CD39DD"/>
  </w:style>
  <w:style w:type="paragraph" w:customStyle="1" w:styleId="Rvision1">
    <w:name w:val="Révision1"/>
    <w:next w:val="Rvision"/>
    <w:hidden/>
    <w:uiPriority w:val="99"/>
    <w:semiHidden/>
    <w:rsid w:val="00CD39DD"/>
    <w:pPr>
      <w:spacing w:after="0" w:line="240" w:lineRule="auto"/>
    </w:pPr>
    <w:rPr>
      <w:lang w:val="fr-FR"/>
    </w:rPr>
  </w:style>
  <w:style w:type="paragraph" w:customStyle="1" w:styleId="Default">
    <w:name w:val="Default"/>
    <w:rsid w:val="00CD39DD"/>
    <w:pPr>
      <w:autoSpaceDE w:val="0"/>
      <w:autoSpaceDN w:val="0"/>
      <w:adjustRightInd w:val="0"/>
      <w:spacing w:after="0" w:line="240" w:lineRule="auto"/>
    </w:pPr>
    <w:rPr>
      <w:rFonts w:ascii="Goudy" w:hAnsi="Goudy" w:cs="Goudy"/>
      <w:color w:val="000000"/>
      <w:sz w:val="24"/>
      <w:szCs w:val="24"/>
      <w:lang w:val="en-GB"/>
    </w:rPr>
  </w:style>
  <w:style w:type="character" w:customStyle="1" w:styleId="st">
    <w:name w:val="st"/>
    <w:basedOn w:val="Policepardfaut"/>
    <w:rsid w:val="00CD39DD"/>
  </w:style>
  <w:style w:type="numbering" w:customStyle="1" w:styleId="Aucuneliste11">
    <w:name w:val="Aucune liste11"/>
    <w:next w:val="Aucuneliste"/>
    <w:uiPriority w:val="99"/>
    <w:semiHidden/>
    <w:unhideWhenUsed/>
    <w:rsid w:val="00CD39DD"/>
  </w:style>
  <w:style w:type="character" w:customStyle="1" w:styleId="TextedebullesCar1">
    <w:name w:val="Texte de bulles Car1"/>
    <w:basedOn w:val="Policepardfaut"/>
    <w:uiPriority w:val="99"/>
    <w:semiHidden/>
    <w:rsid w:val="00CD39DD"/>
    <w:rPr>
      <w:rFonts w:ascii="Segoe UI" w:hAnsi="Segoe UI" w:cs="Segoe UI"/>
      <w:sz w:val="18"/>
      <w:szCs w:val="18"/>
    </w:rPr>
  </w:style>
  <w:style w:type="character" w:customStyle="1" w:styleId="ObjetducommentaireCar1">
    <w:name w:val="Objet du commentaire Car1"/>
    <w:basedOn w:val="CommentaireCar"/>
    <w:uiPriority w:val="99"/>
    <w:semiHidden/>
    <w:rsid w:val="00CD39DD"/>
    <w:rPr>
      <w:rFonts w:ascii="Times New Roman" w:hAnsi="Times New Roman"/>
      <w:b/>
      <w:bCs/>
      <w:sz w:val="20"/>
      <w:szCs w:val="20"/>
      <w:lang w:val="en-GB"/>
    </w:rPr>
  </w:style>
  <w:style w:type="character" w:customStyle="1" w:styleId="NotedefinCar1">
    <w:name w:val="Note de fin Car1"/>
    <w:basedOn w:val="Policepardfaut"/>
    <w:uiPriority w:val="99"/>
    <w:semiHidden/>
    <w:rsid w:val="00CD39DD"/>
    <w:rPr>
      <w:sz w:val="20"/>
      <w:szCs w:val="20"/>
    </w:rPr>
  </w:style>
  <w:style w:type="table" w:customStyle="1" w:styleId="Grilledutableau2">
    <w:name w:val="Grille du tableau2"/>
    <w:basedOn w:val="TableauNormal"/>
    <w:uiPriority w:val="39"/>
    <w:rsid w:val="00CD39D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6Car1">
    <w:name w:val="Titre 6 Car1"/>
    <w:basedOn w:val="Policepardfaut"/>
    <w:uiPriority w:val="9"/>
    <w:semiHidden/>
    <w:rsid w:val="00CD39DD"/>
    <w:rPr>
      <w:rFonts w:asciiTheme="majorHAnsi" w:eastAsiaTheme="majorEastAsia" w:hAnsiTheme="majorHAnsi" w:cstheme="majorBidi"/>
      <w:color w:val="243F60" w:themeColor="accent1" w:themeShade="7F"/>
      <w:sz w:val="24"/>
    </w:rPr>
  </w:style>
  <w:style w:type="character" w:customStyle="1" w:styleId="Titre7Car1">
    <w:name w:val="Titre 7 Car1"/>
    <w:basedOn w:val="Policepardfaut"/>
    <w:uiPriority w:val="9"/>
    <w:semiHidden/>
    <w:rsid w:val="00CD39DD"/>
    <w:rPr>
      <w:rFonts w:asciiTheme="majorHAnsi" w:eastAsiaTheme="majorEastAsia" w:hAnsiTheme="majorHAnsi" w:cstheme="majorBidi"/>
      <w:i/>
      <w:iCs/>
      <w:color w:val="243F60" w:themeColor="accent1" w:themeShade="7F"/>
      <w:sz w:val="24"/>
    </w:rPr>
  </w:style>
  <w:style w:type="character" w:customStyle="1" w:styleId="Titre8Car1">
    <w:name w:val="Titre 8 Car1"/>
    <w:basedOn w:val="Policepardfaut"/>
    <w:uiPriority w:val="9"/>
    <w:semiHidden/>
    <w:rsid w:val="00CD39DD"/>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CD39DD"/>
    <w:rPr>
      <w:rFonts w:asciiTheme="majorHAnsi" w:eastAsiaTheme="majorEastAsia" w:hAnsiTheme="majorHAnsi" w:cstheme="majorBidi"/>
      <w:i/>
      <w:iCs/>
      <w:color w:val="272727" w:themeColor="text1" w:themeTint="D8"/>
      <w:sz w:val="21"/>
      <w:szCs w:val="21"/>
    </w:rPr>
  </w:style>
  <w:style w:type="table" w:styleId="TableauGrille5Fonc">
    <w:name w:val="Grid Table 5 Dark"/>
    <w:basedOn w:val="TableauNormal"/>
    <w:uiPriority w:val="50"/>
    <w:rsid w:val="00CD39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Rvision">
    <w:name w:val="Revision"/>
    <w:hidden/>
    <w:uiPriority w:val="99"/>
    <w:semiHidden/>
    <w:rsid w:val="00CD39DD"/>
    <w:pPr>
      <w:spacing w:after="0" w:line="240" w:lineRule="auto"/>
    </w:pPr>
    <w:rPr>
      <w:rFonts w:ascii="Times New Roman" w:hAnsi="Times New Roman"/>
      <w:sz w:val="24"/>
    </w:rPr>
  </w:style>
  <w:style w:type="paragraph" w:customStyle="1" w:styleId="msonormal0">
    <w:name w:val="msonormal"/>
    <w:basedOn w:val="Normal"/>
    <w:rsid w:val="00806C9E"/>
    <w:pPr>
      <w:spacing w:before="100" w:beforeAutospacing="1" w:after="100" w:afterAutospacing="1"/>
    </w:pPr>
    <w:rPr>
      <w:rFonts w:eastAsia="Times New Roman" w:cs="Times New Roman"/>
      <w:szCs w:val="24"/>
      <w:lang w:val="en-GB" w:eastAsia="en-GB"/>
    </w:rPr>
  </w:style>
  <w:style w:type="paragraph" w:customStyle="1" w:styleId="font0">
    <w:name w:val="font0"/>
    <w:basedOn w:val="Normal"/>
    <w:rsid w:val="00806C9E"/>
    <w:pPr>
      <w:spacing w:before="100" w:beforeAutospacing="1" w:after="100" w:afterAutospacing="1"/>
    </w:pPr>
    <w:rPr>
      <w:rFonts w:ascii="Calibri" w:eastAsia="Times New Roman" w:hAnsi="Calibri" w:cs="Calibri"/>
      <w:color w:val="000000"/>
      <w:sz w:val="22"/>
      <w:lang w:val="en-GB" w:eastAsia="en-GB"/>
    </w:rPr>
  </w:style>
  <w:style w:type="paragraph" w:customStyle="1" w:styleId="font5">
    <w:name w:val="font5"/>
    <w:basedOn w:val="Normal"/>
    <w:rsid w:val="00806C9E"/>
    <w:pPr>
      <w:spacing w:before="100" w:beforeAutospacing="1" w:after="100" w:afterAutospacing="1"/>
    </w:pPr>
    <w:rPr>
      <w:rFonts w:ascii="Calibri" w:eastAsia="Times New Roman" w:hAnsi="Calibri" w:cs="Calibri"/>
      <w:color w:val="000000"/>
      <w:sz w:val="22"/>
      <w:lang w:val="en-GB" w:eastAsia="en-GB"/>
    </w:rPr>
  </w:style>
  <w:style w:type="paragraph" w:customStyle="1" w:styleId="xl65">
    <w:name w:val="xl65"/>
    <w:basedOn w:val="Normal"/>
    <w:rsid w:val="00806C9E"/>
    <w:pPr>
      <w:shd w:val="clear" w:color="000000" w:fill="000000"/>
      <w:spacing w:before="100" w:beforeAutospacing="1" w:after="100" w:afterAutospacing="1"/>
    </w:pPr>
    <w:rPr>
      <w:rFonts w:eastAsia="Times New Roman" w:cs="Times New Roman"/>
      <w:szCs w:val="24"/>
      <w:lang w:val="en-GB" w:eastAsia="en-GB"/>
    </w:rPr>
  </w:style>
  <w:style w:type="paragraph" w:customStyle="1" w:styleId="xl66">
    <w:name w:val="xl66"/>
    <w:basedOn w:val="Normal"/>
    <w:rsid w:val="00806C9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eastAsia="Times New Roman" w:cs="Times New Roman"/>
      <w:b/>
      <w:bCs/>
      <w:color w:val="FFFFFF"/>
      <w:szCs w:val="24"/>
      <w:lang w:val="en-GB" w:eastAsia="en-GB"/>
    </w:rPr>
  </w:style>
  <w:style w:type="paragraph" w:customStyle="1" w:styleId="xl67">
    <w:name w:val="xl67"/>
    <w:basedOn w:val="Normal"/>
    <w:rsid w:val="00806C9E"/>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eastAsia="Times New Roman" w:cs="Times New Roman"/>
      <w:b/>
      <w:bCs/>
      <w:color w:val="FFFFFF"/>
      <w:szCs w:val="24"/>
      <w:lang w:val="en-GB" w:eastAsia="en-GB"/>
    </w:rPr>
  </w:style>
  <w:style w:type="paragraph" w:customStyle="1" w:styleId="xl68">
    <w:name w:val="xl68"/>
    <w:basedOn w:val="Normal"/>
    <w:rsid w:val="00806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szCs w:val="24"/>
      <w:lang w:val="en-GB" w:eastAsia="en-GB"/>
    </w:rPr>
  </w:style>
  <w:style w:type="paragraph" w:customStyle="1" w:styleId="xl69">
    <w:name w:val="xl69"/>
    <w:basedOn w:val="Normal"/>
    <w:rsid w:val="00806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Cs w:val="24"/>
      <w:lang w:val="en-GB" w:eastAsia="en-GB"/>
    </w:rPr>
  </w:style>
  <w:style w:type="paragraph" w:customStyle="1" w:styleId="xl70">
    <w:name w:val="xl70"/>
    <w:basedOn w:val="Normal"/>
    <w:rsid w:val="00806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Cs w:val="24"/>
      <w:lang w:val="en-GB" w:eastAsia="en-GB"/>
    </w:rPr>
  </w:style>
  <w:style w:type="paragraph" w:customStyle="1" w:styleId="xl71">
    <w:name w:val="xl71"/>
    <w:basedOn w:val="Normal"/>
    <w:rsid w:val="00806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 w:val="16"/>
      <w:szCs w:val="16"/>
      <w:lang w:val="en-GB" w:eastAsia="en-GB"/>
    </w:rPr>
  </w:style>
  <w:style w:type="paragraph" w:customStyle="1" w:styleId="xl72">
    <w:name w:val="xl72"/>
    <w:basedOn w:val="Normal"/>
    <w:rsid w:val="00806C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Times New Roman"/>
      <w:szCs w:val="24"/>
      <w:lang w:val="en-GB" w:eastAsia="en-GB"/>
    </w:rPr>
  </w:style>
  <w:style w:type="paragraph" w:customStyle="1" w:styleId="xl73">
    <w:name w:val="xl73"/>
    <w:basedOn w:val="Normal"/>
    <w:rsid w:val="00806C9E"/>
    <w:pPr>
      <w:spacing w:before="100" w:beforeAutospacing="1" w:after="100" w:afterAutospacing="1"/>
    </w:pPr>
    <w:rPr>
      <w:rFonts w:eastAsia="Times New Roman" w:cs="Times New Roman"/>
      <w:szCs w:val="24"/>
      <w:lang w:val="en-GB" w:eastAsia="en-GB"/>
    </w:rPr>
  </w:style>
  <w:style w:type="paragraph" w:customStyle="1" w:styleId="xl74">
    <w:name w:val="xl74"/>
    <w:basedOn w:val="Normal"/>
    <w:rsid w:val="00EF0654"/>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Cs w:val="24"/>
      <w:lang w:val="en-GB" w:eastAsia="en-GB"/>
    </w:rPr>
  </w:style>
  <w:style w:type="paragraph" w:customStyle="1" w:styleId="xl75">
    <w:name w:val="xl75"/>
    <w:basedOn w:val="Normal"/>
    <w:rsid w:val="00EF0654"/>
    <w:pPr>
      <w:pBdr>
        <w:top w:val="single" w:sz="4" w:space="0" w:color="auto"/>
        <w:left w:val="single" w:sz="4" w:space="0" w:color="auto"/>
      </w:pBdr>
      <w:spacing w:before="100" w:beforeAutospacing="1" w:after="100" w:afterAutospacing="1"/>
      <w:textAlignment w:val="top"/>
    </w:pPr>
    <w:rPr>
      <w:rFonts w:eastAsia="Times New Roman" w:cs="Times New Roman"/>
      <w:szCs w:val="24"/>
      <w:lang w:val="en-GB" w:eastAsia="en-GB"/>
    </w:rPr>
  </w:style>
  <w:style w:type="table" w:styleId="TableauGrille2">
    <w:name w:val="Grid Table 2"/>
    <w:basedOn w:val="TableauNormal"/>
    <w:uiPriority w:val="47"/>
    <w:rsid w:val="004C77C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3">
    <w:name w:val="Grid Table 3"/>
    <w:basedOn w:val="TableauNormal"/>
    <w:uiPriority w:val="48"/>
    <w:rsid w:val="006771A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ibliographie">
    <w:name w:val="Bibliography"/>
    <w:basedOn w:val="Normal"/>
    <w:next w:val="Normal"/>
    <w:uiPriority w:val="37"/>
    <w:unhideWhenUsed/>
    <w:rsid w:val="00AD2ABD"/>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5327">
      <w:bodyDiv w:val="1"/>
      <w:marLeft w:val="0"/>
      <w:marRight w:val="0"/>
      <w:marTop w:val="0"/>
      <w:marBottom w:val="0"/>
      <w:divBdr>
        <w:top w:val="none" w:sz="0" w:space="0" w:color="auto"/>
        <w:left w:val="none" w:sz="0" w:space="0" w:color="auto"/>
        <w:bottom w:val="none" w:sz="0" w:space="0" w:color="auto"/>
        <w:right w:val="none" w:sz="0" w:space="0" w:color="auto"/>
      </w:divBdr>
    </w:div>
    <w:div w:id="174467362">
      <w:bodyDiv w:val="1"/>
      <w:marLeft w:val="0"/>
      <w:marRight w:val="0"/>
      <w:marTop w:val="0"/>
      <w:marBottom w:val="0"/>
      <w:divBdr>
        <w:top w:val="none" w:sz="0" w:space="0" w:color="auto"/>
        <w:left w:val="none" w:sz="0" w:space="0" w:color="auto"/>
        <w:bottom w:val="none" w:sz="0" w:space="0" w:color="auto"/>
        <w:right w:val="none" w:sz="0" w:space="0" w:color="auto"/>
      </w:divBdr>
    </w:div>
    <w:div w:id="244189055">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21581803">
      <w:bodyDiv w:val="1"/>
      <w:marLeft w:val="0"/>
      <w:marRight w:val="0"/>
      <w:marTop w:val="0"/>
      <w:marBottom w:val="0"/>
      <w:divBdr>
        <w:top w:val="none" w:sz="0" w:space="0" w:color="auto"/>
        <w:left w:val="none" w:sz="0" w:space="0" w:color="auto"/>
        <w:bottom w:val="none" w:sz="0" w:space="0" w:color="auto"/>
        <w:right w:val="none" w:sz="0" w:space="0" w:color="auto"/>
      </w:divBdr>
    </w:div>
    <w:div w:id="82385671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73782252">
      <w:bodyDiv w:val="1"/>
      <w:marLeft w:val="0"/>
      <w:marRight w:val="0"/>
      <w:marTop w:val="0"/>
      <w:marBottom w:val="0"/>
      <w:divBdr>
        <w:top w:val="none" w:sz="0" w:space="0" w:color="auto"/>
        <w:left w:val="none" w:sz="0" w:space="0" w:color="auto"/>
        <w:bottom w:val="none" w:sz="0" w:space="0" w:color="auto"/>
        <w:right w:val="none" w:sz="0" w:space="0" w:color="auto"/>
      </w:divBdr>
    </w:div>
    <w:div w:id="188614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C00CAC5-6165-4244-8B7E-A09D08A8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133</TotalTime>
  <Pages>16</Pages>
  <Words>50114</Words>
  <Characters>285654</Characters>
  <Application>Microsoft Office Word</Application>
  <DocSecurity>0</DocSecurity>
  <Lines>2380</Lines>
  <Paragraphs>670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Audrey NAULLEAU</cp:lastModifiedBy>
  <cp:revision>7</cp:revision>
  <cp:lastPrinted>2013-10-03T12:51:00Z</cp:lastPrinted>
  <dcterms:created xsi:type="dcterms:W3CDTF">2020-11-18T15:03:00Z</dcterms:created>
  <dcterms:modified xsi:type="dcterms:W3CDTF">2020-11-19T10:49:00Z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zotero-version="5.0.93"&gt;&lt;session id="9NgRFwzy"/&gt;&lt;style id="http://www.zotero.org/styles/frontiers-in-plant-science" hasBibliography="1" bibliographyStyleHasBeenSet="1"/&gt;&lt;prefs&gt;&lt;pref name="fieldType" value="Field"/&gt;&lt;/prefs&gt;&lt;/data&gt;</vt:lpwstr>
  </property>
</Properties>
</file>