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08C40" w14:textId="576D340E" w:rsidR="00BA36BC" w:rsidRDefault="002944F0" w:rsidP="00DC4CA3">
      <w:pPr>
        <w:rPr>
          <w:b/>
          <w:bCs/>
        </w:rPr>
      </w:pPr>
      <w:r>
        <w:rPr>
          <w:b/>
          <w:bCs/>
        </w:rPr>
        <w:t xml:space="preserve">SUPPLEMENTARY </w:t>
      </w:r>
      <w:r w:rsidR="00BA36BC">
        <w:rPr>
          <w:b/>
          <w:bCs/>
        </w:rPr>
        <w:t>M</w:t>
      </w:r>
      <w:r w:rsidR="00BA36BC" w:rsidRPr="002E2210">
        <w:rPr>
          <w:b/>
          <w:bCs/>
        </w:rPr>
        <w:t>ETHOD</w:t>
      </w:r>
      <w:r w:rsidR="00BA36BC">
        <w:rPr>
          <w:b/>
          <w:bCs/>
        </w:rPr>
        <w:t>S</w:t>
      </w:r>
    </w:p>
    <w:p w14:paraId="1A8EB827" w14:textId="5AA62D1F" w:rsidR="00F0435F" w:rsidRPr="007D0B71" w:rsidRDefault="00F0435F" w:rsidP="00F0435F">
      <w:pPr>
        <w:pStyle w:val="NormalWeb"/>
        <w:contextualSpacing/>
        <w:rPr>
          <w:b/>
          <w:bCs/>
          <w:color w:val="000000" w:themeColor="text1"/>
        </w:rPr>
      </w:pPr>
      <w:r>
        <w:rPr>
          <w:b/>
          <w:bCs/>
          <w:color w:val="000000" w:themeColor="text1"/>
        </w:rPr>
        <w:t xml:space="preserve">Literature </w:t>
      </w:r>
      <w:r w:rsidR="00A66922">
        <w:rPr>
          <w:b/>
          <w:bCs/>
          <w:color w:val="000000" w:themeColor="text1"/>
        </w:rPr>
        <w:t>s</w:t>
      </w:r>
      <w:r>
        <w:rPr>
          <w:b/>
          <w:bCs/>
          <w:color w:val="000000" w:themeColor="text1"/>
        </w:rPr>
        <w:t>earc</w:t>
      </w:r>
      <w:r w:rsidR="007D4DA2">
        <w:rPr>
          <w:b/>
          <w:bCs/>
          <w:color w:val="000000" w:themeColor="text1"/>
        </w:rPr>
        <w:t>h</w:t>
      </w:r>
    </w:p>
    <w:p w14:paraId="3B21D5B8" w14:textId="7512675D" w:rsidR="00726FB3" w:rsidRPr="00F0435F" w:rsidRDefault="002944F0" w:rsidP="00F0435F">
      <w:pPr>
        <w:pStyle w:val="NormalWeb"/>
        <w:contextualSpacing/>
        <w:rPr>
          <w:color w:val="000000" w:themeColor="text1"/>
        </w:rPr>
      </w:pPr>
      <w:r>
        <w:rPr>
          <w:color w:val="000000" w:themeColor="text1"/>
        </w:rPr>
        <w:t>Relevant</w:t>
      </w:r>
      <w:r w:rsidR="00F0435F">
        <w:rPr>
          <w:color w:val="000000" w:themeColor="text1"/>
        </w:rPr>
        <w:t xml:space="preserve"> literature cited throughout the manuscript were found with the aid of the Google Scholar search tool. </w:t>
      </w:r>
      <w:r w:rsidR="00AE231C">
        <w:rPr>
          <w:color w:val="000000" w:themeColor="text1"/>
        </w:rPr>
        <w:t>P</w:t>
      </w:r>
      <w:r w:rsidR="00AE231C" w:rsidRPr="00F0435F">
        <w:rPr>
          <w:color w:val="000000" w:themeColor="text1"/>
        </w:rPr>
        <w:t>apers</w:t>
      </w:r>
      <w:r w:rsidR="00726FB3" w:rsidRPr="00F0435F">
        <w:rPr>
          <w:color w:val="000000" w:themeColor="text1"/>
        </w:rPr>
        <w:t xml:space="preserve"> reflecting seagrass </w:t>
      </w:r>
      <w:r>
        <w:rPr>
          <w:color w:val="000000" w:themeColor="text1"/>
        </w:rPr>
        <w:t>species’ response</w:t>
      </w:r>
      <w:r w:rsidR="00726FB3" w:rsidRPr="00F0435F">
        <w:rPr>
          <w:color w:val="000000" w:themeColor="text1"/>
        </w:rPr>
        <w:t xml:space="preserve">, taxon sampling, conservation and </w:t>
      </w:r>
      <w:r>
        <w:rPr>
          <w:color w:val="000000" w:themeColor="text1"/>
        </w:rPr>
        <w:t>global change</w:t>
      </w:r>
      <w:r w:rsidR="00726FB3" w:rsidRPr="00F0435F">
        <w:rPr>
          <w:color w:val="000000" w:themeColor="text1"/>
        </w:rPr>
        <w:t xml:space="preserve"> were identified </w:t>
      </w:r>
      <w:r w:rsidR="00A6256E">
        <w:rPr>
          <w:color w:val="000000" w:themeColor="text1"/>
        </w:rPr>
        <w:t>using the</w:t>
      </w:r>
      <w:r w:rsidR="00A6256E" w:rsidRPr="00F0435F">
        <w:rPr>
          <w:color w:val="000000" w:themeColor="text1"/>
        </w:rPr>
        <w:t xml:space="preserve"> </w:t>
      </w:r>
      <w:r w:rsidR="00726FB3" w:rsidRPr="00F0435F">
        <w:rPr>
          <w:color w:val="000000" w:themeColor="text1"/>
        </w:rPr>
        <w:t>Google Scholar</w:t>
      </w:r>
      <w:r w:rsidR="00F0435F">
        <w:rPr>
          <w:color w:val="000000" w:themeColor="text1"/>
        </w:rPr>
        <w:t xml:space="preserve"> </w:t>
      </w:r>
      <w:r w:rsidR="00726FB3" w:rsidRPr="00F0435F">
        <w:rPr>
          <w:color w:val="000000" w:themeColor="text1"/>
        </w:rPr>
        <w:t>(Accessed: August 2019). We used a search strategy that identified articles with “seagrasses”, “seagrass sampling”, “seagrass evolutionary diversity</w:t>
      </w:r>
      <w:r w:rsidR="00F0435F" w:rsidRPr="00F0435F">
        <w:rPr>
          <w:color w:val="000000" w:themeColor="text1"/>
        </w:rPr>
        <w:t>”, “</w:t>
      </w:r>
      <w:r w:rsidR="00726FB3" w:rsidRPr="00F0435F">
        <w:rPr>
          <w:color w:val="000000" w:themeColor="text1"/>
        </w:rPr>
        <w:t xml:space="preserve">seagrass conservation”, “seagrass and global change”, and “seagrass and extinction </w:t>
      </w:r>
      <w:r w:rsidR="00F0435F" w:rsidRPr="00F0435F">
        <w:rPr>
          <w:color w:val="000000" w:themeColor="text1"/>
        </w:rPr>
        <w:t>risk”</w:t>
      </w:r>
      <w:r w:rsidR="00726FB3" w:rsidRPr="00F0435F">
        <w:rPr>
          <w:color w:val="000000" w:themeColor="text1"/>
        </w:rPr>
        <w:t xml:space="preserve"> as main subjects in the title, abstracts or keywords.</w:t>
      </w:r>
      <w:r w:rsidR="00F0435F" w:rsidRPr="00F0435F" w:rsidDel="00F0435F">
        <w:rPr>
          <w:color w:val="000000" w:themeColor="text1"/>
        </w:rPr>
        <w:t xml:space="preserve"> </w:t>
      </w:r>
    </w:p>
    <w:p w14:paraId="16E4040C" w14:textId="535F035B" w:rsidR="00BA36BC" w:rsidRPr="002E2210" w:rsidRDefault="00BA36BC" w:rsidP="00DC4CA3">
      <w:pPr>
        <w:rPr>
          <w:b/>
          <w:bCs/>
        </w:rPr>
      </w:pPr>
      <w:r>
        <w:rPr>
          <w:b/>
          <w:bCs/>
        </w:rPr>
        <w:t>Species geographic data</w:t>
      </w:r>
    </w:p>
    <w:p w14:paraId="1415504E" w14:textId="321B5DD2" w:rsidR="002E2210" w:rsidRPr="00EF4BBC" w:rsidRDefault="00BA36BC" w:rsidP="00632243">
      <w:pPr>
        <w:pStyle w:val="Heading1"/>
        <w:spacing w:befor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2E2210" w:rsidRPr="00EF4BBC">
        <w:rPr>
          <w:rFonts w:ascii="Times New Roman" w:hAnsi="Times New Roman" w:cs="Times New Roman"/>
          <w:color w:val="000000" w:themeColor="text1"/>
          <w:sz w:val="24"/>
          <w:szCs w:val="24"/>
        </w:rPr>
        <w:t>eagrass occurrence data</w:t>
      </w:r>
      <w:r w:rsidR="0062748C" w:rsidRPr="00EF4BBC">
        <w:rPr>
          <w:rFonts w:ascii="Times New Roman" w:hAnsi="Times New Roman" w:cs="Times New Roman"/>
          <w:color w:val="000000" w:themeColor="text1"/>
          <w:sz w:val="24"/>
          <w:szCs w:val="24"/>
        </w:rPr>
        <w:t xml:space="preserve"> was downloaded</w:t>
      </w:r>
      <w:r w:rsidR="002E2210" w:rsidRPr="00EF4BBC">
        <w:rPr>
          <w:rFonts w:ascii="Times New Roman" w:hAnsi="Times New Roman" w:cs="Times New Roman"/>
          <w:color w:val="000000" w:themeColor="text1"/>
          <w:sz w:val="24"/>
          <w:szCs w:val="24"/>
        </w:rPr>
        <w:t xml:space="preserve"> from the Global Biodiversity Information Facility (GBIF</w:t>
      </w:r>
      <w:r w:rsidR="0062748C" w:rsidRPr="00EF4BBC">
        <w:rPr>
          <w:rFonts w:ascii="Times New Roman" w:hAnsi="Times New Roman" w:cs="Times New Roman"/>
          <w:color w:val="000000" w:themeColor="text1"/>
          <w:sz w:val="24"/>
          <w:szCs w:val="24"/>
        </w:rPr>
        <w:t xml:space="preserve">; Data source: </w:t>
      </w:r>
      <w:hyperlink r:id="rId7" w:history="1">
        <w:r w:rsidR="000E06E9" w:rsidRPr="008D4FEB">
          <w:rPr>
            <w:rStyle w:val="Hyperlink"/>
            <w:rFonts w:ascii="Times New Roman" w:hAnsi="Times New Roman" w:cs="Times New Roman"/>
            <w:sz w:val="24"/>
            <w:szCs w:val="24"/>
          </w:rPr>
          <w:t>https://doi.org/10.15468</w:t>
        </w:r>
        <w:r w:rsidR="000E06E9" w:rsidRPr="008D4FEB">
          <w:rPr>
            <w:rStyle w:val="Hyperlink"/>
            <w:rFonts w:ascii="Times New Roman" w:hAnsi="Times New Roman" w:cs="Times New Roman"/>
            <w:sz w:val="24"/>
            <w:szCs w:val="24"/>
          </w:rPr>
          <w:t>/</w:t>
        </w:r>
        <w:r w:rsidR="000E06E9" w:rsidRPr="008D4FEB">
          <w:rPr>
            <w:rStyle w:val="Hyperlink"/>
            <w:rFonts w:ascii="Times New Roman" w:hAnsi="Times New Roman" w:cs="Times New Roman"/>
            <w:sz w:val="24"/>
            <w:szCs w:val="24"/>
          </w:rPr>
          <w:t>dl.t7xgct</w:t>
        </w:r>
      </w:hyperlink>
      <w:r w:rsidR="000E06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on </w:t>
      </w:r>
      <w:r w:rsidR="00710AAE" w:rsidRPr="00672448">
        <w:rPr>
          <w:rFonts w:ascii="Times New Roman" w:hAnsi="Times New Roman" w:cs="Times New Roman"/>
          <w:color w:val="000000" w:themeColor="text1"/>
          <w:sz w:val="24"/>
          <w:szCs w:val="24"/>
        </w:rPr>
        <w:t>January 17</w:t>
      </w:r>
      <w:r w:rsidRPr="00672448">
        <w:rPr>
          <w:rFonts w:ascii="Times New Roman" w:hAnsi="Times New Roman" w:cs="Times New Roman"/>
          <w:color w:val="000000" w:themeColor="text1"/>
          <w:sz w:val="24"/>
          <w:szCs w:val="24"/>
        </w:rPr>
        <w:t xml:space="preserve">, </w:t>
      </w:r>
      <w:r w:rsidR="00710AAE">
        <w:rPr>
          <w:rFonts w:ascii="Times New Roman" w:hAnsi="Times New Roman" w:cs="Times New Roman"/>
          <w:color w:val="000000" w:themeColor="text1"/>
          <w:sz w:val="24"/>
          <w:szCs w:val="24"/>
        </w:rPr>
        <w:t>2020</w:t>
      </w:r>
      <w:r w:rsidR="002E2210" w:rsidRPr="00EF4BBC">
        <w:rPr>
          <w:rFonts w:ascii="Times New Roman" w:hAnsi="Times New Roman" w:cs="Times New Roman"/>
          <w:color w:val="000000" w:themeColor="text1"/>
          <w:sz w:val="24"/>
          <w:szCs w:val="24"/>
        </w:rPr>
        <w:t>)</w:t>
      </w:r>
      <w:r w:rsidR="0062748C" w:rsidRPr="00EF4BBC">
        <w:rPr>
          <w:rFonts w:ascii="Times New Roman" w:hAnsi="Times New Roman" w:cs="Times New Roman"/>
          <w:color w:val="000000" w:themeColor="text1"/>
          <w:sz w:val="24"/>
          <w:szCs w:val="24"/>
        </w:rPr>
        <w:t xml:space="preserve">. </w:t>
      </w:r>
      <w:r w:rsidR="0066123D">
        <w:rPr>
          <w:rFonts w:ascii="Times New Roman" w:hAnsi="Times New Roman" w:cs="Times New Roman"/>
          <w:color w:val="000000" w:themeColor="text1"/>
          <w:sz w:val="24"/>
          <w:szCs w:val="24"/>
        </w:rPr>
        <w:t>A</w:t>
      </w:r>
      <w:r w:rsidR="0062748C" w:rsidRPr="00EF4BBC">
        <w:rPr>
          <w:rFonts w:ascii="Times New Roman" w:hAnsi="Times New Roman" w:cs="Times New Roman"/>
          <w:color w:val="000000" w:themeColor="text1"/>
          <w:sz w:val="24"/>
          <w:szCs w:val="24"/>
        </w:rPr>
        <w:t xml:space="preserve"> total of 72 seagrass species were </w:t>
      </w:r>
      <w:r w:rsidR="0066123D">
        <w:rPr>
          <w:rFonts w:ascii="Times New Roman" w:hAnsi="Times New Roman" w:cs="Times New Roman"/>
          <w:color w:val="000000" w:themeColor="text1"/>
          <w:sz w:val="24"/>
          <w:szCs w:val="24"/>
        </w:rPr>
        <w:t>included</w:t>
      </w:r>
      <w:r w:rsidR="0062748C" w:rsidRPr="00EF4BBC">
        <w:rPr>
          <w:rFonts w:ascii="Times New Roman" w:hAnsi="Times New Roman" w:cs="Times New Roman"/>
          <w:color w:val="000000" w:themeColor="text1"/>
          <w:sz w:val="24"/>
          <w:szCs w:val="24"/>
        </w:rPr>
        <w:t xml:space="preserve">, </w:t>
      </w:r>
      <w:r w:rsidR="00EF4BBC">
        <w:rPr>
          <w:rFonts w:ascii="Times New Roman" w:hAnsi="Times New Roman" w:cs="Times New Roman"/>
          <w:color w:val="000000" w:themeColor="text1"/>
          <w:sz w:val="24"/>
          <w:szCs w:val="24"/>
        </w:rPr>
        <w:t>resulting in</w:t>
      </w:r>
      <w:r w:rsidR="0062748C" w:rsidRPr="00EF4BBC">
        <w:rPr>
          <w:rFonts w:ascii="Times New Roman" w:hAnsi="Times New Roman" w:cs="Times New Roman"/>
          <w:color w:val="000000" w:themeColor="text1"/>
          <w:sz w:val="24"/>
          <w:szCs w:val="24"/>
        </w:rPr>
        <w:t xml:space="preserve"> a total of </w:t>
      </w:r>
      <w:r w:rsidR="0062748C" w:rsidRPr="00EF4BBC">
        <w:rPr>
          <w:rStyle w:val="ng-scope"/>
          <w:rFonts w:ascii="Times New Roman" w:hAnsi="Times New Roman" w:cs="Times New Roman"/>
          <w:color w:val="000000" w:themeColor="text1"/>
          <w:sz w:val="24"/>
          <w:szCs w:val="24"/>
        </w:rPr>
        <w:t>938,000 occurrences</w:t>
      </w:r>
      <w:r w:rsidR="0062748C" w:rsidRPr="00EF4BBC">
        <w:rPr>
          <w:rFonts w:ascii="Times New Roman" w:hAnsi="Times New Roman" w:cs="Times New Roman"/>
          <w:color w:val="000000" w:themeColor="text1"/>
          <w:sz w:val="24"/>
          <w:szCs w:val="24"/>
        </w:rPr>
        <w:t>.</w:t>
      </w:r>
      <w:r w:rsidR="0066123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We also downloaded e</w:t>
      </w:r>
      <w:r w:rsidR="0066123D">
        <w:rPr>
          <w:rFonts w:ascii="Times New Roman" w:hAnsi="Times New Roman" w:cs="Times New Roman"/>
          <w:color w:val="000000" w:themeColor="text1"/>
          <w:sz w:val="24"/>
          <w:szCs w:val="24"/>
        </w:rPr>
        <w:t xml:space="preserve">xpert-based, </w:t>
      </w:r>
      <w:r>
        <w:rPr>
          <w:rFonts w:ascii="Times New Roman" w:hAnsi="Times New Roman" w:cs="Times New Roman"/>
          <w:color w:val="000000" w:themeColor="text1"/>
          <w:sz w:val="24"/>
          <w:szCs w:val="24"/>
        </w:rPr>
        <w:t>range polygons for each species</w:t>
      </w:r>
      <w:r w:rsidR="002E2210" w:rsidRPr="00EF4BBC">
        <w:rPr>
          <w:rFonts w:ascii="Times New Roman" w:hAnsi="Times New Roman" w:cs="Times New Roman"/>
          <w:color w:val="000000" w:themeColor="text1"/>
          <w:sz w:val="24"/>
          <w:szCs w:val="24"/>
        </w:rPr>
        <w:t xml:space="preserve"> from the International Union for the Conservation of Nature (IUCN)</w:t>
      </w:r>
      <w:r w:rsidR="0066123D">
        <w:rPr>
          <w:rFonts w:ascii="Times New Roman" w:hAnsi="Times New Roman" w:cs="Times New Roman"/>
          <w:color w:val="000000" w:themeColor="text1"/>
          <w:sz w:val="24"/>
          <w:szCs w:val="24"/>
        </w:rPr>
        <w:t xml:space="preserve"> </w:t>
      </w:r>
      <w:proofErr w:type="spellStart"/>
      <w:r w:rsidR="0066123D">
        <w:rPr>
          <w:rFonts w:ascii="Times New Roman" w:hAnsi="Times New Roman" w:cs="Times New Roman"/>
          <w:color w:val="000000" w:themeColor="text1"/>
          <w:sz w:val="24"/>
          <w:szCs w:val="24"/>
        </w:rPr>
        <w:t>Redlist</w:t>
      </w:r>
      <w:proofErr w:type="spellEnd"/>
      <w:r w:rsidR="0066123D">
        <w:rPr>
          <w:rFonts w:ascii="Times New Roman" w:hAnsi="Times New Roman" w:cs="Times New Roman"/>
          <w:color w:val="000000" w:themeColor="text1"/>
          <w:sz w:val="24"/>
          <w:szCs w:val="24"/>
        </w:rPr>
        <w:t xml:space="preserve"> website (</w:t>
      </w:r>
      <w:hyperlink r:id="rId8" w:history="1">
        <w:r w:rsidR="000E06E9" w:rsidRPr="008D4FEB">
          <w:rPr>
            <w:rStyle w:val="Hyperlink"/>
            <w:rFonts w:ascii="Times New Roman" w:hAnsi="Times New Roman" w:cs="Times New Roman"/>
            <w:sz w:val="24"/>
            <w:szCs w:val="24"/>
          </w:rPr>
          <w:t>https://www.iucnredlist.org/resources/spatial-data-down</w:t>
        </w:r>
        <w:r w:rsidR="000E06E9" w:rsidRPr="008D4FEB">
          <w:rPr>
            <w:rStyle w:val="Hyperlink"/>
            <w:rFonts w:ascii="Times New Roman" w:hAnsi="Times New Roman" w:cs="Times New Roman"/>
            <w:sz w:val="24"/>
            <w:szCs w:val="24"/>
          </w:rPr>
          <w:t>l</w:t>
        </w:r>
        <w:r w:rsidR="000E06E9" w:rsidRPr="008D4FEB">
          <w:rPr>
            <w:rStyle w:val="Hyperlink"/>
            <w:rFonts w:ascii="Times New Roman" w:hAnsi="Times New Roman" w:cs="Times New Roman"/>
            <w:sz w:val="24"/>
            <w:szCs w:val="24"/>
          </w:rPr>
          <w:t>oad</w:t>
        </w:r>
      </w:hyperlink>
      <w:r w:rsidR="0066123D">
        <w:rPr>
          <w:rFonts w:ascii="Times New Roman" w:hAnsi="Times New Roman" w:cs="Times New Roman"/>
          <w:color w:val="000000" w:themeColor="text1"/>
          <w:sz w:val="24"/>
          <w:szCs w:val="24"/>
        </w:rPr>
        <w:t>).</w:t>
      </w:r>
      <w:r w:rsidR="002E2210" w:rsidRPr="00EF4BBC">
        <w:rPr>
          <w:rFonts w:ascii="Times New Roman" w:hAnsi="Times New Roman" w:cs="Times New Roman"/>
          <w:color w:val="000000" w:themeColor="text1"/>
          <w:sz w:val="24"/>
          <w:szCs w:val="24"/>
        </w:rPr>
        <w:t xml:space="preserve"> </w:t>
      </w:r>
      <w:r w:rsidR="0066123D">
        <w:rPr>
          <w:rFonts w:ascii="Times New Roman" w:hAnsi="Times New Roman" w:cs="Times New Roman"/>
          <w:color w:val="000000" w:themeColor="text1"/>
          <w:sz w:val="24"/>
          <w:szCs w:val="24"/>
        </w:rPr>
        <w:t xml:space="preserve">Using these datasets, </w:t>
      </w:r>
      <w:r w:rsidR="002E2210" w:rsidRPr="00EF4BBC">
        <w:rPr>
          <w:rFonts w:ascii="Times New Roman" w:hAnsi="Times New Roman" w:cs="Times New Roman"/>
          <w:color w:val="000000" w:themeColor="text1"/>
          <w:sz w:val="24"/>
          <w:szCs w:val="24"/>
        </w:rPr>
        <w:t xml:space="preserve">we quantify sampling effort </w:t>
      </w:r>
      <w:r>
        <w:rPr>
          <w:rFonts w:ascii="Times New Roman" w:hAnsi="Times New Roman" w:cs="Times New Roman"/>
          <w:color w:val="000000" w:themeColor="text1"/>
          <w:sz w:val="24"/>
          <w:szCs w:val="24"/>
        </w:rPr>
        <w:t>to determine impediments that can limit understanding of seagrass species’ response to global change</w:t>
      </w:r>
      <w:r w:rsidR="002E2210" w:rsidRPr="00EF4BBC">
        <w:rPr>
          <w:rFonts w:ascii="Times New Roman" w:hAnsi="Times New Roman" w:cs="Times New Roman"/>
          <w:color w:val="000000" w:themeColor="text1"/>
          <w:sz w:val="24"/>
          <w:szCs w:val="24"/>
        </w:rPr>
        <w:t>.</w:t>
      </w:r>
      <w:r w:rsidR="00672448">
        <w:rPr>
          <w:rFonts w:ascii="Times New Roman" w:hAnsi="Times New Roman" w:cs="Times New Roman"/>
          <w:color w:val="000000" w:themeColor="text1"/>
          <w:sz w:val="24"/>
          <w:szCs w:val="24"/>
        </w:rPr>
        <w:t xml:space="preserve"> All subsequent analyses were performed using R version 3.6.3</w:t>
      </w:r>
      <w:r w:rsidR="00672448" w:rsidRPr="00672448">
        <w:rPr>
          <w:rFonts w:ascii="Times New Roman" w:hAnsi="Times New Roman" w:cs="Times New Roman"/>
          <w:color w:val="000000" w:themeColor="text1"/>
          <w:sz w:val="24"/>
          <w:szCs w:val="24"/>
        </w:rPr>
        <w:t xml:space="preserve"> (</w:t>
      </w:r>
      <w:r w:rsidR="00672448" w:rsidRPr="00963A8F">
        <w:rPr>
          <w:rFonts w:ascii="Times New Roman" w:hAnsi="Times New Roman" w:cs="Times New Roman"/>
          <w:color w:val="000000" w:themeColor="text1"/>
          <w:sz w:val="24"/>
          <w:szCs w:val="24"/>
        </w:rPr>
        <w:t>R Core Team 2020).</w:t>
      </w:r>
      <w:r w:rsidR="00963A8F">
        <w:rPr>
          <w:rFonts w:ascii="Times New Roman" w:hAnsi="Times New Roman" w:cs="Times New Roman"/>
          <w:color w:val="000000" w:themeColor="text1"/>
          <w:sz w:val="24"/>
          <w:szCs w:val="24"/>
        </w:rPr>
        <w:t xml:space="preserve"> </w:t>
      </w:r>
    </w:p>
    <w:p w14:paraId="781C01B9" w14:textId="4A6603CE" w:rsidR="00D10E77" w:rsidRDefault="00D10E77" w:rsidP="002E2210"/>
    <w:p w14:paraId="00909C63" w14:textId="49E0480B" w:rsidR="00FF1EBA" w:rsidRDefault="008E1653" w:rsidP="00DA2339">
      <w:pPr>
        <w:autoSpaceDE w:val="0"/>
        <w:autoSpaceDN w:val="0"/>
        <w:adjustRightInd w:val="0"/>
      </w:pPr>
      <w:r>
        <w:rPr>
          <w:b/>
          <w:bCs/>
        </w:rPr>
        <w:t>DATA ANALYSES</w:t>
      </w:r>
    </w:p>
    <w:p w14:paraId="316B71C5" w14:textId="77777777" w:rsidR="00DC4CA3" w:rsidRDefault="00DC4CA3" w:rsidP="00DA2339">
      <w:pPr>
        <w:autoSpaceDE w:val="0"/>
        <w:autoSpaceDN w:val="0"/>
        <w:adjustRightInd w:val="0"/>
        <w:rPr>
          <w:b/>
          <w:bCs/>
        </w:rPr>
      </w:pPr>
    </w:p>
    <w:p w14:paraId="753265AA" w14:textId="596702CD" w:rsidR="00BA36BC" w:rsidRPr="00AE01AC" w:rsidRDefault="00BA36BC" w:rsidP="00BA36BC">
      <w:pPr>
        <w:autoSpaceDE w:val="0"/>
        <w:autoSpaceDN w:val="0"/>
        <w:adjustRightInd w:val="0"/>
        <w:rPr>
          <w:b/>
          <w:bCs/>
        </w:rPr>
      </w:pPr>
      <w:r>
        <w:rPr>
          <w:b/>
          <w:bCs/>
        </w:rPr>
        <w:t>Assessment of u</w:t>
      </w:r>
      <w:r w:rsidRPr="00BA36BC">
        <w:rPr>
          <w:b/>
          <w:bCs/>
        </w:rPr>
        <w:t>ncertainties in geographic samplin</w:t>
      </w:r>
      <w:r w:rsidR="00433F96">
        <w:rPr>
          <w:b/>
          <w:bCs/>
        </w:rPr>
        <w:t>g</w:t>
      </w:r>
    </w:p>
    <w:p w14:paraId="29731861" w14:textId="30E9D987" w:rsidR="00BA36BC" w:rsidRPr="00257471" w:rsidRDefault="00BA36BC" w:rsidP="00BA36BC">
      <w:r>
        <w:t xml:space="preserve">Polygon shapefiles </w:t>
      </w:r>
      <w:r w:rsidR="0003514D">
        <w:t xml:space="preserve">from the IUCN </w:t>
      </w:r>
      <w:r>
        <w:t xml:space="preserve">and </w:t>
      </w:r>
      <w:r w:rsidR="0003514D">
        <w:t>point</w:t>
      </w:r>
      <w:r>
        <w:t xml:space="preserve"> records </w:t>
      </w:r>
      <w:r w:rsidR="0003514D">
        <w:t>from GBIF</w:t>
      </w:r>
      <w:r>
        <w:t xml:space="preserve"> were </w:t>
      </w:r>
      <w:r w:rsidR="0003514D">
        <w:t>overlaid onto</w:t>
      </w:r>
      <w:r>
        <w:t xml:space="preserve"> 100</w:t>
      </w:r>
      <w:r w:rsidR="0003514D">
        <w:t xml:space="preserve"> </w:t>
      </w:r>
      <w:r>
        <w:t>km</w:t>
      </w:r>
      <w:r w:rsidR="0003514D">
        <w:t xml:space="preserve"> × 100 km</w:t>
      </w:r>
      <w:r>
        <w:t xml:space="preserve"> grid</w:t>
      </w:r>
      <w:r w:rsidR="0003514D">
        <w:t xml:space="preserve"> cell</w:t>
      </w:r>
      <w:r>
        <w:t>s</w:t>
      </w:r>
      <w:r w:rsidR="0003514D">
        <w:t xml:space="preserve"> to assess coverage based on expert opinion versus actual sampling</w:t>
      </w:r>
      <w:r>
        <w:t xml:space="preserve">. </w:t>
      </w:r>
      <w:r w:rsidR="0003514D">
        <w:t xml:space="preserve">We </w:t>
      </w:r>
      <w:r w:rsidR="00AA39F8">
        <w:t xml:space="preserve">cleaned the data by </w:t>
      </w:r>
      <w:r w:rsidR="0003514D">
        <w:t>remov</w:t>
      </w:r>
      <w:r w:rsidR="00AA39F8">
        <w:t>ing</w:t>
      </w:r>
      <w:r>
        <w:t xml:space="preserve"> extraneous occurrence</w:t>
      </w:r>
      <w:r w:rsidR="0003514D">
        <w:t>s</w:t>
      </w:r>
      <w:r>
        <w:t xml:space="preserve"> that were inconsistent with </w:t>
      </w:r>
      <w:r w:rsidR="0003514D">
        <w:t>known</w:t>
      </w:r>
      <w:r>
        <w:t xml:space="preserve"> seagrass </w:t>
      </w:r>
      <w:r w:rsidR="0003514D">
        <w:t>distributional range e.g., points falling on terrestrial areas,</w:t>
      </w:r>
      <w:r w:rsidR="00AA39F8">
        <w:t xml:space="preserve"> or those missing geographic coordinates or collection dates.</w:t>
      </w:r>
      <w:r>
        <w:t xml:space="preserve"> </w:t>
      </w:r>
      <w:r w:rsidR="00AA39F8">
        <w:t xml:space="preserve">We also standardized the species’ taxonomy against </w:t>
      </w:r>
      <w:r w:rsidR="00AA39F8" w:rsidRPr="00AA39F8">
        <w:t>World Flora Online (</w:t>
      </w:r>
      <w:r w:rsidR="00963A8F" w:rsidRPr="00963A8F">
        <w:t>www.worldfloraonline.org</w:t>
      </w:r>
      <w:r w:rsidR="00AA39F8" w:rsidRPr="00AA39F8">
        <w:t>)</w:t>
      </w:r>
      <w:r w:rsidR="00AA39F8">
        <w:t xml:space="preserve">. </w:t>
      </w:r>
      <w:r>
        <w:t xml:space="preserve">Within each grid, the total amount of seagrasses sampled and the count for each individual species present was calculated. In the species richness plot, only the number of different species present within each grid was considered significant. </w:t>
      </w:r>
    </w:p>
    <w:p w14:paraId="3F7B1130" w14:textId="77777777" w:rsidR="00BA36BC" w:rsidRDefault="00BA36BC" w:rsidP="00BA36BC">
      <w:pPr>
        <w:autoSpaceDE w:val="0"/>
        <w:autoSpaceDN w:val="0"/>
        <w:adjustRightInd w:val="0"/>
      </w:pPr>
    </w:p>
    <w:p w14:paraId="6F4F3102" w14:textId="0D8E6817" w:rsidR="00BA36BC" w:rsidRDefault="00BA36BC" w:rsidP="00BA36BC">
      <w:pPr>
        <w:autoSpaceDE w:val="0"/>
        <w:autoSpaceDN w:val="0"/>
        <w:adjustRightInd w:val="0"/>
        <w:rPr>
          <w:b/>
          <w:bCs/>
        </w:rPr>
      </w:pPr>
      <w:r>
        <w:rPr>
          <w:b/>
          <w:bCs/>
        </w:rPr>
        <w:t xml:space="preserve">Assessment of </w:t>
      </w:r>
      <w:r w:rsidR="00AA39F8">
        <w:rPr>
          <w:b/>
          <w:bCs/>
        </w:rPr>
        <w:t>uncertainties in t</w:t>
      </w:r>
      <w:r>
        <w:rPr>
          <w:b/>
          <w:bCs/>
        </w:rPr>
        <w:t xml:space="preserve">emporal </w:t>
      </w:r>
      <w:r w:rsidR="00AA39F8">
        <w:rPr>
          <w:b/>
          <w:bCs/>
        </w:rPr>
        <w:t>s</w:t>
      </w:r>
      <w:r>
        <w:rPr>
          <w:b/>
          <w:bCs/>
        </w:rPr>
        <w:t>ampling</w:t>
      </w:r>
    </w:p>
    <w:p w14:paraId="4C17FA02" w14:textId="248B3234" w:rsidR="00BA36BC" w:rsidRDefault="00BA36BC" w:rsidP="00BA36BC">
      <w:r w:rsidRPr="005B65DB">
        <w:t xml:space="preserve">Seagrass </w:t>
      </w:r>
      <w:r w:rsidR="00585BA0">
        <w:t>collection dates</w:t>
      </w:r>
      <w:r w:rsidRPr="005B65DB">
        <w:t xml:space="preserve"> from</w:t>
      </w:r>
      <w:r w:rsidR="00632243">
        <w:t xml:space="preserve"> GBIF </w:t>
      </w:r>
      <w:r w:rsidRPr="005B65DB">
        <w:t xml:space="preserve">was </w:t>
      </w:r>
      <w:r w:rsidR="00585BA0">
        <w:t xml:space="preserve">converted </w:t>
      </w:r>
      <w:r w:rsidRPr="005B65DB">
        <w:t xml:space="preserve">into Julian Day of Year </w:t>
      </w:r>
      <w:r w:rsidRPr="000A0D95">
        <w:t>format (DOY; where 1 January = 1 DOY and 31 December = 365 DOY, etc.)</w:t>
      </w:r>
      <w:r w:rsidRPr="005B65DB">
        <w:t xml:space="preserve"> </w:t>
      </w:r>
      <w:r w:rsidR="00585BA0">
        <w:t>using</w:t>
      </w:r>
      <w:r w:rsidRPr="005B65DB">
        <w:t xml:space="preserve"> the</w:t>
      </w:r>
      <w:r w:rsidR="00585BA0">
        <w:t xml:space="preserve"> R package</w:t>
      </w:r>
      <w:r w:rsidRPr="005B65DB">
        <w:t xml:space="preserve"> </w:t>
      </w:r>
      <w:r>
        <w:t>“</w:t>
      </w:r>
      <w:proofErr w:type="spellStart"/>
      <w:r w:rsidRPr="005B65DB">
        <w:t>lubridate</w:t>
      </w:r>
      <w:proofErr w:type="spellEnd"/>
      <w:r>
        <w:t>”</w:t>
      </w:r>
      <w:r w:rsidRPr="005B65DB">
        <w:t xml:space="preserve"> </w:t>
      </w:r>
      <w:r>
        <w:t>(</w:t>
      </w:r>
      <w:proofErr w:type="spellStart"/>
      <w:r>
        <w:t>Grolemund</w:t>
      </w:r>
      <w:proofErr w:type="spellEnd"/>
      <w:r>
        <w:t xml:space="preserve"> &amp; Wickha</w:t>
      </w:r>
      <w:r w:rsidR="00585BA0">
        <w:t>m</w:t>
      </w:r>
      <w:r>
        <w:t xml:space="preserve">, 2011). </w:t>
      </w:r>
      <w:r w:rsidR="00585BA0">
        <w:t>We generated</w:t>
      </w:r>
      <w:r>
        <w:t xml:space="preserve"> circular plots </w:t>
      </w:r>
      <w:r w:rsidR="00585BA0">
        <w:t>indicating</w:t>
      </w:r>
      <w:r>
        <w:t xml:space="preserve"> the sampling density for any given month over the course of all years </w:t>
      </w:r>
      <w:r w:rsidR="00585BA0">
        <w:t>spanned by</w:t>
      </w:r>
      <w:r>
        <w:t xml:space="preserve"> the dataset for each marine ecoregion.</w:t>
      </w:r>
      <w:r w:rsidR="00585BA0">
        <w:t xml:space="preserve"> This approached allowed us to explore temporal sampling within each marine ecoregion as opposed to computing</w:t>
      </w:r>
      <w:r>
        <w:t xml:space="preserve"> </w:t>
      </w:r>
      <w:r w:rsidR="00585BA0">
        <w:t xml:space="preserve">temporal sampling at a global scale. We then </w:t>
      </w:r>
      <w:r>
        <w:t xml:space="preserve">explored trends across decades by combining and plotting our datasets across centuries (1700-2000s) to assess overall changes in the density of seagrass sampling over decades. </w:t>
      </w:r>
    </w:p>
    <w:p w14:paraId="4EDF084D" w14:textId="77777777" w:rsidR="00BA36BC" w:rsidRPr="00FF1EBA" w:rsidRDefault="00BA36BC" w:rsidP="00BA36BC">
      <w:pPr>
        <w:autoSpaceDE w:val="0"/>
        <w:autoSpaceDN w:val="0"/>
        <w:adjustRightInd w:val="0"/>
        <w:rPr>
          <w:b/>
          <w:bCs/>
        </w:rPr>
      </w:pPr>
    </w:p>
    <w:p w14:paraId="5D4E4930" w14:textId="31E8DFE6" w:rsidR="00BA36BC" w:rsidRPr="00FF1EBA" w:rsidRDefault="00BA36BC" w:rsidP="00BA36BC">
      <w:pPr>
        <w:autoSpaceDE w:val="0"/>
        <w:autoSpaceDN w:val="0"/>
        <w:adjustRightInd w:val="0"/>
        <w:rPr>
          <w:b/>
          <w:bCs/>
        </w:rPr>
      </w:pPr>
      <w:r>
        <w:rPr>
          <w:b/>
          <w:bCs/>
        </w:rPr>
        <w:t xml:space="preserve">Assessment of </w:t>
      </w:r>
      <w:r w:rsidR="00585BA0">
        <w:rPr>
          <w:b/>
          <w:bCs/>
        </w:rPr>
        <w:t>uncertainties in t</w:t>
      </w:r>
      <w:r>
        <w:rPr>
          <w:b/>
          <w:bCs/>
        </w:rPr>
        <w:t xml:space="preserve">axonomic </w:t>
      </w:r>
      <w:r w:rsidR="00585BA0">
        <w:rPr>
          <w:b/>
          <w:bCs/>
        </w:rPr>
        <w:t>s</w:t>
      </w:r>
      <w:r>
        <w:rPr>
          <w:b/>
          <w:bCs/>
        </w:rPr>
        <w:t>ampling</w:t>
      </w:r>
    </w:p>
    <w:p w14:paraId="1F5AA0C3" w14:textId="30AD36AB" w:rsidR="00BA36BC" w:rsidRPr="00CA0C3D" w:rsidRDefault="00585BA0" w:rsidP="00164E2B">
      <w:r>
        <w:rPr>
          <w:color w:val="000000" w:themeColor="text1"/>
        </w:rPr>
        <w:t xml:space="preserve">We used the </w:t>
      </w:r>
      <w:r w:rsidR="00BA36BC" w:rsidRPr="00CA0C3D">
        <w:rPr>
          <w:color w:val="000000" w:themeColor="text1"/>
        </w:rPr>
        <w:t>occurrence data from GBIF</w:t>
      </w:r>
      <w:r>
        <w:rPr>
          <w:color w:val="000000" w:themeColor="text1"/>
        </w:rPr>
        <w:t xml:space="preserve"> to quantify taxonomic</w:t>
      </w:r>
      <w:r w:rsidR="00A84F9E">
        <w:rPr>
          <w:color w:val="000000" w:themeColor="text1"/>
        </w:rPr>
        <w:t>/phylogenetic</w:t>
      </w:r>
      <w:r>
        <w:rPr>
          <w:color w:val="000000" w:themeColor="text1"/>
        </w:rPr>
        <w:t xml:space="preserve"> bias, the tendency of some species or clades to be collected more or less than others.</w:t>
      </w:r>
      <w:r w:rsidR="00A84F9E">
        <w:rPr>
          <w:color w:val="000000" w:themeColor="text1"/>
        </w:rPr>
        <w:t xml:space="preserve"> If closely related species are likely to be sampled similarly than expected by chance, then phylogenetic bias results. Along </w:t>
      </w:r>
      <w:r w:rsidR="00A84F9E">
        <w:rPr>
          <w:color w:val="000000" w:themeColor="text1"/>
        </w:rPr>
        <w:lastRenderedPageBreak/>
        <w:t xml:space="preserve">these lines, we obtained a dated phylogenetic tree of seagrass from </w:t>
      </w:r>
      <w:r w:rsidR="00963A8F">
        <w:t>Daru</w:t>
      </w:r>
      <w:r w:rsidR="00963A8F" w:rsidDel="00963A8F">
        <w:rPr>
          <w:color w:val="000000" w:themeColor="text1"/>
        </w:rPr>
        <w:t xml:space="preserve"> </w:t>
      </w:r>
      <w:r w:rsidR="00963A8F">
        <w:rPr>
          <w:color w:val="000000" w:themeColor="text1"/>
        </w:rPr>
        <w:t xml:space="preserve">et al. </w:t>
      </w:r>
      <w:r w:rsidR="00A84F9E">
        <w:rPr>
          <w:color w:val="000000" w:themeColor="text1"/>
        </w:rPr>
        <w:t>(</w:t>
      </w:r>
      <w:r w:rsidR="00963A8F" w:rsidRPr="00963A8F">
        <w:rPr>
          <w:color w:val="000000" w:themeColor="text1"/>
        </w:rPr>
        <w:t>2017</w:t>
      </w:r>
      <w:r w:rsidR="00A84F9E">
        <w:rPr>
          <w:color w:val="000000" w:themeColor="text1"/>
        </w:rPr>
        <w:t>) to quantify phylogenetic bias in the number of occurrences collected per species</w:t>
      </w:r>
      <w:r w:rsidR="00164E2B">
        <w:rPr>
          <w:color w:val="000000" w:themeColor="text1"/>
        </w:rPr>
        <w:t xml:space="preserve">. </w:t>
      </w:r>
      <w:r w:rsidR="00164E2B" w:rsidRPr="00164E2B">
        <w:rPr>
          <w:color w:val="000000" w:themeColor="text1"/>
        </w:rPr>
        <w:t>We</w:t>
      </w:r>
      <w:r w:rsidR="00164E2B">
        <w:rPr>
          <w:color w:val="000000" w:themeColor="text1"/>
        </w:rPr>
        <w:t xml:space="preserve"> then</w:t>
      </w:r>
      <w:r w:rsidR="00164E2B" w:rsidRPr="00164E2B">
        <w:rPr>
          <w:color w:val="000000" w:themeColor="text1"/>
        </w:rPr>
        <w:t xml:space="preserve"> assessed phylogenetic signal in </w:t>
      </w:r>
      <w:r w:rsidR="00164E2B">
        <w:rPr>
          <w:color w:val="000000" w:themeColor="text1"/>
        </w:rPr>
        <w:t>the number of specimens collected per species to explore</w:t>
      </w:r>
      <w:r w:rsidR="00BA36BC" w:rsidRPr="00CA0C3D">
        <w:rPr>
          <w:color w:val="000000" w:themeColor="text1"/>
        </w:rPr>
        <w:t xml:space="preserve"> if closely related seagrass species were collected similarly than expected by chance. If phylogenetic signals were detected, this would provide evidence that the sampling of seagrass species were concentrated in specific lineages to the point that closely related species tended to be sampled similarly</w:t>
      </w:r>
      <w:r w:rsidR="00164E2B">
        <w:rPr>
          <w:color w:val="000000" w:themeColor="text1"/>
        </w:rPr>
        <w:t xml:space="preserve"> (</w:t>
      </w:r>
      <w:proofErr w:type="spellStart"/>
      <w:r w:rsidR="00672448">
        <w:t>Plazzi</w:t>
      </w:r>
      <w:proofErr w:type="spellEnd"/>
      <w:r w:rsidR="00672448">
        <w:t xml:space="preserve"> et al., 2010</w:t>
      </w:r>
      <w:r w:rsidR="00164E2B">
        <w:rPr>
          <w:color w:val="000000" w:themeColor="text1"/>
        </w:rPr>
        <w:t>)</w:t>
      </w:r>
      <w:r w:rsidR="00BA36BC" w:rsidRPr="00CA0C3D">
        <w:rPr>
          <w:color w:val="000000" w:themeColor="text1"/>
        </w:rPr>
        <w:t xml:space="preserve">. Phylogenetic signal test was performed using </w:t>
      </w:r>
      <w:r w:rsidR="00BA36BC" w:rsidRPr="00CA0C3D">
        <w:t xml:space="preserve">Moran’s I, </w:t>
      </w:r>
      <w:proofErr w:type="spellStart"/>
      <w:r w:rsidR="00BA36BC" w:rsidRPr="00CA0C3D">
        <w:t>Abouheif’s</w:t>
      </w:r>
      <w:proofErr w:type="spellEnd"/>
      <w:r w:rsidR="00BA36BC" w:rsidRPr="00CA0C3D">
        <w:t xml:space="preserve"> C-mean, </w:t>
      </w:r>
      <w:proofErr w:type="spellStart"/>
      <w:r w:rsidR="00BA36BC" w:rsidRPr="00CA0C3D">
        <w:t>Pagel’s</w:t>
      </w:r>
      <w:proofErr w:type="spellEnd"/>
      <w:r w:rsidR="00BA36BC" w:rsidRPr="00CA0C3D">
        <w:t xml:space="preserve"> </w:t>
      </w:r>
      <w:r w:rsidR="00BA36BC" w:rsidRPr="00CA0C3D">
        <w:rPr>
          <w:rFonts w:eastAsia="Cardo"/>
          <w:color w:val="3E3E3E"/>
        </w:rPr>
        <w:t xml:space="preserve">λ, </w:t>
      </w:r>
      <w:r w:rsidR="00BA36BC" w:rsidRPr="00CA0C3D">
        <w:t>and</w:t>
      </w:r>
      <w:r w:rsidR="00BA36BC" w:rsidRPr="00CA0C3D">
        <w:rPr>
          <w:rFonts w:eastAsia="Merriweather Sans"/>
        </w:rPr>
        <w:t xml:space="preserve"> </w:t>
      </w:r>
      <w:r w:rsidR="00BA36BC" w:rsidRPr="00CA0C3D">
        <w:t xml:space="preserve">Blomberg’s K. </w:t>
      </w:r>
      <w:r w:rsidR="00BA36BC" w:rsidRPr="00CA0C3D">
        <w:rPr>
          <w:color w:val="000000" w:themeColor="text1"/>
        </w:rPr>
        <w:t xml:space="preserve">The values of Pagel’s k range from 0 (no phylogenetic signal) to 1 (strong phylogenetic signal) and </w:t>
      </w:r>
      <w:r w:rsidR="00BA36BC">
        <w:rPr>
          <w:color w:val="222222"/>
          <w:shd w:val="clear" w:color="auto" w:fill="FFFFFF"/>
        </w:rPr>
        <w:t>is</w:t>
      </w:r>
      <w:r w:rsidR="00BA36BC" w:rsidRPr="00CA0C3D">
        <w:rPr>
          <w:color w:val="222222"/>
          <w:shd w:val="clear" w:color="auto" w:fill="FFFFFF"/>
        </w:rPr>
        <w:t xml:space="preserve"> a scaling parameter for the phylogeny and measures phylogenetic dependence of observed trait data</w:t>
      </w:r>
      <w:r w:rsidR="00164E2B">
        <w:rPr>
          <w:color w:val="222222"/>
          <w:shd w:val="clear" w:color="auto" w:fill="FFFFFF"/>
        </w:rPr>
        <w:t xml:space="preserve"> (</w:t>
      </w:r>
      <w:r w:rsidR="00632243" w:rsidRPr="00710AAE">
        <w:t>Pagel, 1999</w:t>
      </w:r>
      <w:r w:rsidR="00164E2B">
        <w:rPr>
          <w:color w:val="222222"/>
          <w:shd w:val="clear" w:color="auto" w:fill="FFFFFF"/>
        </w:rPr>
        <w:t>)</w:t>
      </w:r>
      <w:r w:rsidR="00BA36BC" w:rsidRPr="00CA0C3D">
        <w:rPr>
          <w:color w:val="000000" w:themeColor="text1"/>
        </w:rPr>
        <w:t xml:space="preserve">. </w:t>
      </w:r>
      <w:r w:rsidR="00E771F9">
        <w:rPr>
          <w:color w:val="000000" w:themeColor="text1"/>
        </w:rPr>
        <w:t xml:space="preserve">For </w:t>
      </w:r>
      <w:r w:rsidR="00BA36BC" w:rsidRPr="00CA0C3D">
        <w:rPr>
          <w:color w:val="000000" w:themeColor="text1"/>
        </w:rPr>
        <w:t>Blomberg’s K</w:t>
      </w:r>
      <w:r w:rsidR="00BA36BC">
        <w:rPr>
          <w:color w:val="000000" w:themeColor="text1"/>
        </w:rPr>
        <w:t xml:space="preserve">, </w:t>
      </w:r>
      <w:r w:rsidR="00BA36BC" w:rsidRPr="00CA0C3D">
        <w:rPr>
          <w:color w:val="000000" w:themeColor="text1"/>
        </w:rPr>
        <w:t>a significant phylogenetic signal</w:t>
      </w:r>
      <w:r w:rsidR="00BA36BC">
        <w:rPr>
          <w:color w:val="000000" w:themeColor="text1"/>
        </w:rPr>
        <w:t>,</w:t>
      </w:r>
      <w:r w:rsidR="00BA36BC" w:rsidRPr="00CA0C3D">
        <w:rPr>
          <w:color w:val="000000" w:themeColor="text1"/>
        </w:rPr>
        <w:t xml:space="preserve"> is indicated by a K value &gt; </w:t>
      </w:r>
      <w:r w:rsidR="00BA36BC">
        <w:rPr>
          <w:color w:val="000000" w:themeColor="text1"/>
        </w:rPr>
        <w:t>1</w:t>
      </w:r>
      <w:r w:rsidR="00BA36BC" w:rsidRPr="00CA0C3D">
        <w:rPr>
          <w:color w:val="000000" w:themeColor="text1"/>
        </w:rPr>
        <w:t xml:space="preserve">. These were calculated using the </w:t>
      </w:r>
      <w:r w:rsidR="00E771F9">
        <w:rPr>
          <w:color w:val="000000" w:themeColor="text1"/>
        </w:rPr>
        <w:t xml:space="preserve">R </w:t>
      </w:r>
      <w:r w:rsidR="00BA36BC" w:rsidRPr="00CA0C3D">
        <w:rPr>
          <w:color w:val="000000" w:themeColor="text1"/>
        </w:rPr>
        <w:t>package “</w:t>
      </w:r>
      <w:proofErr w:type="spellStart"/>
      <w:r w:rsidR="00BA36BC" w:rsidRPr="00CA0C3D">
        <w:rPr>
          <w:color w:val="000000" w:themeColor="text1"/>
        </w:rPr>
        <w:t>phytools</w:t>
      </w:r>
      <w:proofErr w:type="spellEnd"/>
      <w:r w:rsidR="00BA36BC" w:rsidRPr="00CA0C3D">
        <w:rPr>
          <w:color w:val="000000" w:themeColor="text1"/>
        </w:rPr>
        <w:t xml:space="preserve">” (Revell, 2012). </w:t>
      </w:r>
    </w:p>
    <w:p w14:paraId="1CF03F91" w14:textId="77777777" w:rsidR="00BA36BC" w:rsidRDefault="00BA36BC" w:rsidP="00DA2339">
      <w:pPr>
        <w:autoSpaceDE w:val="0"/>
        <w:autoSpaceDN w:val="0"/>
        <w:adjustRightInd w:val="0"/>
        <w:rPr>
          <w:b/>
          <w:bCs/>
        </w:rPr>
      </w:pPr>
    </w:p>
    <w:p w14:paraId="22F18450" w14:textId="0418B98A" w:rsidR="00FF1EBA" w:rsidRDefault="002065BC" w:rsidP="00DA2339">
      <w:pPr>
        <w:autoSpaceDE w:val="0"/>
        <w:autoSpaceDN w:val="0"/>
        <w:adjustRightInd w:val="0"/>
        <w:rPr>
          <w:b/>
          <w:bCs/>
        </w:rPr>
      </w:pPr>
      <w:r>
        <w:rPr>
          <w:b/>
          <w:bCs/>
        </w:rPr>
        <w:t xml:space="preserve">Rank </w:t>
      </w:r>
      <w:r w:rsidR="00941CDE">
        <w:rPr>
          <w:b/>
          <w:bCs/>
        </w:rPr>
        <w:t>c</w:t>
      </w:r>
      <w:r>
        <w:rPr>
          <w:b/>
          <w:bCs/>
        </w:rPr>
        <w:t xml:space="preserve">orrelations of </w:t>
      </w:r>
      <w:r w:rsidR="00941CDE">
        <w:rPr>
          <w:b/>
          <w:bCs/>
        </w:rPr>
        <w:t>t</w:t>
      </w:r>
      <w:r>
        <w:rPr>
          <w:b/>
          <w:bCs/>
        </w:rPr>
        <w:t xml:space="preserve">hreatened </w:t>
      </w:r>
      <w:r w:rsidR="00941CDE">
        <w:rPr>
          <w:b/>
          <w:bCs/>
        </w:rPr>
        <w:t>s</w:t>
      </w:r>
      <w:r>
        <w:rPr>
          <w:b/>
          <w:bCs/>
        </w:rPr>
        <w:t xml:space="preserve">eagrass </w:t>
      </w:r>
      <w:r w:rsidR="00941CDE">
        <w:rPr>
          <w:b/>
          <w:bCs/>
        </w:rPr>
        <w:t>f</w:t>
      </w:r>
      <w:r>
        <w:rPr>
          <w:b/>
          <w:bCs/>
        </w:rPr>
        <w:t xml:space="preserve">amilies </w:t>
      </w:r>
      <w:r w:rsidR="00941CDE">
        <w:rPr>
          <w:b/>
          <w:bCs/>
        </w:rPr>
        <w:t>across m</w:t>
      </w:r>
      <w:r>
        <w:rPr>
          <w:b/>
          <w:bCs/>
        </w:rPr>
        <w:t xml:space="preserve">arine </w:t>
      </w:r>
      <w:r w:rsidR="00941CDE">
        <w:rPr>
          <w:b/>
          <w:bCs/>
        </w:rPr>
        <w:t>e</w:t>
      </w:r>
      <w:r>
        <w:rPr>
          <w:b/>
          <w:bCs/>
        </w:rPr>
        <w:t>coregion</w:t>
      </w:r>
      <w:r w:rsidR="00941CDE">
        <w:rPr>
          <w:b/>
          <w:bCs/>
        </w:rPr>
        <w:t>s</w:t>
      </w:r>
    </w:p>
    <w:p w14:paraId="75D42142" w14:textId="6194E010" w:rsidR="005D662B" w:rsidRDefault="005D662B" w:rsidP="005D662B">
      <w:pPr>
        <w:tabs>
          <w:tab w:val="left" w:pos="1340"/>
        </w:tabs>
      </w:pPr>
      <w:r>
        <w:t>We use</w:t>
      </w:r>
      <w:r w:rsidR="00E771F9">
        <w:t>d</w:t>
      </w:r>
      <w:r>
        <w:t xml:space="preserve"> a pairwise </w:t>
      </w:r>
      <w:r w:rsidR="00E771F9">
        <w:t xml:space="preserve">rank </w:t>
      </w:r>
      <w:r>
        <w:t xml:space="preserve">correlation analysis to calculate the correlation </w:t>
      </w:r>
      <w:r w:rsidR="00E771F9">
        <w:t>of seagrass families possessing threatened species</w:t>
      </w:r>
      <w:r w:rsidR="00E771F9" w:rsidDel="00E771F9">
        <w:t xml:space="preserve"> </w:t>
      </w:r>
      <w:r w:rsidR="00E771F9">
        <w:t>across different marine ecoregions of the world (</w:t>
      </w:r>
      <w:r>
        <w:t>MEOWs</w:t>
      </w:r>
      <w:r w:rsidR="00E771F9">
        <w:t>)</w:t>
      </w:r>
      <w:r>
        <w:t xml:space="preserve">. Correlational values were assigned based on the level of overlap of seagrass families with threatened species between MEOWs. </w:t>
      </w:r>
      <w:r w:rsidR="000147CA">
        <w:t>Low</w:t>
      </w:r>
      <w:r>
        <w:t xml:space="preserve"> correlation values between MEOWs</w:t>
      </w:r>
      <w:r w:rsidR="000147CA">
        <w:t xml:space="preserve"> indicate</w:t>
      </w:r>
      <w:r>
        <w:t xml:space="preserve"> that the threatened seagrass species in these regions are unique to those ranges</w:t>
      </w:r>
      <w:r w:rsidR="000147CA">
        <w:t xml:space="preserve">, while larger correlational values </w:t>
      </w:r>
      <w:r w:rsidR="005174B8">
        <w:t>indicate MEOWs</w:t>
      </w:r>
      <w:r w:rsidR="000147CA">
        <w:t xml:space="preserve"> share a significant amount of seagrass families possessing threatened species. </w:t>
      </w:r>
    </w:p>
    <w:p w14:paraId="6DA44CD6" w14:textId="77777777" w:rsidR="002065BC" w:rsidRDefault="002065BC" w:rsidP="00DA2339">
      <w:pPr>
        <w:autoSpaceDE w:val="0"/>
        <w:autoSpaceDN w:val="0"/>
        <w:adjustRightInd w:val="0"/>
        <w:rPr>
          <w:b/>
          <w:bCs/>
        </w:rPr>
      </w:pPr>
    </w:p>
    <w:p w14:paraId="630E2F1A" w14:textId="73C3A3F8" w:rsidR="008D585F" w:rsidRDefault="00941CDE" w:rsidP="008D585F">
      <w:pPr>
        <w:autoSpaceDE w:val="0"/>
        <w:autoSpaceDN w:val="0"/>
        <w:adjustRightInd w:val="0"/>
        <w:rPr>
          <w:b/>
          <w:bCs/>
        </w:rPr>
      </w:pPr>
      <w:r>
        <w:rPr>
          <w:b/>
          <w:bCs/>
        </w:rPr>
        <w:t xml:space="preserve">Assessment of taxonomic </w:t>
      </w:r>
      <w:r w:rsidR="0021403C">
        <w:rPr>
          <w:b/>
          <w:bCs/>
        </w:rPr>
        <w:t>distribution</w:t>
      </w:r>
      <w:r>
        <w:rPr>
          <w:b/>
          <w:bCs/>
        </w:rPr>
        <w:t xml:space="preserve"> of extinction r</w:t>
      </w:r>
      <w:r w:rsidR="00CF7ACD">
        <w:rPr>
          <w:b/>
          <w:bCs/>
        </w:rPr>
        <w:t>isk</w:t>
      </w:r>
    </w:p>
    <w:p w14:paraId="3CEF35DD" w14:textId="35663B3E" w:rsidR="00FD2A08" w:rsidRDefault="008D585F" w:rsidP="002E2210">
      <w:pPr>
        <w:rPr>
          <w:color w:val="000000" w:themeColor="text1"/>
        </w:rPr>
      </w:pPr>
      <w:r>
        <w:t>Each</w:t>
      </w:r>
      <w:r w:rsidRPr="008D585F">
        <w:t xml:space="preserve"> seagrass </w:t>
      </w:r>
      <w:r w:rsidR="00941CDE">
        <w:t>species was grouped in the following threat categories:</w:t>
      </w:r>
      <w:r w:rsidR="000A0D95" w:rsidRPr="00104DFE">
        <w:t xml:space="preserve"> Least Concern (LC), Lower Risk/Conservation Dependent (LR/CD), Near Threatened (NT), Vulnerable (VU), Endangered (EN), Critically Endangered (CR), and Extinct (EX)</w:t>
      </w:r>
      <w:r w:rsidR="0021403C">
        <w:t xml:space="preserve"> (assessed from the IUCN </w:t>
      </w:r>
      <w:r w:rsidR="0021403C" w:rsidRPr="00104DFE">
        <w:t xml:space="preserve">August </w:t>
      </w:r>
      <w:r w:rsidR="0021403C">
        <w:t>2019)</w:t>
      </w:r>
      <w:r w:rsidR="000A0D95">
        <w:t>.</w:t>
      </w:r>
      <w:r w:rsidR="00684C7B">
        <w:t xml:space="preserve"> </w:t>
      </w:r>
      <w:r w:rsidR="0021403C">
        <w:t>We further grouped these categories into two broader categories: threatened (</w:t>
      </w:r>
      <w:r w:rsidR="0021403C" w:rsidRPr="00104DFE">
        <w:t>EX + CR + EN + VU</w:t>
      </w:r>
      <w:r w:rsidR="0021403C">
        <w:t>) and non-threatened (</w:t>
      </w:r>
      <w:r w:rsidR="0021403C" w:rsidRPr="00104DFE">
        <w:t>LR/CD + NT + LC</w:t>
      </w:r>
      <w:r w:rsidR="0021403C">
        <w:t>).</w:t>
      </w:r>
      <w:r w:rsidR="00941CDE">
        <w:t xml:space="preserve"> </w:t>
      </w:r>
      <w:r w:rsidR="00941CDE" w:rsidRPr="00104DFE">
        <w:t xml:space="preserve">Data </w:t>
      </w:r>
      <w:r w:rsidR="0021403C">
        <w:t>d</w:t>
      </w:r>
      <w:r w:rsidR="00941CDE" w:rsidRPr="00104DFE">
        <w:t xml:space="preserve">eficient </w:t>
      </w:r>
      <w:r w:rsidR="0021403C">
        <w:t>species were removed from prior to analysis. We explored</w:t>
      </w:r>
      <w:r w:rsidR="00B60CA5">
        <w:t xml:space="preserve"> the proportion of threatened vs. non-threatened species within </w:t>
      </w:r>
      <w:r w:rsidR="0021403C">
        <w:t xml:space="preserve">each </w:t>
      </w:r>
      <w:r w:rsidR="00B60CA5">
        <w:t xml:space="preserve">seagrass </w:t>
      </w:r>
      <w:r w:rsidR="00C03B00">
        <w:t>famil</w:t>
      </w:r>
      <w:r w:rsidR="0021403C">
        <w:t>y by dividing the number of threatened species in a family by the total number of species in th</w:t>
      </w:r>
      <w:r w:rsidR="000E0956">
        <w:t>at</w:t>
      </w:r>
      <w:r w:rsidR="0021403C">
        <w:t xml:space="preserve"> family. Significance was assessed by shuffling species membership among families 1000 times and recalculating the ratio of threatened species within each random draw while maintaining the number of species per family constant</w:t>
      </w:r>
      <w:r w:rsidR="00B60CA5">
        <w:t xml:space="preserve">. </w:t>
      </w:r>
      <w:r w:rsidR="0021403C">
        <w:t>The observed proportion of threatened species was compared to the random draws to obtain p values.</w:t>
      </w:r>
    </w:p>
    <w:p w14:paraId="4ACE2F10" w14:textId="77777777" w:rsidR="00FD2A08" w:rsidRDefault="00FD2A08" w:rsidP="002E2210">
      <w:pPr>
        <w:rPr>
          <w:color w:val="000000" w:themeColor="text1"/>
        </w:rPr>
      </w:pPr>
    </w:p>
    <w:p w14:paraId="421E8CCD" w14:textId="290C6865" w:rsidR="00104DFE" w:rsidRDefault="00104DFE" w:rsidP="002E2210">
      <w:pPr>
        <w:rPr>
          <w:b/>
          <w:bCs/>
        </w:rPr>
      </w:pPr>
    </w:p>
    <w:p w14:paraId="1BCC29B8" w14:textId="77777777" w:rsidR="00EB5EFB" w:rsidRPr="00D51EE1" w:rsidRDefault="00EB5EFB" w:rsidP="00EB5EFB">
      <w:pPr>
        <w:rPr>
          <w:b/>
        </w:rPr>
      </w:pPr>
      <w:r w:rsidRPr="00D51EE1">
        <w:rPr>
          <w:b/>
        </w:rPr>
        <w:t>DATA AVAILABILITY STATEMENT</w:t>
      </w:r>
    </w:p>
    <w:p w14:paraId="026944A6" w14:textId="52816A98" w:rsidR="00EB5EFB" w:rsidRDefault="00EB5EFB" w:rsidP="00EB5EFB">
      <w:pPr>
        <w:rPr>
          <w:bCs/>
        </w:rPr>
      </w:pPr>
      <w:r w:rsidRPr="003B01BA">
        <w:rPr>
          <w:bCs/>
        </w:rPr>
        <w:t>The raw data underlying most analyses</w:t>
      </w:r>
      <w:r w:rsidR="000E06E9">
        <w:rPr>
          <w:bCs/>
        </w:rPr>
        <w:t xml:space="preserve"> </w:t>
      </w:r>
      <w:r w:rsidRPr="003B01BA">
        <w:rPr>
          <w:bCs/>
        </w:rPr>
        <w:t>in this paper</w:t>
      </w:r>
      <w:r w:rsidR="000E06E9">
        <w:rPr>
          <w:bCs/>
        </w:rPr>
        <w:t xml:space="preserve"> </w:t>
      </w:r>
      <w:r w:rsidR="000E06E9">
        <w:rPr>
          <w:bCs/>
        </w:rPr>
        <w:t>(Figures 4, 5</w:t>
      </w:r>
      <w:r w:rsidR="00826E20">
        <w:rPr>
          <w:bCs/>
        </w:rPr>
        <w:t>,</w:t>
      </w:r>
      <w:r w:rsidR="000E06E9">
        <w:rPr>
          <w:bCs/>
        </w:rPr>
        <w:t xml:space="preserve"> </w:t>
      </w:r>
      <w:r w:rsidR="000E06E9">
        <w:rPr>
          <w:bCs/>
        </w:rPr>
        <w:t>6</w:t>
      </w:r>
      <w:r w:rsidR="00826E20">
        <w:rPr>
          <w:bCs/>
        </w:rPr>
        <w:t>, and 9</w:t>
      </w:r>
      <w:r w:rsidR="000E06E9">
        <w:rPr>
          <w:bCs/>
        </w:rPr>
        <w:t>)</w:t>
      </w:r>
      <w:r w:rsidRPr="003B01BA">
        <w:rPr>
          <w:bCs/>
        </w:rPr>
        <w:t xml:space="preserve"> was derived from </w:t>
      </w:r>
      <w:r w:rsidR="002C1931">
        <w:rPr>
          <w:bCs/>
        </w:rPr>
        <w:t>the global biodiversity information facility (</w:t>
      </w:r>
      <w:r w:rsidRPr="003B01BA">
        <w:rPr>
          <w:bCs/>
        </w:rPr>
        <w:t>GBIF</w:t>
      </w:r>
      <w:r w:rsidR="000E06E9" w:rsidRPr="00EF4BBC">
        <w:rPr>
          <w:color w:val="000000" w:themeColor="text1"/>
        </w:rPr>
        <w:t xml:space="preserve">: </w:t>
      </w:r>
      <w:hyperlink r:id="rId9" w:history="1">
        <w:r w:rsidR="000E06E9" w:rsidRPr="008D4FEB">
          <w:rPr>
            <w:rStyle w:val="Hyperlink"/>
          </w:rPr>
          <w:t>https://doi.org/10.15468/dl.t7xgct</w:t>
        </w:r>
      </w:hyperlink>
      <w:r w:rsidRPr="003B01BA">
        <w:rPr>
          <w:bCs/>
        </w:rPr>
        <w:t>).</w:t>
      </w:r>
      <w:r w:rsidR="000E06E9">
        <w:rPr>
          <w:bCs/>
        </w:rPr>
        <w:t xml:space="preserve"> IUCN data used for Figure 8 is available for download at: </w:t>
      </w:r>
      <w:hyperlink r:id="rId10" w:history="1">
        <w:r w:rsidR="000E06E9" w:rsidRPr="008D4FEB">
          <w:rPr>
            <w:rStyle w:val="Hyperlink"/>
            <w:bCs/>
          </w:rPr>
          <w:t>https://www.iucnredlist.org/resources/spatial-data-download</w:t>
        </w:r>
      </w:hyperlink>
      <w:r w:rsidR="000E06E9">
        <w:rPr>
          <w:bCs/>
        </w:rPr>
        <w:t xml:space="preserve">. </w:t>
      </w:r>
      <w:r w:rsidRPr="003B01BA">
        <w:rPr>
          <w:bCs/>
        </w:rPr>
        <w:t xml:space="preserve">The source data underlying </w:t>
      </w:r>
      <w:r w:rsidRPr="00AE48E2">
        <w:rPr>
          <w:bCs/>
        </w:rPr>
        <w:t>Figures 3</w:t>
      </w:r>
      <w:r w:rsidR="00826E20">
        <w:rPr>
          <w:bCs/>
        </w:rPr>
        <w:t xml:space="preserve"> and 7</w:t>
      </w:r>
      <w:r w:rsidRPr="003B01BA">
        <w:rPr>
          <w:bCs/>
        </w:rPr>
        <w:t xml:space="preserve"> are provided as a Source Data file</w:t>
      </w:r>
      <w:r w:rsidR="000E06E9">
        <w:rPr>
          <w:bCs/>
        </w:rPr>
        <w:t>s</w:t>
      </w:r>
      <w:r w:rsidRPr="003B01BA">
        <w:rPr>
          <w:bCs/>
        </w:rPr>
        <w:t xml:space="preserve">. </w:t>
      </w:r>
    </w:p>
    <w:p w14:paraId="75FD91B8" w14:textId="77777777" w:rsidR="00EB5EFB" w:rsidRDefault="00EB5EFB" w:rsidP="002E2210">
      <w:pPr>
        <w:rPr>
          <w:b/>
          <w:bCs/>
        </w:rPr>
      </w:pPr>
    </w:p>
    <w:p w14:paraId="2B4E2EEC" w14:textId="77777777" w:rsidR="00EB5EFB" w:rsidRPr="00564265" w:rsidRDefault="00EB5EFB" w:rsidP="00EB5EFB">
      <w:pPr>
        <w:rPr>
          <w:b/>
          <w:bCs/>
        </w:rPr>
      </w:pPr>
      <w:r>
        <w:rPr>
          <w:b/>
          <w:bCs/>
        </w:rPr>
        <w:t>CODE AVAILABILITY STATEMENT</w:t>
      </w:r>
    </w:p>
    <w:p w14:paraId="716ADB10" w14:textId="77777777" w:rsidR="00EB5EFB" w:rsidRPr="00564265" w:rsidRDefault="00EB5EFB" w:rsidP="00EB5EFB">
      <w:pPr>
        <w:rPr>
          <w:bCs/>
        </w:rPr>
      </w:pPr>
      <w:r>
        <w:t xml:space="preserve">All scripts and code necessary to repeat the analyses described here have been made available in the following vignette: </w:t>
      </w:r>
      <w:r w:rsidRPr="00564265">
        <w:t>https://github.com/brirock35/Impediments-to-Understanding-Seagrasses-Response-to-Global-Change/blob/main/README.md</w:t>
      </w:r>
      <w:r>
        <w:t>.</w:t>
      </w:r>
    </w:p>
    <w:p w14:paraId="59867F5E" w14:textId="77777777" w:rsidR="00EB5EFB" w:rsidRDefault="00EB5EFB" w:rsidP="002E2210">
      <w:pPr>
        <w:rPr>
          <w:b/>
          <w:bCs/>
        </w:rPr>
      </w:pPr>
    </w:p>
    <w:p w14:paraId="16454834" w14:textId="044D3FBC" w:rsidR="00DA2339" w:rsidRPr="00672448" w:rsidRDefault="002C1931" w:rsidP="002E2210">
      <w:pPr>
        <w:rPr>
          <w:b/>
          <w:bCs/>
        </w:rPr>
      </w:pPr>
      <w:r>
        <w:rPr>
          <w:b/>
          <w:bCs/>
        </w:rPr>
        <w:t xml:space="preserve">SUPPLEMENTARY </w:t>
      </w:r>
      <w:r w:rsidR="00CF3580">
        <w:rPr>
          <w:b/>
          <w:bCs/>
        </w:rPr>
        <w:t>REFERENCES</w:t>
      </w:r>
    </w:p>
    <w:p w14:paraId="1DB708D2" w14:textId="77777777" w:rsidR="00963A8F" w:rsidRDefault="00963A8F" w:rsidP="00963A8F">
      <w:pPr>
        <w:pStyle w:val="NormalWeb"/>
      </w:pPr>
      <w:r>
        <w:t xml:space="preserve">Daru, B. H., Holt, B. G., Lessard, J.-P., Yessoufou, K., &amp; Davies, T. J. (2017). Phylogenetic regionalization of marine plants reveals close evolutionary affinities among disjunct temperate assemblages. </w:t>
      </w:r>
      <w:r>
        <w:rPr>
          <w:i/>
          <w:iCs/>
        </w:rPr>
        <w:t>Biological Conservation</w:t>
      </w:r>
      <w:r>
        <w:t xml:space="preserve">, </w:t>
      </w:r>
      <w:r>
        <w:rPr>
          <w:i/>
          <w:iCs/>
        </w:rPr>
        <w:t>213</w:t>
      </w:r>
      <w:r>
        <w:t>, 351–356. https://doi.org/https://doi.org/10.1016/j.biocon.2016.08.022</w:t>
      </w:r>
    </w:p>
    <w:p w14:paraId="66B2C1F4" w14:textId="77777777" w:rsidR="00672448" w:rsidRPr="00672448" w:rsidRDefault="00672448" w:rsidP="00672448">
      <w:proofErr w:type="spellStart"/>
      <w:r w:rsidRPr="00672448">
        <w:t>Grolemund</w:t>
      </w:r>
      <w:proofErr w:type="spellEnd"/>
      <w:r w:rsidRPr="00672448">
        <w:t xml:space="preserve">, G., &amp; Wickham, H. (2011). Dates and times made easy with </w:t>
      </w:r>
      <w:proofErr w:type="spellStart"/>
      <w:r w:rsidRPr="00672448">
        <w:t>lubridate</w:t>
      </w:r>
      <w:proofErr w:type="spellEnd"/>
      <w:r w:rsidRPr="00672448">
        <w:t xml:space="preserve">. </w:t>
      </w:r>
      <w:r w:rsidRPr="00672448">
        <w:rPr>
          <w:i/>
          <w:iCs/>
        </w:rPr>
        <w:t>Journal of statistical software</w:t>
      </w:r>
      <w:r w:rsidRPr="00672448">
        <w:t xml:space="preserve">, </w:t>
      </w:r>
      <w:r w:rsidRPr="00672448">
        <w:rPr>
          <w:i/>
          <w:iCs/>
        </w:rPr>
        <w:t>40</w:t>
      </w:r>
      <w:r w:rsidRPr="00672448">
        <w:t xml:space="preserve">, 1-25. http://hdl.handle.net/10.18637/jss.v040.i03 </w:t>
      </w:r>
    </w:p>
    <w:p w14:paraId="5C2977A0" w14:textId="72C7AB11" w:rsidR="00672448" w:rsidRPr="00672448" w:rsidRDefault="00672448" w:rsidP="00672448"/>
    <w:p w14:paraId="481EEFE0" w14:textId="129430F4" w:rsidR="00B01A3B" w:rsidRPr="00672448" w:rsidRDefault="00CA0C3D" w:rsidP="002E2210">
      <w:pPr>
        <w:rPr>
          <w:b/>
          <w:bCs/>
        </w:rPr>
      </w:pPr>
      <w:r w:rsidRPr="00672448">
        <w:t xml:space="preserve">Pagel, M. (1999). Inferring the historical patterns of biological evolution. </w:t>
      </w:r>
      <w:r w:rsidRPr="00672448">
        <w:rPr>
          <w:i/>
          <w:iCs/>
        </w:rPr>
        <w:t>Nature, 401,</w:t>
      </w:r>
      <w:r w:rsidRPr="00672448">
        <w:t xml:space="preserve"> 877-884. https://doi.org/10.1038/44766</w:t>
      </w:r>
    </w:p>
    <w:p w14:paraId="1F5D94ED" w14:textId="4D6FE00B" w:rsidR="00672448" w:rsidRDefault="00672448" w:rsidP="00963A8F">
      <w:pPr>
        <w:pStyle w:val="NormalWeb"/>
      </w:pPr>
      <w:proofErr w:type="spellStart"/>
      <w:r>
        <w:t>Plazzi</w:t>
      </w:r>
      <w:proofErr w:type="spellEnd"/>
      <w:r>
        <w:t xml:space="preserve">, F., </w:t>
      </w:r>
      <w:proofErr w:type="spellStart"/>
      <w:r>
        <w:t>Ferrucci</w:t>
      </w:r>
      <w:proofErr w:type="spellEnd"/>
      <w:r>
        <w:t xml:space="preserve">, R. R., &amp; </w:t>
      </w:r>
      <w:proofErr w:type="spellStart"/>
      <w:r>
        <w:t>Passamonti</w:t>
      </w:r>
      <w:proofErr w:type="spellEnd"/>
      <w:r>
        <w:t xml:space="preserve">, M. (2010). Phylogenetic representativeness: a new method for evaluating taxon sampling in evolutionary studies. </w:t>
      </w:r>
      <w:r>
        <w:rPr>
          <w:i/>
          <w:iCs/>
        </w:rPr>
        <w:t>BMC Bioinformatics</w:t>
      </w:r>
      <w:r>
        <w:t xml:space="preserve">, </w:t>
      </w:r>
      <w:r>
        <w:rPr>
          <w:i/>
          <w:iCs/>
        </w:rPr>
        <w:t>11</w:t>
      </w:r>
      <w:r>
        <w:t>, 209. https://doi.org/10.1186/1471-2105-11-209</w:t>
      </w:r>
    </w:p>
    <w:p w14:paraId="5597FDBC" w14:textId="3D718765" w:rsidR="00BE49DA" w:rsidRPr="00672448" w:rsidRDefault="00BE49DA" w:rsidP="00BE4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72448">
        <w:t>R Core Team (2020). R: A language and environment for statistical computing. R Foundation for Statistical Computing, Vienna, Austria. URL: https://www.R-project.org/</w:t>
      </w:r>
    </w:p>
    <w:p w14:paraId="1183767E" w14:textId="77777777" w:rsidR="00B01A3B" w:rsidRPr="00672448" w:rsidRDefault="00B01A3B" w:rsidP="00BE49DA"/>
    <w:p w14:paraId="70D79F34" w14:textId="61374A5A" w:rsidR="00BE49DA" w:rsidRDefault="00BE49DA">
      <w:r w:rsidRPr="00672448">
        <w:t>Revell L.</w:t>
      </w:r>
      <w:r w:rsidR="00672448" w:rsidRPr="00672448">
        <w:t xml:space="preserve"> </w:t>
      </w:r>
      <w:r w:rsidRPr="00672448">
        <w:t>J (2012). “</w:t>
      </w:r>
      <w:proofErr w:type="spellStart"/>
      <w:r w:rsidRPr="00672448">
        <w:t>phytools</w:t>
      </w:r>
      <w:proofErr w:type="spellEnd"/>
      <w:r w:rsidRPr="00672448">
        <w:t xml:space="preserve">: An R package for phylogenetic comparative biology (and other things).” </w:t>
      </w:r>
      <w:r w:rsidRPr="00672448">
        <w:rPr>
          <w:rStyle w:val="Emphasis"/>
        </w:rPr>
        <w:t>Methods in Ecology and Evolution</w:t>
      </w:r>
      <w:r w:rsidRPr="00672448">
        <w:t xml:space="preserve">, </w:t>
      </w:r>
      <w:r w:rsidRPr="00672448">
        <w:rPr>
          <w:i/>
          <w:iCs/>
        </w:rPr>
        <w:t>3</w:t>
      </w:r>
      <w:r w:rsidRPr="00672448">
        <w:t>, 217-223. https://doi.org/10.1111/j.2041-210X.2011.00169.x</w:t>
      </w:r>
    </w:p>
    <w:sectPr w:rsidR="00BE49DA" w:rsidSect="00F2571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73C21" w14:textId="77777777" w:rsidR="00491DA7" w:rsidRDefault="00491DA7" w:rsidP="002E2210">
      <w:r>
        <w:separator/>
      </w:r>
    </w:p>
  </w:endnote>
  <w:endnote w:type="continuationSeparator" w:id="0">
    <w:p w14:paraId="13D04F7E" w14:textId="77777777" w:rsidR="00491DA7" w:rsidRDefault="00491DA7" w:rsidP="002E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rdo">
    <w:altName w:val="Calibri"/>
    <w:panose1 w:val="020B0604020202020204"/>
    <w:charset w:val="00"/>
    <w:family w:val="auto"/>
    <w:pitch w:val="default"/>
  </w:font>
  <w:font w:name="Merriweather Sans">
    <w:altName w:val="Calibri"/>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F8F16" w14:textId="77777777" w:rsidR="00491DA7" w:rsidRDefault="00491DA7" w:rsidP="002E2210">
      <w:r>
        <w:separator/>
      </w:r>
    </w:p>
  </w:footnote>
  <w:footnote w:type="continuationSeparator" w:id="0">
    <w:p w14:paraId="39E1CD2A" w14:textId="77777777" w:rsidR="00491DA7" w:rsidRDefault="00491DA7" w:rsidP="002E2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F34F7" w14:textId="1E9FF6E6" w:rsidR="00DF347E" w:rsidRDefault="00DF347E">
    <w:pPr>
      <w:pStyle w:val="Header"/>
    </w:pPr>
    <w:r>
      <w:t>Rock</w:t>
    </w:r>
    <w:r w:rsidR="00BA36BC">
      <w:t xml:space="preserve"> &amp;</w:t>
    </w:r>
    <w:r>
      <w:t xml:space="preserve"> Daru</w:t>
    </w:r>
    <w:r w:rsidR="00BA36BC">
      <w:tab/>
      <w:t xml:space="preserve">        </w:t>
    </w:r>
    <w:r w:rsidR="00BA36BC" w:rsidRPr="00BA36BC">
      <w:t>Impediments to Understanding Seagrasses’ Response to Global Change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44CFB"/>
    <w:multiLevelType w:val="hybridMultilevel"/>
    <w:tmpl w:val="7DD6F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57"/>
    <w:rsid w:val="000147CA"/>
    <w:rsid w:val="0003514D"/>
    <w:rsid w:val="000A0D95"/>
    <w:rsid w:val="000A34D4"/>
    <w:rsid w:val="000E06E9"/>
    <w:rsid w:val="000E0956"/>
    <w:rsid w:val="00104DFE"/>
    <w:rsid w:val="00113024"/>
    <w:rsid w:val="00153471"/>
    <w:rsid w:val="00164E2B"/>
    <w:rsid w:val="0018379A"/>
    <w:rsid w:val="001C1022"/>
    <w:rsid w:val="001D1A5B"/>
    <w:rsid w:val="002065BC"/>
    <w:rsid w:val="0021403C"/>
    <w:rsid w:val="00244A05"/>
    <w:rsid w:val="00251001"/>
    <w:rsid w:val="0027590D"/>
    <w:rsid w:val="00281D6E"/>
    <w:rsid w:val="002944F0"/>
    <w:rsid w:val="002C1931"/>
    <w:rsid w:val="002E2210"/>
    <w:rsid w:val="003163F6"/>
    <w:rsid w:val="00382ABB"/>
    <w:rsid w:val="003C7C5E"/>
    <w:rsid w:val="00423AC7"/>
    <w:rsid w:val="00433F96"/>
    <w:rsid w:val="00473957"/>
    <w:rsid w:val="00491DA7"/>
    <w:rsid w:val="005174B8"/>
    <w:rsid w:val="00566848"/>
    <w:rsid w:val="00585BA0"/>
    <w:rsid w:val="005A5CCD"/>
    <w:rsid w:val="005D662B"/>
    <w:rsid w:val="00605CDA"/>
    <w:rsid w:val="00611BB0"/>
    <w:rsid w:val="0062748C"/>
    <w:rsid w:val="00632243"/>
    <w:rsid w:val="0066123D"/>
    <w:rsid w:val="00672448"/>
    <w:rsid w:val="00684BC4"/>
    <w:rsid w:val="00684C7B"/>
    <w:rsid w:val="00710AAE"/>
    <w:rsid w:val="00726FB3"/>
    <w:rsid w:val="007330AF"/>
    <w:rsid w:val="00746021"/>
    <w:rsid w:val="00791C3E"/>
    <w:rsid w:val="007D0B71"/>
    <w:rsid w:val="007D4DA2"/>
    <w:rsid w:val="007E603C"/>
    <w:rsid w:val="00814B79"/>
    <w:rsid w:val="00826E20"/>
    <w:rsid w:val="00860DA1"/>
    <w:rsid w:val="00872E86"/>
    <w:rsid w:val="008743A9"/>
    <w:rsid w:val="008A5FA9"/>
    <w:rsid w:val="008D585F"/>
    <w:rsid w:val="008E1653"/>
    <w:rsid w:val="00941CDE"/>
    <w:rsid w:val="00963A8F"/>
    <w:rsid w:val="009A3C03"/>
    <w:rsid w:val="00A22BE7"/>
    <w:rsid w:val="00A239F0"/>
    <w:rsid w:val="00A6256E"/>
    <w:rsid w:val="00A66922"/>
    <w:rsid w:val="00A84F9E"/>
    <w:rsid w:val="00AA39F8"/>
    <w:rsid w:val="00AC09E1"/>
    <w:rsid w:val="00AD45FE"/>
    <w:rsid w:val="00AE01AC"/>
    <w:rsid w:val="00AE231C"/>
    <w:rsid w:val="00AF5232"/>
    <w:rsid w:val="00B01A3B"/>
    <w:rsid w:val="00B60CA5"/>
    <w:rsid w:val="00BA36BC"/>
    <w:rsid w:val="00BB18D4"/>
    <w:rsid w:val="00BE16AD"/>
    <w:rsid w:val="00BE49DA"/>
    <w:rsid w:val="00C03B00"/>
    <w:rsid w:val="00C21B84"/>
    <w:rsid w:val="00C70587"/>
    <w:rsid w:val="00C9233E"/>
    <w:rsid w:val="00CA0C3D"/>
    <w:rsid w:val="00CB7F1A"/>
    <w:rsid w:val="00CD68B9"/>
    <w:rsid w:val="00CE5082"/>
    <w:rsid w:val="00CF00D1"/>
    <w:rsid w:val="00CF3580"/>
    <w:rsid w:val="00CF7ACD"/>
    <w:rsid w:val="00D10E77"/>
    <w:rsid w:val="00DA2339"/>
    <w:rsid w:val="00DC3FFC"/>
    <w:rsid w:val="00DC4CA3"/>
    <w:rsid w:val="00DE04BB"/>
    <w:rsid w:val="00DF347E"/>
    <w:rsid w:val="00E605EC"/>
    <w:rsid w:val="00E771F9"/>
    <w:rsid w:val="00EB5EFB"/>
    <w:rsid w:val="00EF4BBC"/>
    <w:rsid w:val="00F0435F"/>
    <w:rsid w:val="00F2571B"/>
    <w:rsid w:val="00F65CD0"/>
    <w:rsid w:val="00FA03F6"/>
    <w:rsid w:val="00FD2A08"/>
    <w:rsid w:val="00FE43FB"/>
    <w:rsid w:val="00FF1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97A0"/>
  <w15:chartTrackingRefBased/>
  <w15:docId w15:val="{8AEB5E25-E4C8-9940-8583-6219F2E0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448"/>
    <w:rPr>
      <w:rFonts w:ascii="Times New Roman" w:eastAsia="Times New Roman" w:hAnsi="Times New Roman" w:cs="Times New Roman"/>
    </w:rPr>
  </w:style>
  <w:style w:type="paragraph" w:styleId="Heading1">
    <w:name w:val="heading 1"/>
    <w:basedOn w:val="Normal"/>
    <w:next w:val="Normal"/>
    <w:link w:val="Heading1Char"/>
    <w:uiPriority w:val="9"/>
    <w:qFormat/>
    <w:rsid w:val="006274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8D585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210"/>
    <w:rPr>
      <w:sz w:val="18"/>
      <w:szCs w:val="18"/>
    </w:rPr>
  </w:style>
  <w:style w:type="character" w:customStyle="1" w:styleId="BalloonTextChar">
    <w:name w:val="Balloon Text Char"/>
    <w:basedOn w:val="DefaultParagraphFont"/>
    <w:link w:val="BalloonText"/>
    <w:uiPriority w:val="99"/>
    <w:semiHidden/>
    <w:rsid w:val="002E2210"/>
    <w:rPr>
      <w:rFonts w:ascii="Times New Roman" w:hAnsi="Times New Roman" w:cs="Times New Roman"/>
      <w:sz w:val="18"/>
      <w:szCs w:val="18"/>
    </w:rPr>
  </w:style>
  <w:style w:type="paragraph" w:styleId="Header">
    <w:name w:val="header"/>
    <w:basedOn w:val="Normal"/>
    <w:link w:val="HeaderChar"/>
    <w:uiPriority w:val="99"/>
    <w:unhideWhenUsed/>
    <w:rsid w:val="002E2210"/>
    <w:pPr>
      <w:tabs>
        <w:tab w:val="center" w:pos="4680"/>
        <w:tab w:val="right" w:pos="9360"/>
      </w:tabs>
    </w:pPr>
  </w:style>
  <w:style w:type="character" w:customStyle="1" w:styleId="HeaderChar">
    <w:name w:val="Header Char"/>
    <w:basedOn w:val="DefaultParagraphFont"/>
    <w:link w:val="Header"/>
    <w:uiPriority w:val="99"/>
    <w:rsid w:val="002E2210"/>
    <w:rPr>
      <w:rFonts w:ascii="Times New Roman" w:eastAsia="Times New Roman" w:hAnsi="Times New Roman" w:cs="Times New Roman"/>
    </w:rPr>
  </w:style>
  <w:style w:type="paragraph" w:styleId="Footer">
    <w:name w:val="footer"/>
    <w:basedOn w:val="Normal"/>
    <w:link w:val="FooterChar"/>
    <w:uiPriority w:val="99"/>
    <w:unhideWhenUsed/>
    <w:rsid w:val="002E2210"/>
    <w:pPr>
      <w:tabs>
        <w:tab w:val="center" w:pos="4680"/>
        <w:tab w:val="right" w:pos="9360"/>
      </w:tabs>
    </w:pPr>
  </w:style>
  <w:style w:type="character" w:customStyle="1" w:styleId="FooterChar">
    <w:name w:val="Footer Char"/>
    <w:basedOn w:val="DefaultParagraphFont"/>
    <w:link w:val="Footer"/>
    <w:uiPriority w:val="99"/>
    <w:rsid w:val="002E2210"/>
    <w:rPr>
      <w:rFonts w:ascii="Times New Roman" w:eastAsia="Times New Roman" w:hAnsi="Times New Roman" w:cs="Times New Roman"/>
    </w:rPr>
  </w:style>
  <w:style w:type="character" w:customStyle="1" w:styleId="Heading3Char">
    <w:name w:val="Heading 3 Char"/>
    <w:basedOn w:val="DefaultParagraphFont"/>
    <w:link w:val="Heading3"/>
    <w:uiPriority w:val="9"/>
    <w:rsid w:val="008D585F"/>
    <w:rPr>
      <w:rFonts w:ascii="Times New Roman" w:eastAsia="Times New Roman" w:hAnsi="Times New Roman" w:cs="Times New Roman"/>
      <w:b/>
      <w:bCs/>
      <w:sz w:val="27"/>
      <w:szCs w:val="27"/>
    </w:rPr>
  </w:style>
  <w:style w:type="paragraph" w:styleId="ListParagraph">
    <w:name w:val="List Paragraph"/>
    <w:basedOn w:val="Normal"/>
    <w:uiPriority w:val="34"/>
    <w:qFormat/>
    <w:rsid w:val="00CE5082"/>
    <w:pPr>
      <w:ind w:left="720"/>
      <w:contextualSpacing/>
    </w:pPr>
  </w:style>
  <w:style w:type="paragraph" w:styleId="NormalWeb">
    <w:name w:val="Normal (Web)"/>
    <w:basedOn w:val="Normal"/>
    <w:uiPriority w:val="99"/>
    <w:unhideWhenUsed/>
    <w:rsid w:val="00104DFE"/>
    <w:pPr>
      <w:spacing w:before="100" w:beforeAutospacing="1" w:after="100" w:afterAutospacing="1"/>
    </w:pPr>
  </w:style>
  <w:style w:type="character" w:customStyle="1" w:styleId="apple-converted-space">
    <w:name w:val="apple-converted-space"/>
    <w:basedOn w:val="DefaultParagraphFont"/>
    <w:rsid w:val="00BE49DA"/>
  </w:style>
  <w:style w:type="character" w:styleId="Emphasis">
    <w:name w:val="Emphasis"/>
    <w:basedOn w:val="DefaultParagraphFont"/>
    <w:uiPriority w:val="20"/>
    <w:qFormat/>
    <w:rsid w:val="00BE49DA"/>
    <w:rPr>
      <w:i/>
      <w:iCs/>
    </w:rPr>
  </w:style>
  <w:style w:type="paragraph" w:styleId="Revision">
    <w:name w:val="Revision"/>
    <w:hidden/>
    <w:uiPriority w:val="99"/>
    <w:semiHidden/>
    <w:rsid w:val="00DC4CA3"/>
    <w:rPr>
      <w:rFonts w:ascii="Times New Roman" w:eastAsia="Times New Roman" w:hAnsi="Times New Roman" w:cs="Times New Roman"/>
    </w:rPr>
  </w:style>
  <w:style w:type="character" w:styleId="Hyperlink">
    <w:name w:val="Hyperlink"/>
    <w:basedOn w:val="DefaultParagraphFont"/>
    <w:uiPriority w:val="99"/>
    <w:unhideWhenUsed/>
    <w:rsid w:val="0062748C"/>
    <w:rPr>
      <w:color w:val="0563C1" w:themeColor="hyperlink"/>
      <w:u w:val="single"/>
    </w:rPr>
  </w:style>
  <w:style w:type="character" w:styleId="UnresolvedMention">
    <w:name w:val="Unresolved Mention"/>
    <w:basedOn w:val="DefaultParagraphFont"/>
    <w:uiPriority w:val="99"/>
    <w:semiHidden/>
    <w:unhideWhenUsed/>
    <w:rsid w:val="0062748C"/>
    <w:rPr>
      <w:color w:val="605E5C"/>
      <w:shd w:val="clear" w:color="auto" w:fill="E1DFDD"/>
    </w:rPr>
  </w:style>
  <w:style w:type="character" w:customStyle="1" w:styleId="Heading1Char">
    <w:name w:val="Heading 1 Char"/>
    <w:basedOn w:val="DefaultParagraphFont"/>
    <w:link w:val="Heading1"/>
    <w:uiPriority w:val="9"/>
    <w:rsid w:val="0062748C"/>
    <w:rPr>
      <w:rFonts w:asciiTheme="majorHAnsi" w:eastAsiaTheme="majorEastAsia" w:hAnsiTheme="majorHAnsi" w:cstheme="majorBidi"/>
      <w:color w:val="2F5496" w:themeColor="accent1" w:themeShade="BF"/>
      <w:sz w:val="32"/>
      <w:szCs w:val="32"/>
    </w:rPr>
  </w:style>
  <w:style w:type="character" w:customStyle="1" w:styleId="ng-scope">
    <w:name w:val="ng-scope"/>
    <w:basedOn w:val="DefaultParagraphFont"/>
    <w:rsid w:val="0062748C"/>
  </w:style>
  <w:style w:type="character" w:styleId="CommentReference">
    <w:name w:val="annotation reference"/>
    <w:basedOn w:val="DefaultParagraphFont"/>
    <w:uiPriority w:val="99"/>
    <w:semiHidden/>
    <w:unhideWhenUsed/>
    <w:rsid w:val="00585BA0"/>
    <w:rPr>
      <w:sz w:val="16"/>
      <w:szCs w:val="16"/>
    </w:rPr>
  </w:style>
  <w:style w:type="paragraph" w:styleId="CommentText">
    <w:name w:val="annotation text"/>
    <w:basedOn w:val="Normal"/>
    <w:link w:val="CommentTextChar"/>
    <w:uiPriority w:val="99"/>
    <w:unhideWhenUsed/>
    <w:rsid w:val="00585BA0"/>
    <w:rPr>
      <w:sz w:val="20"/>
      <w:szCs w:val="20"/>
    </w:rPr>
  </w:style>
  <w:style w:type="character" w:customStyle="1" w:styleId="CommentTextChar">
    <w:name w:val="Comment Text Char"/>
    <w:basedOn w:val="DefaultParagraphFont"/>
    <w:link w:val="CommentText"/>
    <w:uiPriority w:val="99"/>
    <w:rsid w:val="00585B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5BA0"/>
    <w:rPr>
      <w:b/>
      <w:bCs/>
    </w:rPr>
  </w:style>
  <w:style w:type="character" w:customStyle="1" w:styleId="CommentSubjectChar">
    <w:name w:val="Comment Subject Char"/>
    <w:basedOn w:val="CommentTextChar"/>
    <w:link w:val="CommentSubject"/>
    <w:uiPriority w:val="99"/>
    <w:semiHidden/>
    <w:rsid w:val="00585BA0"/>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710A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72456">
      <w:bodyDiv w:val="1"/>
      <w:marLeft w:val="0"/>
      <w:marRight w:val="0"/>
      <w:marTop w:val="0"/>
      <w:marBottom w:val="0"/>
      <w:divBdr>
        <w:top w:val="none" w:sz="0" w:space="0" w:color="auto"/>
        <w:left w:val="none" w:sz="0" w:space="0" w:color="auto"/>
        <w:bottom w:val="none" w:sz="0" w:space="0" w:color="auto"/>
        <w:right w:val="none" w:sz="0" w:space="0" w:color="auto"/>
      </w:divBdr>
    </w:div>
    <w:div w:id="752240864">
      <w:bodyDiv w:val="1"/>
      <w:marLeft w:val="0"/>
      <w:marRight w:val="0"/>
      <w:marTop w:val="0"/>
      <w:marBottom w:val="0"/>
      <w:divBdr>
        <w:top w:val="none" w:sz="0" w:space="0" w:color="auto"/>
        <w:left w:val="none" w:sz="0" w:space="0" w:color="auto"/>
        <w:bottom w:val="none" w:sz="0" w:space="0" w:color="auto"/>
        <w:right w:val="none" w:sz="0" w:space="0" w:color="auto"/>
      </w:divBdr>
    </w:div>
    <w:div w:id="815533659">
      <w:bodyDiv w:val="1"/>
      <w:marLeft w:val="0"/>
      <w:marRight w:val="0"/>
      <w:marTop w:val="0"/>
      <w:marBottom w:val="0"/>
      <w:divBdr>
        <w:top w:val="none" w:sz="0" w:space="0" w:color="auto"/>
        <w:left w:val="none" w:sz="0" w:space="0" w:color="auto"/>
        <w:bottom w:val="none" w:sz="0" w:space="0" w:color="auto"/>
        <w:right w:val="none" w:sz="0" w:space="0" w:color="auto"/>
      </w:divBdr>
    </w:div>
    <w:div w:id="1023674263">
      <w:bodyDiv w:val="1"/>
      <w:marLeft w:val="0"/>
      <w:marRight w:val="0"/>
      <w:marTop w:val="0"/>
      <w:marBottom w:val="0"/>
      <w:divBdr>
        <w:top w:val="none" w:sz="0" w:space="0" w:color="auto"/>
        <w:left w:val="none" w:sz="0" w:space="0" w:color="auto"/>
        <w:bottom w:val="none" w:sz="0" w:space="0" w:color="auto"/>
        <w:right w:val="none" w:sz="0" w:space="0" w:color="auto"/>
      </w:divBdr>
    </w:div>
    <w:div w:id="1188179497">
      <w:bodyDiv w:val="1"/>
      <w:marLeft w:val="0"/>
      <w:marRight w:val="0"/>
      <w:marTop w:val="0"/>
      <w:marBottom w:val="0"/>
      <w:divBdr>
        <w:top w:val="none" w:sz="0" w:space="0" w:color="auto"/>
        <w:left w:val="none" w:sz="0" w:space="0" w:color="auto"/>
        <w:bottom w:val="none" w:sz="0" w:space="0" w:color="auto"/>
        <w:right w:val="none" w:sz="0" w:space="0" w:color="auto"/>
      </w:divBdr>
      <w:divsChild>
        <w:div w:id="1088967751">
          <w:marLeft w:val="0"/>
          <w:marRight w:val="0"/>
          <w:marTop w:val="0"/>
          <w:marBottom w:val="0"/>
          <w:divBdr>
            <w:top w:val="none" w:sz="0" w:space="0" w:color="auto"/>
            <w:left w:val="none" w:sz="0" w:space="0" w:color="auto"/>
            <w:bottom w:val="none" w:sz="0" w:space="0" w:color="auto"/>
            <w:right w:val="none" w:sz="0" w:space="0" w:color="auto"/>
          </w:divBdr>
        </w:div>
      </w:divsChild>
    </w:div>
    <w:div w:id="1480535986">
      <w:bodyDiv w:val="1"/>
      <w:marLeft w:val="0"/>
      <w:marRight w:val="0"/>
      <w:marTop w:val="0"/>
      <w:marBottom w:val="0"/>
      <w:divBdr>
        <w:top w:val="none" w:sz="0" w:space="0" w:color="auto"/>
        <w:left w:val="none" w:sz="0" w:space="0" w:color="auto"/>
        <w:bottom w:val="none" w:sz="0" w:space="0" w:color="auto"/>
        <w:right w:val="none" w:sz="0" w:space="0" w:color="auto"/>
      </w:divBdr>
    </w:div>
    <w:div w:id="1609123098">
      <w:bodyDiv w:val="1"/>
      <w:marLeft w:val="0"/>
      <w:marRight w:val="0"/>
      <w:marTop w:val="0"/>
      <w:marBottom w:val="0"/>
      <w:divBdr>
        <w:top w:val="none" w:sz="0" w:space="0" w:color="auto"/>
        <w:left w:val="none" w:sz="0" w:space="0" w:color="auto"/>
        <w:bottom w:val="none" w:sz="0" w:space="0" w:color="auto"/>
        <w:right w:val="none" w:sz="0" w:space="0" w:color="auto"/>
      </w:divBdr>
    </w:div>
    <w:div w:id="1637224793">
      <w:bodyDiv w:val="1"/>
      <w:marLeft w:val="0"/>
      <w:marRight w:val="0"/>
      <w:marTop w:val="0"/>
      <w:marBottom w:val="0"/>
      <w:divBdr>
        <w:top w:val="none" w:sz="0" w:space="0" w:color="auto"/>
        <w:left w:val="none" w:sz="0" w:space="0" w:color="auto"/>
        <w:bottom w:val="none" w:sz="0" w:space="0" w:color="auto"/>
        <w:right w:val="none" w:sz="0" w:space="0" w:color="auto"/>
      </w:divBdr>
    </w:div>
    <w:div w:id="1871409250">
      <w:bodyDiv w:val="1"/>
      <w:marLeft w:val="0"/>
      <w:marRight w:val="0"/>
      <w:marTop w:val="0"/>
      <w:marBottom w:val="0"/>
      <w:divBdr>
        <w:top w:val="none" w:sz="0" w:space="0" w:color="auto"/>
        <w:left w:val="none" w:sz="0" w:space="0" w:color="auto"/>
        <w:bottom w:val="none" w:sz="0" w:space="0" w:color="auto"/>
        <w:right w:val="none" w:sz="0" w:space="0" w:color="auto"/>
      </w:divBdr>
      <w:divsChild>
        <w:div w:id="1928345817">
          <w:marLeft w:val="0"/>
          <w:marRight w:val="0"/>
          <w:marTop w:val="0"/>
          <w:marBottom w:val="0"/>
          <w:divBdr>
            <w:top w:val="none" w:sz="0" w:space="0" w:color="auto"/>
            <w:left w:val="none" w:sz="0" w:space="0" w:color="auto"/>
            <w:bottom w:val="none" w:sz="0" w:space="0" w:color="auto"/>
            <w:right w:val="none" w:sz="0" w:space="0" w:color="auto"/>
          </w:divBdr>
          <w:divsChild>
            <w:div w:id="1786121033">
              <w:marLeft w:val="0"/>
              <w:marRight w:val="0"/>
              <w:marTop w:val="0"/>
              <w:marBottom w:val="0"/>
              <w:divBdr>
                <w:top w:val="none" w:sz="0" w:space="0" w:color="auto"/>
                <w:left w:val="none" w:sz="0" w:space="0" w:color="auto"/>
                <w:bottom w:val="none" w:sz="0" w:space="0" w:color="auto"/>
                <w:right w:val="none" w:sz="0" w:space="0" w:color="auto"/>
              </w:divBdr>
              <w:divsChild>
                <w:div w:id="16282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cnredlist.org/resources/spatial-data-downlo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5468/dl.t7xgc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ucnredlist.org/resources/spatial-data-download" TargetMode="External"/><Relationship Id="rId4" Type="http://schemas.openxmlformats.org/officeDocument/2006/relationships/webSettings" Target="webSettings.xml"/><Relationship Id="rId9" Type="http://schemas.openxmlformats.org/officeDocument/2006/relationships/hyperlink" Target="https://doi.org/10.15468/dl.t7xg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 Brianna</dc:creator>
  <cp:keywords/>
  <dc:description/>
  <cp:lastModifiedBy>Rock, Brianna</cp:lastModifiedBy>
  <cp:revision>20</cp:revision>
  <dcterms:created xsi:type="dcterms:W3CDTF">2021-01-27T01:22:00Z</dcterms:created>
  <dcterms:modified xsi:type="dcterms:W3CDTF">2021-02-05T18:22:00Z</dcterms:modified>
</cp:coreProperties>
</file>