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4B76" w14:textId="2B32BC1F" w:rsidR="00263922" w:rsidRDefault="00263922" w:rsidP="00263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391E3C" w14:textId="001A17DE" w:rsidR="00293B86" w:rsidRDefault="00293B86" w:rsidP="00293B86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5D3A0F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81BD7">
        <w:rPr>
          <w:rFonts w:ascii="Times New Roman" w:hAnsi="Times New Roman" w:cs="Times New Roman"/>
          <w:sz w:val="24"/>
          <w:szCs w:val="24"/>
          <w:lang w:val="en-US"/>
        </w:rPr>
        <w:t>Summary of s</w:t>
      </w:r>
      <w:r w:rsidRPr="00293B86">
        <w:rPr>
          <w:rFonts w:ascii="Times New Roman" w:hAnsi="Times New Roman" w:cs="Times New Roman"/>
          <w:bCs/>
          <w:sz w:val="24"/>
          <w:szCs w:val="24"/>
          <w:lang w:val="en-US"/>
        </w:rPr>
        <w:t>ome of the most commonly vegetation spectrum reflectance indices (SRIs)</w:t>
      </w:r>
      <w:r w:rsidR="00A81B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the related estimated morphological or physiological traits</w:t>
      </w:r>
      <w:r w:rsidR="00A81BD7" w:rsidRPr="00A81B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Traits can </w:t>
      </w:r>
      <w:r w:rsidR="00A81BD7">
        <w:rPr>
          <w:rFonts w:ascii="Times New Roman" w:hAnsi="Times New Roman" w:cs="Times New Roman"/>
          <w:bCs/>
          <w:sz w:val="24"/>
          <w:szCs w:val="24"/>
          <w:lang w:val="en-US"/>
        </w:rPr>
        <w:t>relate to more than one stressful condition, so</w:t>
      </w:r>
      <w:r w:rsidR="00A81BD7" w:rsidRPr="00A81B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same ind</w:t>
      </w:r>
      <w:r w:rsidR="00A81BD7">
        <w:rPr>
          <w:rFonts w:ascii="Times New Roman" w:hAnsi="Times New Roman" w:cs="Times New Roman"/>
          <w:bCs/>
          <w:sz w:val="24"/>
          <w:szCs w:val="24"/>
          <w:lang w:val="en-US"/>
        </w:rPr>
        <w:t>ex</w:t>
      </w:r>
      <w:r w:rsidR="00A81BD7" w:rsidRPr="00A81B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can </w:t>
      </w:r>
      <w:r w:rsidR="00A81BD7">
        <w:rPr>
          <w:rFonts w:ascii="Times New Roman" w:hAnsi="Times New Roman" w:cs="Times New Roman"/>
          <w:bCs/>
          <w:sz w:val="24"/>
          <w:szCs w:val="24"/>
          <w:lang w:val="en-US"/>
        </w:rPr>
        <w:t>detect</w:t>
      </w:r>
      <w:r w:rsidR="00A81BD7" w:rsidRPr="00A81B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different </w:t>
      </w:r>
      <w:r w:rsidR="00A81BD7">
        <w:rPr>
          <w:rFonts w:ascii="Times New Roman" w:hAnsi="Times New Roman" w:cs="Times New Roman"/>
          <w:bCs/>
          <w:sz w:val="24"/>
          <w:szCs w:val="24"/>
          <w:lang w:val="en-US"/>
        </w:rPr>
        <w:t>kinds of stress</w:t>
      </w:r>
      <w:r w:rsidR="00A81BD7" w:rsidRPr="00A81BD7">
        <w:rPr>
          <w:rFonts w:ascii="Times New Roman" w:hAnsi="Times New Roman" w:cs="Times New Roman"/>
          <w:bCs/>
          <w:sz w:val="24"/>
          <w:szCs w:val="24"/>
          <w:lang w:val="en-US"/>
        </w:rPr>
        <w:t>, both biotic and abiotic. Abbreviations: N, nitrogen</w:t>
      </w:r>
      <w:r w:rsidR="00A81BD7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A81BD7" w:rsidRPr="00A81B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Chl, </w:t>
      </w:r>
      <w:r w:rsidR="00A81BD7">
        <w:rPr>
          <w:rFonts w:ascii="Times New Roman" w:hAnsi="Times New Roman" w:cs="Times New Roman"/>
          <w:bCs/>
          <w:sz w:val="24"/>
          <w:szCs w:val="24"/>
          <w:lang w:val="en-US"/>
        </w:rPr>
        <w:t>chlorophyll; Car, carotenoids.</w:t>
      </w:r>
      <w:bookmarkStart w:id="0" w:name="_GoBack"/>
      <w:bookmarkEnd w:id="0"/>
    </w:p>
    <w:p w14:paraId="4A4C3AE3" w14:textId="77777777" w:rsidR="00293B86" w:rsidRPr="00293B86" w:rsidRDefault="00293B86" w:rsidP="00293B86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Grigliatabella"/>
        <w:tblW w:w="147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827"/>
        <w:gridCol w:w="2410"/>
        <w:gridCol w:w="2693"/>
      </w:tblGrid>
      <w:tr w:rsidR="00293B86" w:rsidRPr="00B77FDD" w14:paraId="62ED48D0" w14:textId="77777777" w:rsidTr="006D2340"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FFBD4" w14:textId="77777777" w:rsidR="00293B86" w:rsidRPr="00B77FDD" w:rsidRDefault="00293B86" w:rsidP="00A81BD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Index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CC1CA" w14:textId="77777777" w:rsidR="00293B86" w:rsidRPr="00B77FDD" w:rsidRDefault="00293B86" w:rsidP="00A81BD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Formula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2E83C" w14:textId="10D96235" w:rsidR="00293B86" w:rsidRPr="00B77FDD" w:rsidRDefault="00293B86" w:rsidP="00A81BD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Estimated p</w:t>
            </w:r>
            <w:r w:rsidR="006D2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40914" w14:textId="51BDC3CD" w:rsidR="00293B86" w:rsidRPr="00B77FDD" w:rsidRDefault="00293B86" w:rsidP="00A81BD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</w:t>
            </w:r>
          </w:p>
        </w:tc>
      </w:tr>
      <w:tr w:rsidR="00293B86" w:rsidRPr="00B77FDD" w14:paraId="2029C0F2" w14:textId="77777777" w:rsidTr="006D2340">
        <w:tc>
          <w:tcPr>
            <w:tcW w:w="5817" w:type="dxa"/>
            <w:tcBorders>
              <w:top w:val="single" w:sz="4" w:space="0" w:color="auto"/>
            </w:tcBorders>
          </w:tcPr>
          <w:p w14:paraId="440F39D7" w14:textId="77777777" w:rsidR="00293B86" w:rsidRPr="00B77FDD" w:rsidRDefault="00293B86" w:rsidP="00A81BD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Photochemical</w:t>
            </w:r>
            <w:proofErr w:type="spellEnd"/>
            <w:r w:rsidRPr="00B77FDD">
              <w:rPr>
                <w:rFonts w:ascii="Times New Roman" w:hAnsi="Times New Roman" w:cs="Times New Roman"/>
                <w:sz w:val="20"/>
                <w:szCs w:val="20"/>
              </w:rPr>
              <w:t xml:space="preserve"> Reflectance Index (PRI)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72AC4A0" w14:textId="1657F4CD" w:rsidR="00293B86" w:rsidRPr="00B77FDD" w:rsidRDefault="00293B86" w:rsidP="00B77F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531 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- R</w:t>
            </w:r>
            <w:proofErr w:type="gramStart"/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570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proofErr w:type="gramEnd"/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531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+R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570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A087DA6" w14:textId="7B14E359" w:rsidR="00293B86" w:rsidRDefault="00293B86" w:rsidP="00B77F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  <w:p w14:paraId="20A8780B" w14:textId="37A986FB" w:rsidR="00293B86" w:rsidRPr="00B77FDD" w:rsidRDefault="00293B86" w:rsidP="00B77F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hotosynthesis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A1203D3" w14:textId="10298E65" w:rsidR="00293B86" w:rsidRPr="00B77FDD" w:rsidRDefault="00293B86" w:rsidP="00B77FD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Peñuelas et al. (1995a)</w:t>
            </w:r>
          </w:p>
        </w:tc>
      </w:tr>
      <w:tr w:rsidR="00293B86" w:rsidRPr="00B77FDD" w14:paraId="4A6114E2" w14:textId="77777777" w:rsidTr="006D2340">
        <w:tc>
          <w:tcPr>
            <w:tcW w:w="5817" w:type="dxa"/>
          </w:tcPr>
          <w:p w14:paraId="7CDBD129" w14:textId="77777777" w:rsidR="00293B86" w:rsidRPr="00B77FDD" w:rsidRDefault="00293B86" w:rsidP="00B77FD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Normalized Difference Vegetation Index (NDVI)</w:t>
            </w:r>
          </w:p>
        </w:tc>
        <w:tc>
          <w:tcPr>
            <w:tcW w:w="3827" w:type="dxa"/>
          </w:tcPr>
          <w:p w14:paraId="17F41C84" w14:textId="24FD96FF" w:rsidR="00293B86" w:rsidRPr="00B77FDD" w:rsidRDefault="00293B86" w:rsidP="00B77FD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(R</w:t>
            </w:r>
            <w:r w:rsidRPr="00B77FDD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 xml:space="preserve">800 </w:t>
            </w:r>
            <w:r w:rsidRPr="00B77F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 R</w:t>
            </w:r>
            <w:r w:rsidRPr="00B77FDD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670</w:t>
            </w:r>
            <w:r w:rsidRPr="00B77F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proofErr w:type="gramStart"/>
            <w:r w:rsidRPr="00B77F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/(</w:t>
            </w:r>
            <w:proofErr w:type="gramEnd"/>
            <w:r w:rsidRPr="00B77F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B77FDD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 xml:space="preserve">800 </w:t>
            </w:r>
            <w:r w:rsidRPr="00B77F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 R</w:t>
            </w:r>
            <w:r w:rsidRPr="00B77FDD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670</w:t>
            </w:r>
            <w:r w:rsidRPr="00B77F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410" w:type="dxa"/>
          </w:tcPr>
          <w:p w14:paraId="39AC7E0E" w14:textId="6B62DA1F" w:rsidR="00293B86" w:rsidRPr="00B77FDD" w:rsidRDefault="00293B86" w:rsidP="00B77FD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Physiology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hotosynthesis</w:t>
            </w:r>
          </w:p>
        </w:tc>
        <w:tc>
          <w:tcPr>
            <w:tcW w:w="2693" w:type="dxa"/>
          </w:tcPr>
          <w:p w14:paraId="296CB4CE" w14:textId="07557C2C" w:rsidR="00293B86" w:rsidRPr="00B77FDD" w:rsidRDefault="00293B86" w:rsidP="00B77FD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Rouse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659C9C6C" w14:textId="77777777" w:rsidTr="006D2340">
        <w:tc>
          <w:tcPr>
            <w:tcW w:w="5817" w:type="dxa"/>
          </w:tcPr>
          <w:p w14:paraId="2D1B8C1E" w14:textId="1BCBFD53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7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Normalised Difference Red Edge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(NDRE)</w:t>
            </w:r>
          </w:p>
        </w:tc>
        <w:tc>
          <w:tcPr>
            <w:tcW w:w="3827" w:type="dxa"/>
          </w:tcPr>
          <w:p w14:paraId="14DB2BAD" w14:textId="7BC224D4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790 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720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proofErr w:type="gramEnd"/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790 </w:t>
            </w:r>
            <w:r w:rsidRPr="007074E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720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372737FB" w14:textId="620BC463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status</w:t>
            </w:r>
          </w:p>
        </w:tc>
        <w:tc>
          <w:tcPr>
            <w:tcW w:w="2693" w:type="dxa"/>
          </w:tcPr>
          <w:p w14:paraId="445E02C2" w14:textId="7879EF0A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Barnes et al. (2000)</w:t>
            </w:r>
          </w:p>
        </w:tc>
      </w:tr>
      <w:tr w:rsidR="00293B86" w:rsidRPr="00B77FDD" w14:paraId="35E7AC54" w14:textId="77777777" w:rsidTr="006D2340">
        <w:tc>
          <w:tcPr>
            <w:tcW w:w="5817" w:type="dxa"/>
          </w:tcPr>
          <w:p w14:paraId="270ED679" w14:textId="78D4541B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Nitrogen Stress Index 1 (NSI-1) *</w:t>
            </w:r>
          </w:p>
        </w:tc>
        <w:tc>
          <w:tcPr>
            <w:tcW w:w="3827" w:type="dxa"/>
          </w:tcPr>
          <w:p w14:paraId="7F46A7F6" w14:textId="04AB8B38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415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710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54A6778F" w14:textId="44089D1D" w:rsid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content</w:t>
            </w:r>
          </w:p>
        </w:tc>
        <w:tc>
          <w:tcPr>
            <w:tcW w:w="2693" w:type="dxa"/>
          </w:tcPr>
          <w:p w14:paraId="11459812" w14:textId="19803D1A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 et al. (2002)</w:t>
            </w:r>
          </w:p>
        </w:tc>
      </w:tr>
      <w:tr w:rsidR="00293B86" w:rsidRPr="00B77FDD" w14:paraId="78326B6E" w14:textId="77777777" w:rsidTr="006D2340">
        <w:tc>
          <w:tcPr>
            <w:tcW w:w="5817" w:type="dxa"/>
          </w:tcPr>
          <w:p w14:paraId="4BD819D6" w14:textId="67B4C092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Nitrogen Stress Index 2 (NSI-2) *</w:t>
            </w:r>
          </w:p>
        </w:tc>
        <w:tc>
          <w:tcPr>
            <w:tcW w:w="3827" w:type="dxa"/>
          </w:tcPr>
          <w:p w14:paraId="3C641423" w14:textId="1C4C8EBD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517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413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6665640B" w14:textId="400C9924" w:rsid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content</w:t>
            </w:r>
          </w:p>
        </w:tc>
        <w:tc>
          <w:tcPr>
            <w:tcW w:w="2693" w:type="dxa"/>
          </w:tcPr>
          <w:p w14:paraId="5ABBF853" w14:textId="3E5BC18F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Zhao et al. (2005)</w:t>
            </w:r>
          </w:p>
        </w:tc>
      </w:tr>
      <w:tr w:rsidR="00293B86" w:rsidRPr="00B77FDD" w14:paraId="317FA19A" w14:textId="77777777" w:rsidTr="006D2340">
        <w:tc>
          <w:tcPr>
            <w:tcW w:w="5817" w:type="dxa"/>
          </w:tcPr>
          <w:p w14:paraId="5EF0235D" w14:textId="34D182CA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 Ratio Index 1 (SR-1) *</w:t>
            </w:r>
          </w:p>
        </w:tc>
        <w:tc>
          <w:tcPr>
            <w:tcW w:w="3827" w:type="dxa"/>
          </w:tcPr>
          <w:p w14:paraId="3D898D83" w14:textId="64935E04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750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710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6106B58D" w14:textId="048AA91B" w:rsid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Chl</w:t>
            </w:r>
          </w:p>
        </w:tc>
        <w:tc>
          <w:tcPr>
            <w:tcW w:w="2693" w:type="dxa"/>
          </w:tcPr>
          <w:p w14:paraId="596FCFB1" w14:textId="568628A1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Zarco-Tejada et al. (2001)</w:t>
            </w:r>
          </w:p>
        </w:tc>
      </w:tr>
      <w:tr w:rsidR="00293B86" w:rsidRPr="00B77FDD" w14:paraId="077C1687" w14:textId="77777777" w:rsidTr="006D2340">
        <w:tc>
          <w:tcPr>
            <w:tcW w:w="5817" w:type="dxa"/>
          </w:tcPr>
          <w:p w14:paraId="2DFFEF1C" w14:textId="39CFCD22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 Ratio Index 2 (SR-2) *</w:t>
            </w:r>
          </w:p>
        </w:tc>
        <w:tc>
          <w:tcPr>
            <w:tcW w:w="3827" w:type="dxa"/>
          </w:tcPr>
          <w:p w14:paraId="4E84D27F" w14:textId="73FD5A2E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750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550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588C3D5C" w14:textId="018D0E8B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Chl</w:t>
            </w:r>
          </w:p>
        </w:tc>
        <w:tc>
          <w:tcPr>
            <w:tcW w:w="2693" w:type="dxa"/>
          </w:tcPr>
          <w:p w14:paraId="79B09CCB" w14:textId="5CD77FC3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Gitelson and Merzlyak (1997)</w:t>
            </w:r>
          </w:p>
        </w:tc>
      </w:tr>
      <w:tr w:rsidR="00293B86" w:rsidRPr="00B77FDD" w14:paraId="45560A75" w14:textId="77777777" w:rsidTr="006D2340">
        <w:tc>
          <w:tcPr>
            <w:tcW w:w="5817" w:type="dxa"/>
          </w:tcPr>
          <w:p w14:paraId="3ADBD8CB" w14:textId="597985D4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 Ratio Index 3 (SR-3) *</w:t>
            </w:r>
          </w:p>
        </w:tc>
        <w:tc>
          <w:tcPr>
            <w:tcW w:w="3827" w:type="dxa"/>
          </w:tcPr>
          <w:p w14:paraId="1F18BB6A" w14:textId="260FFE3E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750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700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12DA98EB" w14:textId="591FD793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Chl</w:t>
            </w:r>
          </w:p>
        </w:tc>
        <w:tc>
          <w:tcPr>
            <w:tcW w:w="2693" w:type="dxa"/>
          </w:tcPr>
          <w:p w14:paraId="30C309A7" w14:textId="524D433D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Gitelson and Merzlyak (1997)</w:t>
            </w:r>
          </w:p>
        </w:tc>
      </w:tr>
      <w:tr w:rsidR="00293B86" w:rsidRPr="00B77FDD" w14:paraId="78E2AA97" w14:textId="77777777" w:rsidTr="006D2340">
        <w:tc>
          <w:tcPr>
            <w:tcW w:w="5817" w:type="dxa"/>
          </w:tcPr>
          <w:p w14:paraId="096AF7F9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 NDVI (GNDVI)</w:t>
            </w:r>
          </w:p>
        </w:tc>
        <w:tc>
          <w:tcPr>
            <w:tcW w:w="3827" w:type="dxa"/>
          </w:tcPr>
          <w:p w14:paraId="67B7C513" w14:textId="3933260D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780 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550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proofErr w:type="gramStart"/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</w:t>
            </w:r>
            <w:proofErr w:type="gramEnd"/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780 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 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550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410" w:type="dxa"/>
          </w:tcPr>
          <w:p w14:paraId="0B5D5EE6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Chla </w:t>
            </w:r>
          </w:p>
        </w:tc>
        <w:tc>
          <w:tcPr>
            <w:tcW w:w="2693" w:type="dxa"/>
          </w:tcPr>
          <w:p w14:paraId="180E5514" w14:textId="40C099E1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Gitelson et al. (1996)</w:t>
            </w:r>
          </w:p>
        </w:tc>
      </w:tr>
      <w:tr w:rsidR="00293B86" w:rsidRPr="00B77FDD" w14:paraId="33313672" w14:textId="77777777" w:rsidTr="006D2340">
        <w:tc>
          <w:tcPr>
            <w:tcW w:w="5817" w:type="dxa"/>
          </w:tcPr>
          <w:p w14:paraId="2AB76A41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Transformed Chlorophyll Absorption and Reflectance Index (TCARI)</w:t>
            </w:r>
          </w:p>
        </w:tc>
        <w:tc>
          <w:tcPr>
            <w:tcW w:w="3827" w:type="dxa"/>
          </w:tcPr>
          <w:p w14:paraId="5973FBC8" w14:textId="27605F3A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× ((R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700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670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- 0.2 × 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700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550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)) × 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700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670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19E44A93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Chl</w:t>
            </w:r>
          </w:p>
        </w:tc>
        <w:tc>
          <w:tcPr>
            <w:tcW w:w="2693" w:type="dxa"/>
          </w:tcPr>
          <w:p w14:paraId="660D9C47" w14:textId="7D252C45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Daughtry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1D2D7B43" w14:textId="77777777" w:rsidTr="006D2340">
        <w:tc>
          <w:tcPr>
            <w:tcW w:w="5817" w:type="dxa"/>
          </w:tcPr>
          <w:p w14:paraId="03DED82F" w14:textId="21C2FD05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Structure Insensitive Pigment Index (SIPI)</w:t>
            </w:r>
          </w:p>
        </w:tc>
        <w:tc>
          <w:tcPr>
            <w:tcW w:w="3827" w:type="dxa"/>
          </w:tcPr>
          <w:p w14:paraId="17184397" w14:textId="50717A0A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800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-R</w:t>
            </w:r>
            <w:proofErr w:type="gramStart"/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445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proofErr w:type="gramEnd"/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800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-R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680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402C738E" w14:textId="45998C8E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Car/Chla</w:t>
            </w:r>
          </w:p>
        </w:tc>
        <w:tc>
          <w:tcPr>
            <w:tcW w:w="2693" w:type="dxa"/>
          </w:tcPr>
          <w:p w14:paraId="0A7DF505" w14:textId="41E5404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Peñuelas et al. (1995b)</w:t>
            </w:r>
          </w:p>
        </w:tc>
      </w:tr>
      <w:tr w:rsidR="00293B86" w:rsidRPr="00751827" w14:paraId="3EBFB476" w14:textId="77777777" w:rsidTr="006D2340">
        <w:tc>
          <w:tcPr>
            <w:tcW w:w="5817" w:type="dxa"/>
          </w:tcPr>
          <w:p w14:paraId="1112068A" w14:textId="25B143BD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8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Modified Chlorophyll Absorption in Reflectance Index (MCARI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827" w:type="dxa"/>
          </w:tcPr>
          <w:p w14:paraId="7B918A23" w14:textId="4735500D" w:rsidR="00293B86" w:rsidRPr="00751827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[(R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</w:t>
            </w:r>
            <w:r w:rsidRPr="0075182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R</w:t>
            </w:r>
            <w:r w:rsidRPr="0075182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670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- 0.2 * (R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</w:t>
            </w:r>
            <w:r w:rsidRPr="0075182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R</w:t>
            </w:r>
            <w:r w:rsidRPr="0075182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)] * (R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</w:t>
            </w:r>
            <w:r w:rsidRPr="0075182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00</w:t>
            </w:r>
            <w:r w:rsidRPr="007518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5182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670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7F5008F5" w14:textId="77777777" w:rsid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 leaf area index</w:t>
            </w:r>
          </w:p>
          <w:p w14:paraId="1174486B" w14:textId="5DD79EA4" w:rsidR="00293B86" w:rsidRPr="00751827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Chl</w:t>
            </w:r>
          </w:p>
        </w:tc>
        <w:tc>
          <w:tcPr>
            <w:tcW w:w="2693" w:type="dxa"/>
          </w:tcPr>
          <w:p w14:paraId="7EDB5102" w14:textId="1D4724E8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Daughtry et al. (2000)</w:t>
            </w:r>
          </w:p>
        </w:tc>
      </w:tr>
      <w:tr w:rsidR="00293B86" w:rsidRPr="00B77FDD" w14:paraId="294327C1" w14:textId="77777777" w:rsidTr="006D2340">
        <w:tc>
          <w:tcPr>
            <w:tcW w:w="5817" w:type="dxa"/>
          </w:tcPr>
          <w:p w14:paraId="37BDC315" w14:textId="683F1BAB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 Adjusted Vegetation Index (SAVI)</w:t>
            </w:r>
          </w:p>
        </w:tc>
        <w:tc>
          <w:tcPr>
            <w:tcW w:w="3827" w:type="dxa"/>
          </w:tcPr>
          <w:p w14:paraId="05F1DD37" w14:textId="58156834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1.5 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×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800 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670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/(</w:t>
            </w:r>
            <w:proofErr w:type="gramEnd"/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+ 0.5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C55C341" w14:textId="484B811C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 biomass</w:t>
            </w:r>
          </w:p>
        </w:tc>
        <w:tc>
          <w:tcPr>
            <w:tcW w:w="2693" w:type="dxa"/>
          </w:tcPr>
          <w:p w14:paraId="679A65E0" w14:textId="0FCEAA69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Huete, 1988</w:t>
            </w:r>
          </w:p>
        </w:tc>
      </w:tr>
      <w:tr w:rsidR="00293B86" w:rsidRPr="00B77FDD" w14:paraId="7A9282BE" w14:textId="77777777" w:rsidTr="006D2340">
        <w:tc>
          <w:tcPr>
            <w:tcW w:w="5817" w:type="dxa"/>
          </w:tcPr>
          <w:p w14:paraId="04147D14" w14:textId="666C7F8E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Plant Senescence Reflectance Index (PSRI)</w:t>
            </w:r>
          </w:p>
        </w:tc>
        <w:tc>
          <w:tcPr>
            <w:tcW w:w="3827" w:type="dxa"/>
          </w:tcPr>
          <w:p w14:paraId="210F27E2" w14:textId="6B665BBA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678 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500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)/R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750</w:t>
            </w:r>
          </w:p>
        </w:tc>
        <w:tc>
          <w:tcPr>
            <w:tcW w:w="2410" w:type="dxa"/>
          </w:tcPr>
          <w:p w14:paraId="50D9D30C" w14:textId="77777777" w:rsid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Car/Chl</w:t>
            </w:r>
          </w:p>
          <w:p w14:paraId="237D9D58" w14:textId="4F82638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enescence</w:t>
            </w:r>
          </w:p>
        </w:tc>
        <w:tc>
          <w:tcPr>
            <w:tcW w:w="2693" w:type="dxa"/>
          </w:tcPr>
          <w:p w14:paraId="0A5BB099" w14:textId="583108A9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Merzlyak et al. (1999)</w:t>
            </w:r>
          </w:p>
        </w:tc>
      </w:tr>
      <w:tr w:rsidR="00293B86" w:rsidRPr="00B77FDD" w14:paraId="4B664B5F" w14:textId="77777777" w:rsidTr="006D2340">
        <w:tc>
          <w:tcPr>
            <w:tcW w:w="5817" w:type="dxa"/>
          </w:tcPr>
          <w:p w14:paraId="58EDF33B" w14:textId="1776D784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Anthocyanin Reflectance Index (ARI)</w:t>
            </w:r>
          </w:p>
        </w:tc>
        <w:tc>
          <w:tcPr>
            <w:tcW w:w="3827" w:type="dxa"/>
          </w:tcPr>
          <w:p w14:paraId="3B98F3A1" w14:textId="4536AC02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(1/R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550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- (1/R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700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7567849C" w14:textId="0B0CB562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Pigments</w:t>
            </w:r>
          </w:p>
        </w:tc>
        <w:tc>
          <w:tcPr>
            <w:tcW w:w="2693" w:type="dxa"/>
          </w:tcPr>
          <w:p w14:paraId="74E9E0E9" w14:textId="7DA57407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Zarco-Tejada et al. (2005)</w:t>
            </w:r>
          </w:p>
        </w:tc>
      </w:tr>
      <w:tr w:rsidR="00293B86" w:rsidRPr="00B77FDD" w14:paraId="5516E4AE" w14:textId="77777777" w:rsidTr="006D2340">
        <w:tc>
          <w:tcPr>
            <w:tcW w:w="5817" w:type="dxa"/>
          </w:tcPr>
          <w:p w14:paraId="5211B35B" w14:textId="6C180186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Salinity and Water Stress Indices 2 (SWSI 2)</w:t>
            </w:r>
          </w:p>
        </w:tc>
        <w:tc>
          <w:tcPr>
            <w:tcW w:w="3827" w:type="dxa"/>
          </w:tcPr>
          <w:p w14:paraId="0C1A8506" w14:textId="4268E99F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803 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681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1326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1507</m:t>
                      </m:r>
                    </m:sub>
                  </m:sSub>
                </m:e>
              </m:rad>
            </m:oMath>
          </w:p>
        </w:tc>
        <w:tc>
          <w:tcPr>
            <w:tcW w:w="2410" w:type="dxa"/>
          </w:tcPr>
          <w:p w14:paraId="15AF3EA5" w14:textId="77777777" w:rsid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content</w:t>
            </w:r>
          </w:p>
          <w:p w14:paraId="79C83221" w14:textId="311B6C35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hlorophyll</w:t>
            </w:r>
          </w:p>
        </w:tc>
        <w:tc>
          <w:tcPr>
            <w:tcW w:w="2693" w:type="dxa"/>
          </w:tcPr>
          <w:p w14:paraId="10382602" w14:textId="7086570E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Hamzeh</w:t>
            </w:r>
            <w:proofErr w:type="spellEnd"/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42CFC89A" w14:textId="77777777" w:rsidTr="006D2340">
        <w:tc>
          <w:tcPr>
            <w:tcW w:w="5817" w:type="dxa"/>
          </w:tcPr>
          <w:p w14:paraId="6A4FCBC3" w14:textId="34482DB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Salinity and Water Stress Indices 3 (SWSI 3)</w:t>
            </w:r>
          </w:p>
        </w:tc>
        <w:tc>
          <w:tcPr>
            <w:tcW w:w="3827" w:type="dxa"/>
          </w:tcPr>
          <w:p w14:paraId="1248EEE7" w14:textId="4430F278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803 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681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972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1174</m:t>
                      </m:r>
                    </m:sub>
                  </m:sSub>
                </m:e>
              </m:rad>
            </m:oMath>
          </w:p>
        </w:tc>
        <w:tc>
          <w:tcPr>
            <w:tcW w:w="2410" w:type="dxa"/>
          </w:tcPr>
          <w:p w14:paraId="68C952D4" w14:textId="77777777" w:rsid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content</w:t>
            </w:r>
          </w:p>
          <w:p w14:paraId="16157315" w14:textId="304CE16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hlorophyll</w:t>
            </w:r>
          </w:p>
        </w:tc>
        <w:tc>
          <w:tcPr>
            <w:tcW w:w="2693" w:type="dxa"/>
          </w:tcPr>
          <w:p w14:paraId="4FEC99A9" w14:textId="10E6E3D6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Hamzeh</w:t>
            </w:r>
            <w:proofErr w:type="spellEnd"/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1822EAAA" w14:textId="77777777" w:rsidTr="006D2340">
        <w:tc>
          <w:tcPr>
            <w:tcW w:w="5817" w:type="dxa"/>
          </w:tcPr>
          <w:p w14:paraId="384F9E7A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Index (WI)</w:t>
            </w:r>
          </w:p>
        </w:tc>
        <w:tc>
          <w:tcPr>
            <w:tcW w:w="3827" w:type="dxa"/>
          </w:tcPr>
          <w:p w14:paraId="617F82B0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900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970</w:t>
            </w:r>
          </w:p>
        </w:tc>
        <w:tc>
          <w:tcPr>
            <w:tcW w:w="2410" w:type="dxa"/>
          </w:tcPr>
          <w:p w14:paraId="15130D9A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Leaf water potential</w:t>
            </w:r>
          </w:p>
        </w:tc>
        <w:tc>
          <w:tcPr>
            <w:tcW w:w="2693" w:type="dxa"/>
          </w:tcPr>
          <w:p w14:paraId="16FD8D50" w14:textId="0038B879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Zarco-Tejada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63165DC6" w14:textId="77777777" w:rsidTr="006D2340">
        <w:tc>
          <w:tcPr>
            <w:tcW w:w="5817" w:type="dxa"/>
          </w:tcPr>
          <w:p w14:paraId="0E9142DE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 Ratio Water Index (SRWI)</w:t>
            </w:r>
          </w:p>
        </w:tc>
        <w:tc>
          <w:tcPr>
            <w:tcW w:w="3827" w:type="dxa"/>
          </w:tcPr>
          <w:p w14:paraId="75BF0095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860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1240</w:t>
            </w:r>
          </w:p>
        </w:tc>
        <w:tc>
          <w:tcPr>
            <w:tcW w:w="2410" w:type="dxa"/>
          </w:tcPr>
          <w:p w14:paraId="5CFC4D3A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Leaf water potential</w:t>
            </w:r>
          </w:p>
        </w:tc>
        <w:tc>
          <w:tcPr>
            <w:tcW w:w="2693" w:type="dxa"/>
          </w:tcPr>
          <w:p w14:paraId="562BA2EE" w14:textId="5DD0A72D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Zarco-Tejada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18E7D9B1" w14:textId="77777777" w:rsidTr="006D2340">
        <w:tc>
          <w:tcPr>
            <w:tcW w:w="5817" w:type="dxa"/>
          </w:tcPr>
          <w:p w14:paraId="6C18628C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Normalized Difference Water</w:t>
            </w:r>
          </w:p>
          <w:p w14:paraId="7E898B18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 (NDWI)</w:t>
            </w:r>
          </w:p>
        </w:tc>
        <w:tc>
          <w:tcPr>
            <w:tcW w:w="3827" w:type="dxa"/>
          </w:tcPr>
          <w:p w14:paraId="7DAA09D5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860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1240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)/ 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860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 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1240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76F276EC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Leaf water potential</w:t>
            </w:r>
          </w:p>
        </w:tc>
        <w:tc>
          <w:tcPr>
            <w:tcW w:w="2693" w:type="dxa"/>
          </w:tcPr>
          <w:p w14:paraId="4EC93AF6" w14:textId="12F16588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Gao (1996)</w:t>
            </w:r>
          </w:p>
        </w:tc>
      </w:tr>
      <w:tr w:rsidR="00293B86" w:rsidRPr="00B77FDD" w14:paraId="12DE61BB" w14:textId="77777777" w:rsidTr="006D2340">
        <w:tc>
          <w:tcPr>
            <w:tcW w:w="5817" w:type="dxa"/>
          </w:tcPr>
          <w:p w14:paraId="3D1C9F57" w14:textId="3BAD0BE8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Leaf Water Index (LWI)*</w:t>
            </w:r>
          </w:p>
        </w:tc>
        <w:tc>
          <w:tcPr>
            <w:tcW w:w="3827" w:type="dxa"/>
          </w:tcPr>
          <w:p w14:paraId="0E19AE8A" w14:textId="127C3AD9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1300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1450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0A49A71F" w14:textId="7772C72E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Leaf water thickness</w:t>
            </w:r>
          </w:p>
        </w:tc>
        <w:tc>
          <w:tcPr>
            <w:tcW w:w="2693" w:type="dxa"/>
          </w:tcPr>
          <w:p w14:paraId="469D1293" w14:textId="2450A80C" w:rsidR="00293B86" w:rsidRP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Seeling</w:t>
            </w:r>
            <w:proofErr w:type="spellEnd"/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(200</w:t>
            </w:r>
            <w:r w:rsidR="00D94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9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0503A4D7" w14:textId="77777777" w:rsidTr="006D2340">
        <w:tc>
          <w:tcPr>
            <w:tcW w:w="5817" w:type="dxa"/>
          </w:tcPr>
          <w:p w14:paraId="11972B7A" w14:textId="3887166E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Normalized Water Indices (NWI-1)</w:t>
            </w:r>
          </w:p>
        </w:tc>
        <w:tc>
          <w:tcPr>
            <w:tcW w:w="3827" w:type="dxa"/>
          </w:tcPr>
          <w:p w14:paraId="6F6BA86E" w14:textId="3DF071B5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proofErr w:type="gramStart"/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970  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gramEnd"/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900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970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900</w:t>
            </w:r>
          </w:p>
        </w:tc>
        <w:tc>
          <w:tcPr>
            <w:tcW w:w="2410" w:type="dxa"/>
          </w:tcPr>
          <w:p w14:paraId="129BA67E" w14:textId="73AB5F6E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Canopy </w:t>
            </w:r>
            <w:r w:rsidR="00346E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status</w:t>
            </w:r>
          </w:p>
        </w:tc>
        <w:tc>
          <w:tcPr>
            <w:tcW w:w="2693" w:type="dxa"/>
          </w:tcPr>
          <w:p w14:paraId="784EE066" w14:textId="23D6B5D2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Babar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581D4218" w14:textId="77777777" w:rsidTr="006D2340">
        <w:tc>
          <w:tcPr>
            <w:tcW w:w="5817" w:type="dxa"/>
          </w:tcPr>
          <w:p w14:paraId="77D78247" w14:textId="540250B3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Normalized Water Indices (NWI-2)</w:t>
            </w:r>
          </w:p>
        </w:tc>
        <w:tc>
          <w:tcPr>
            <w:tcW w:w="3827" w:type="dxa"/>
          </w:tcPr>
          <w:p w14:paraId="21ADC426" w14:textId="7D60160C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970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850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970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850</w:t>
            </w:r>
          </w:p>
        </w:tc>
        <w:tc>
          <w:tcPr>
            <w:tcW w:w="2410" w:type="dxa"/>
          </w:tcPr>
          <w:p w14:paraId="2BE38769" w14:textId="0034D4FA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Canopy </w:t>
            </w:r>
            <w:r w:rsidR="00346E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status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52CE86FC" w14:textId="3E3C854D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Babar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5623FE6E" w14:textId="77777777" w:rsidTr="006D2340">
        <w:tc>
          <w:tcPr>
            <w:tcW w:w="5817" w:type="dxa"/>
          </w:tcPr>
          <w:p w14:paraId="757D76AC" w14:textId="38259521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Normalized Water Indices (NWI-3)</w:t>
            </w:r>
          </w:p>
        </w:tc>
        <w:tc>
          <w:tcPr>
            <w:tcW w:w="3827" w:type="dxa"/>
          </w:tcPr>
          <w:p w14:paraId="693E8A29" w14:textId="3B19B4EF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970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46E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  <w:r w:rsidR="00346E1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920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970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R</w:t>
            </w:r>
            <w:r w:rsidR="00346E1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920</w:t>
            </w:r>
          </w:p>
        </w:tc>
        <w:tc>
          <w:tcPr>
            <w:tcW w:w="2410" w:type="dxa"/>
          </w:tcPr>
          <w:p w14:paraId="30DF7526" w14:textId="4C137BD1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Canopy </w:t>
            </w:r>
            <w:r w:rsidR="00346E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status</w:t>
            </w:r>
          </w:p>
        </w:tc>
        <w:tc>
          <w:tcPr>
            <w:tcW w:w="2693" w:type="dxa"/>
          </w:tcPr>
          <w:p w14:paraId="079E11F8" w14:textId="591BD979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Prasad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353CABD7" w14:textId="77777777" w:rsidTr="006D2340">
        <w:tc>
          <w:tcPr>
            <w:tcW w:w="5817" w:type="dxa"/>
          </w:tcPr>
          <w:p w14:paraId="3DE4A9AA" w14:textId="1476509F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Normalized Water Indices (NWI-4)</w:t>
            </w:r>
          </w:p>
        </w:tc>
        <w:tc>
          <w:tcPr>
            <w:tcW w:w="3827" w:type="dxa"/>
          </w:tcPr>
          <w:p w14:paraId="084DA139" w14:textId="12ED06FD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970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46E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  <w:r w:rsidR="00346E1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880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970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R</w:t>
            </w:r>
            <w:r w:rsidR="00346E1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880</w:t>
            </w:r>
          </w:p>
        </w:tc>
        <w:tc>
          <w:tcPr>
            <w:tcW w:w="2410" w:type="dxa"/>
          </w:tcPr>
          <w:p w14:paraId="05029F54" w14:textId="2D3815F2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Canopy </w:t>
            </w:r>
            <w:r w:rsidR="00346E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status</w:t>
            </w:r>
          </w:p>
        </w:tc>
        <w:tc>
          <w:tcPr>
            <w:tcW w:w="2693" w:type="dxa"/>
          </w:tcPr>
          <w:p w14:paraId="50A7177B" w14:textId="7EE00FD3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Prasad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332BEBDD" w14:textId="77777777" w:rsidTr="006D2340">
        <w:tc>
          <w:tcPr>
            <w:tcW w:w="5817" w:type="dxa"/>
          </w:tcPr>
          <w:p w14:paraId="73992EFE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Normalized Photochemical Reflectance Index (</w:t>
            </w:r>
            <w:proofErr w:type="spellStart"/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norm</w:t>
            </w:r>
            <w:proofErr w:type="spellEnd"/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827" w:type="dxa"/>
          </w:tcPr>
          <w:p w14:paraId="56ACC8F3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 / [RDVI×(R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700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670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)]</w:t>
            </w:r>
          </w:p>
        </w:tc>
        <w:tc>
          <w:tcPr>
            <w:tcW w:w="2410" w:type="dxa"/>
          </w:tcPr>
          <w:p w14:paraId="44D0F51E" w14:textId="77777777" w:rsid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Chlorophyll fluorescence </w:t>
            </w:r>
          </w:p>
          <w:p w14:paraId="3E00C2AD" w14:textId="725BBF90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Stomatal conductance</w:t>
            </w:r>
          </w:p>
        </w:tc>
        <w:tc>
          <w:tcPr>
            <w:tcW w:w="2693" w:type="dxa"/>
          </w:tcPr>
          <w:p w14:paraId="3AD4E02B" w14:textId="77777777" w:rsidR="00293B86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 xml:space="preserve">Berni et al.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  <w:p w14:paraId="3E39317A" w14:textId="5597462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 xml:space="preserve">Berni et al.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</w:rPr>
              <w:t>2009b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3B86" w:rsidRPr="00B77FDD" w14:paraId="1AC0461C" w14:textId="77777777" w:rsidTr="006D2340">
        <w:tc>
          <w:tcPr>
            <w:tcW w:w="5817" w:type="dxa"/>
          </w:tcPr>
          <w:p w14:paraId="3B6165E0" w14:textId="0D82D672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Copper Stress</w:t>
            </w:r>
            <w:r w:rsidR="006D2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Vegetation Index (CSVI)</w:t>
            </w:r>
          </w:p>
        </w:tc>
        <w:tc>
          <w:tcPr>
            <w:tcW w:w="3827" w:type="dxa"/>
          </w:tcPr>
          <w:p w14:paraId="228E267B" w14:textId="7777777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550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850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×R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700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850</w:t>
            </w:r>
          </w:p>
        </w:tc>
        <w:tc>
          <w:tcPr>
            <w:tcW w:w="2410" w:type="dxa"/>
          </w:tcPr>
          <w:p w14:paraId="222AAC75" w14:textId="7C6E8096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Copper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2693" w:type="dxa"/>
          </w:tcPr>
          <w:p w14:paraId="5A26BA27" w14:textId="546B6647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Zhang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6969497D" w14:textId="77777777" w:rsidTr="006D2340">
        <w:tc>
          <w:tcPr>
            <w:tcW w:w="5817" w:type="dxa"/>
          </w:tcPr>
          <w:p w14:paraId="5D4E4EC7" w14:textId="5FEB1F53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Vegetation Heavy Metal Pollution Index (VHMPI)</w:t>
            </w:r>
          </w:p>
        </w:tc>
        <w:tc>
          <w:tcPr>
            <w:tcW w:w="3827" w:type="dxa"/>
          </w:tcPr>
          <w:p w14:paraId="20310163" w14:textId="59BFEC51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505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DCR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640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DCR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690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-DCR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730</w:t>
            </w:r>
          </w:p>
        </w:tc>
        <w:tc>
          <w:tcPr>
            <w:tcW w:w="2410" w:type="dxa"/>
          </w:tcPr>
          <w:p w14:paraId="79D7B43C" w14:textId="6751841A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Copper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632A50C4" w14:textId="3BA1A824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Zhang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1753FF2F" w14:textId="77777777" w:rsidTr="006D2340">
        <w:tc>
          <w:tcPr>
            <w:tcW w:w="5817" w:type="dxa"/>
          </w:tcPr>
          <w:p w14:paraId="2A5AE94A" w14:textId="1DF0EBE4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Heavy Metal Cd Stress-Sensitive Spectral Index (HCSI)</w:t>
            </w:r>
          </w:p>
        </w:tc>
        <w:tc>
          <w:tcPr>
            <w:tcW w:w="3827" w:type="dxa"/>
          </w:tcPr>
          <w:p w14:paraId="7CB488FB" w14:textId="7BF5C62C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780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712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)/R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678 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× (R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678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550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296C5EB7" w14:textId="5C9ABDBB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Cadmium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2693" w:type="dxa"/>
          </w:tcPr>
          <w:p w14:paraId="1CD0F502" w14:textId="00E57CF1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Wu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1051129E" w14:textId="77777777" w:rsidTr="006D2340">
        <w:tc>
          <w:tcPr>
            <w:tcW w:w="5817" w:type="dxa"/>
            <w:tcBorders>
              <w:bottom w:val="single" w:sz="4" w:space="0" w:color="auto"/>
            </w:tcBorders>
          </w:tcPr>
          <w:p w14:paraId="5E2FAF55" w14:textId="2769AC1A" w:rsidR="00293B86" w:rsidRPr="00B77FDD" w:rsidRDefault="00293B86" w:rsidP="00293B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eavy Metal Stress Sensitive Index (HMSSI)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666296B" w14:textId="3868A922" w:rsidR="00293B86" w:rsidRPr="00B77FDD" w:rsidRDefault="00293B86" w:rsidP="00293B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R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ed-edge)/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PSRI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3A8B76" w14:textId="7F4C2EDC" w:rsidR="00293B86" w:rsidRPr="00B77FDD" w:rsidRDefault="00293B86" w:rsidP="00293B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Cadmium, lead and mercury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04E851" w14:textId="4D698301" w:rsidR="00293B86" w:rsidRPr="00B77FDD" w:rsidRDefault="00293B86" w:rsidP="00293B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Zhang et al.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7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93B86" w:rsidRPr="00B77FDD" w14:paraId="159637F8" w14:textId="77777777" w:rsidTr="009B0892">
        <w:tc>
          <w:tcPr>
            <w:tcW w:w="14747" w:type="dxa"/>
            <w:gridSpan w:val="4"/>
            <w:tcBorders>
              <w:top w:val="single" w:sz="4" w:space="0" w:color="auto"/>
            </w:tcBorders>
          </w:tcPr>
          <w:p w14:paraId="7592A378" w14:textId="0D90777B" w:rsidR="00293B86" w:rsidRPr="00B77FDD" w:rsidRDefault="00293B86" w:rsidP="00293B8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0C15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* No original index abbreviation found</w:t>
            </w:r>
          </w:p>
        </w:tc>
      </w:tr>
    </w:tbl>
    <w:p w14:paraId="496F5634" w14:textId="77777777" w:rsidR="00B77FDD" w:rsidRPr="00AD467D" w:rsidRDefault="00B77FDD" w:rsidP="00B77F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4AE9D9" w14:textId="77777777" w:rsidR="00B77FDD" w:rsidRPr="00AD467D" w:rsidRDefault="00B77FDD" w:rsidP="00B77F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FA0553" w14:textId="77777777" w:rsidR="00B77FDD" w:rsidRPr="00AD467D" w:rsidRDefault="00B77FDD" w:rsidP="00B77F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AAEC50" w14:textId="77777777" w:rsidR="00B77FDD" w:rsidRPr="00AD467D" w:rsidRDefault="00B77FDD" w:rsidP="00B77F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388484" w14:textId="77777777" w:rsidR="00B77FDD" w:rsidRPr="00AD467D" w:rsidRDefault="00B77FDD" w:rsidP="00B77F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40926C" w14:textId="77777777" w:rsidR="00B77FDD" w:rsidRPr="00AD467D" w:rsidRDefault="00B77FDD" w:rsidP="00B77F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3E043D" w14:textId="77777777" w:rsidR="00B77FDD" w:rsidRPr="00AD467D" w:rsidRDefault="00B77FDD" w:rsidP="00B77F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356B2E" w14:textId="77777777" w:rsidR="00B77FDD" w:rsidRPr="00AD467D" w:rsidRDefault="00B77FDD" w:rsidP="00B77F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5DA771" w14:textId="77777777" w:rsidR="00B77FDD" w:rsidRPr="00AD467D" w:rsidRDefault="00B77FDD" w:rsidP="00B77F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ED6AD2" w14:textId="77777777" w:rsidR="00B77FDD" w:rsidRPr="00AD467D" w:rsidRDefault="00B77FDD" w:rsidP="00B77F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27F327" w14:textId="77777777" w:rsidR="00B77FDD" w:rsidRPr="00AD467D" w:rsidRDefault="00B77FDD" w:rsidP="00B77F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A7D232" w14:textId="77777777" w:rsidR="00B77FDD" w:rsidRPr="00AD467D" w:rsidRDefault="00B77FDD" w:rsidP="00B77F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379663" w14:textId="77777777" w:rsidR="00B77FDD" w:rsidRPr="00AD467D" w:rsidRDefault="00B77FDD" w:rsidP="00B77F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7EFF96" w14:textId="77777777" w:rsidR="00B77FDD" w:rsidRPr="00AD467D" w:rsidRDefault="00B77FDD" w:rsidP="00263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4F8630" w14:textId="55DB9503" w:rsidR="00263922" w:rsidRPr="00AD467D" w:rsidRDefault="00263922" w:rsidP="00263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F0690F" w14:textId="18FB3D8B" w:rsidR="00263922" w:rsidRPr="00AD467D" w:rsidRDefault="00263922" w:rsidP="00263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74AFD8" w14:textId="77777777" w:rsidR="00263922" w:rsidRPr="00AD467D" w:rsidRDefault="00263922" w:rsidP="00263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63922" w:rsidRPr="00AD467D" w:rsidSect="0026392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52"/>
    <w:rsid w:val="000477DC"/>
    <w:rsid w:val="00097F47"/>
    <w:rsid w:val="000C636D"/>
    <w:rsid w:val="000D0998"/>
    <w:rsid w:val="000F0913"/>
    <w:rsid w:val="00156A1E"/>
    <w:rsid w:val="00195E69"/>
    <w:rsid w:val="001D2BEC"/>
    <w:rsid w:val="00207B31"/>
    <w:rsid w:val="00263922"/>
    <w:rsid w:val="00293B86"/>
    <w:rsid w:val="00297A90"/>
    <w:rsid w:val="002B62F3"/>
    <w:rsid w:val="002C1CF8"/>
    <w:rsid w:val="002C7F52"/>
    <w:rsid w:val="002D1588"/>
    <w:rsid w:val="002F0DF2"/>
    <w:rsid w:val="00313798"/>
    <w:rsid w:val="00317E24"/>
    <w:rsid w:val="00346E18"/>
    <w:rsid w:val="003F1AB3"/>
    <w:rsid w:val="003F2392"/>
    <w:rsid w:val="00430B1B"/>
    <w:rsid w:val="004C74B3"/>
    <w:rsid w:val="00514E5A"/>
    <w:rsid w:val="00560189"/>
    <w:rsid w:val="005C0DFC"/>
    <w:rsid w:val="005D3A0F"/>
    <w:rsid w:val="005D546F"/>
    <w:rsid w:val="006479BD"/>
    <w:rsid w:val="006D2340"/>
    <w:rsid w:val="006D49A9"/>
    <w:rsid w:val="006E2671"/>
    <w:rsid w:val="006E7A67"/>
    <w:rsid w:val="007074E9"/>
    <w:rsid w:val="0072064A"/>
    <w:rsid w:val="0072760F"/>
    <w:rsid w:val="00751827"/>
    <w:rsid w:val="007640D2"/>
    <w:rsid w:val="00852D85"/>
    <w:rsid w:val="00896CB4"/>
    <w:rsid w:val="008A5BAE"/>
    <w:rsid w:val="009B0892"/>
    <w:rsid w:val="00A44077"/>
    <w:rsid w:val="00A45C32"/>
    <w:rsid w:val="00A81BD7"/>
    <w:rsid w:val="00AB337F"/>
    <w:rsid w:val="00AC1899"/>
    <w:rsid w:val="00AD467D"/>
    <w:rsid w:val="00AD6BD8"/>
    <w:rsid w:val="00AE331A"/>
    <w:rsid w:val="00B24CD6"/>
    <w:rsid w:val="00B4714A"/>
    <w:rsid w:val="00B769EE"/>
    <w:rsid w:val="00B77FDD"/>
    <w:rsid w:val="00BB6B27"/>
    <w:rsid w:val="00C055D8"/>
    <w:rsid w:val="00C77104"/>
    <w:rsid w:val="00CB3051"/>
    <w:rsid w:val="00CB4E17"/>
    <w:rsid w:val="00CB6BEB"/>
    <w:rsid w:val="00CD0D77"/>
    <w:rsid w:val="00CE15BB"/>
    <w:rsid w:val="00D24FA9"/>
    <w:rsid w:val="00D82C0C"/>
    <w:rsid w:val="00D94381"/>
    <w:rsid w:val="00DC4B80"/>
    <w:rsid w:val="00E608C5"/>
    <w:rsid w:val="00E67E78"/>
    <w:rsid w:val="00E7373A"/>
    <w:rsid w:val="00ED59CA"/>
    <w:rsid w:val="00F17411"/>
    <w:rsid w:val="00F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557FA"/>
  <w15:chartTrackingRefBased/>
  <w15:docId w15:val="{34E3E1C7-8ABC-43CD-8F53-57DBAB0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67D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3F2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D11A-EC80-4596-A362-2C3421B1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Pagnani</dc:creator>
  <cp:keywords/>
  <dc:description/>
  <cp:lastModifiedBy>angelica galieni</cp:lastModifiedBy>
  <cp:revision>49</cp:revision>
  <dcterms:created xsi:type="dcterms:W3CDTF">2020-03-05T15:47:00Z</dcterms:created>
  <dcterms:modified xsi:type="dcterms:W3CDTF">2020-08-19T12:31:00Z</dcterms:modified>
</cp:coreProperties>
</file>