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46808" w14:textId="0582A01F" w:rsidR="00D247AF" w:rsidRPr="00E01186" w:rsidRDefault="00D247AF" w:rsidP="00E41159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9C584C">
        <w:rPr>
          <w:rFonts w:ascii="Times New Roman" w:hAnsi="Times New Roman" w:cs="Times New Roman"/>
          <w:b/>
          <w:lang w:val="en-US"/>
        </w:rPr>
        <w:t xml:space="preserve">Table </w:t>
      </w:r>
      <w:r w:rsidR="00655B93">
        <w:rPr>
          <w:rFonts w:ascii="Times New Roman" w:hAnsi="Times New Roman" w:cs="Times New Roman"/>
          <w:b/>
          <w:lang w:val="en-US"/>
        </w:rPr>
        <w:t>2</w:t>
      </w:r>
      <w:r w:rsidRPr="001E6CB7">
        <w:rPr>
          <w:rFonts w:ascii="Times New Roman" w:hAnsi="Times New Roman" w:cs="Times New Roman"/>
          <w:lang w:val="en-US"/>
        </w:rPr>
        <w:t xml:space="preserve">: </w:t>
      </w:r>
      <w:r w:rsidR="00975FFF" w:rsidRPr="001E6CB7">
        <w:rPr>
          <w:rFonts w:ascii="Times New Roman" w:hAnsi="Times New Roman" w:cs="Times New Roman"/>
          <w:lang w:val="en-US"/>
        </w:rPr>
        <w:t>P</w:t>
      </w:r>
      <w:r w:rsidR="00C76765" w:rsidRPr="001E6CB7">
        <w:rPr>
          <w:rFonts w:ascii="Times New Roman" w:hAnsi="Times New Roman" w:cs="Times New Roman"/>
          <w:lang w:val="en-US"/>
        </w:rPr>
        <w:t>ublished claims of</w:t>
      </w:r>
      <w:r w:rsidR="00551ABD" w:rsidRPr="001E6CB7">
        <w:rPr>
          <w:rFonts w:ascii="Times New Roman" w:hAnsi="Times New Roman" w:cs="Times New Roman"/>
          <w:lang w:val="en-US"/>
        </w:rPr>
        <w:t xml:space="preserve"> </w:t>
      </w:r>
      <w:r w:rsidR="00975FFF" w:rsidRPr="001E6CB7">
        <w:rPr>
          <w:rFonts w:ascii="Times New Roman" w:hAnsi="Times New Roman" w:cs="Times New Roman"/>
          <w:lang w:val="en-US"/>
        </w:rPr>
        <w:t>stress</w:t>
      </w:r>
      <w:r w:rsidR="00551ABD" w:rsidRPr="001E6CB7">
        <w:rPr>
          <w:rFonts w:ascii="Times New Roman" w:hAnsi="Times New Roman" w:cs="Times New Roman"/>
          <w:lang w:val="en-US"/>
        </w:rPr>
        <w:t xml:space="preserve"> </w:t>
      </w:r>
      <w:r w:rsidR="00C76765" w:rsidRPr="001E6CB7">
        <w:rPr>
          <w:rFonts w:ascii="Times New Roman" w:hAnsi="Times New Roman" w:cs="Times New Roman"/>
          <w:lang w:val="en-US"/>
        </w:rPr>
        <w:t xml:space="preserve">identification </w:t>
      </w:r>
      <w:r w:rsidR="00551ABD" w:rsidRPr="001E6CB7">
        <w:rPr>
          <w:rFonts w:ascii="Times New Roman" w:hAnsi="Times New Roman" w:cs="Times New Roman"/>
          <w:lang w:val="en-US"/>
        </w:rPr>
        <w:t>from hyperspectral imaging since 201</w:t>
      </w:r>
      <w:r w:rsidR="00975FFF" w:rsidRPr="001E6CB7">
        <w:rPr>
          <w:rFonts w:ascii="Times New Roman" w:hAnsi="Times New Roman" w:cs="Times New Roman"/>
          <w:lang w:val="en-US"/>
        </w:rPr>
        <w:t>8</w:t>
      </w:r>
      <w:r w:rsidR="00551ABD" w:rsidRPr="001E6CB7">
        <w:rPr>
          <w:rFonts w:ascii="Times New Roman" w:hAnsi="Times New Roman" w:cs="Times New Roman"/>
          <w:lang w:val="en-US"/>
        </w:rPr>
        <w:t>, along with the chosen multivariate data processing technique and accuracy reached</w:t>
      </w:r>
      <w:r w:rsidR="00ED5C96" w:rsidRPr="001E6CB7">
        <w:rPr>
          <w:rFonts w:ascii="Times New Roman" w:hAnsi="Times New Roman" w:cs="Times New Roman"/>
          <w:lang w:val="en-US"/>
        </w:rPr>
        <w:t>.</w:t>
      </w:r>
      <w:r w:rsidR="002C7C00" w:rsidRPr="001E6CB7">
        <w:rPr>
          <w:rFonts w:ascii="Times New Roman" w:hAnsi="Times New Roman" w:cs="Times New Roman"/>
          <w:lang w:val="en-US"/>
        </w:rPr>
        <w:t xml:space="preserve"> </w:t>
      </w:r>
      <w:r w:rsidR="00E41159">
        <w:rPr>
          <w:rFonts w:ascii="Times New Roman" w:hAnsi="Times New Roman" w:cs="Times New Roman"/>
          <w:lang w:val="en-US"/>
        </w:rPr>
        <w:t xml:space="preserve">“Plant stress” refers to both (i) the </w:t>
      </w:r>
      <w:r w:rsidR="00DC1A3E">
        <w:rPr>
          <w:rFonts w:ascii="Times New Roman" w:hAnsi="Times New Roman" w:cs="Times New Roman"/>
          <w:lang w:val="en-US"/>
        </w:rPr>
        <w:t>classification or modelling</w:t>
      </w:r>
      <w:r w:rsidR="00E41159">
        <w:rPr>
          <w:rFonts w:ascii="Times New Roman" w:hAnsi="Times New Roman" w:cs="Times New Roman"/>
          <w:lang w:val="en-US"/>
        </w:rPr>
        <w:t xml:space="preserve"> of stressful conditions and (ii) the plant phenotyping. </w:t>
      </w:r>
    </w:p>
    <w:p w14:paraId="4F930B07" w14:textId="77777777" w:rsidR="00ED5C96" w:rsidRPr="009D4D16" w:rsidRDefault="00ED5C96" w:rsidP="00D247AF">
      <w:pPr>
        <w:jc w:val="both"/>
        <w:rPr>
          <w:rFonts w:ascii="Times New Roman" w:hAnsi="Times New Roman" w:cs="Times New Roman"/>
          <w:lang w:val="en-US"/>
        </w:rPr>
      </w:pPr>
    </w:p>
    <w:tbl>
      <w:tblPr>
        <w:tblStyle w:val="Grigliatabella"/>
        <w:tblW w:w="130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701"/>
        <w:gridCol w:w="3397"/>
        <w:gridCol w:w="1139"/>
        <w:gridCol w:w="2972"/>
      </w:tblGrid>
      <w:tr w:rsidR="002C7C00" w:rsidRPr="00ED5C96" w14:paraId="14132A54" w14:textId="77777777" w:rsidTr="002B40F4">
        <w:trPr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0B87B43B" w14:textId="76A8E7DC" w:rsidR="002C7C00" w:rsidRPr="00ED5C96" w:rsidRDefault="002C7C00" w:rsidP="00542F6D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Plant </w:t>
            </w:r>
            <w:r w:rsidR="00975FFF">
              <w:rPr>
                <w:rFonts w:ascii="Times New Roman" w:hAnsi="Times New Roman" w:cs="Times New Roman"/>
                <w:b/>
                <w:sz w:val="20"/>
                <w:szCs w:val="20"/>
              </w:rPr>
              <w:t>stress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28E9F4A" w14:textId="60F8AE9A" w:rsidR="002C7C00" w:rsidRDefault="002C7C00" w:rsidP="00542F6D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Species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14:paraId="7019ED2F" w14:textId="25ED7AD9" w:rsidR="002C7C00" w:rsidRPr="00ED5C96" w:rsidRDefault="002C7C00" w:rsidP="00542F6D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Techniques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DAD154B" w14:textId="1CC866E8" w:rsidR="002C7C00" w:rsidRPr="00ED5C96" w:rsidRDefault="002C7C00" w:rsidP="002B40F4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Accuracy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14:paraId="5387995B" w14:textId="146FB4DD" w:rsidR="002C7C00" w:rsidRPr="00ED5C96" w:rsidRDefault="002C7C00" w:rsidP="00542F6D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C96">
              <w:rPr>
                <w:rFonts w:ascii="Times New Roman" w:hAnsi="Times New Roman" w:cs="Times New Roman"/>
                <w:b/>
                <w:sz w:val="20"/>
                <w:szCs w:val="20"/>
              </w:rPr>
              <w:t>Reference</w:t>
            </w:r>
          </w:p>
        </w:tc>
      </w:tr>
      <w:tr w:rsidR="003313D4" w:rsidRPr="00F653ED" w14:paraId="5F4D7173" w14:textId="77777777" w:rsidTr="002B40F4">
        <w:trPr>
          <w:jc w:val="center"/>
        </w:trPr>
        <w:tc>
          <w:tcPr>
            <w:tcW w:w="3828" w:type="dxa"/>
            <w:tcBorders>
              <w:top w:val="single" w:sz="4" w:space="0" w:color="auto"/>
            </w:tcBorders>
          </w:tcPr>
          <w:p w14:paraId="5671FDDB" w14:textId="27AEC0F6" w:rsidR="003313D4" w:rsidRDefault="00763F0E" w:rsidP="00542F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Chilling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E24B0F1" w14:textId="29F2C431" w:rsidR="003313D4" w:rsidRDefault="00763F0E" w:rsidP="00542F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blueberry</w:t>
            </w:r>
          </w:p>
        </w:tc>
        <w:tc>
          <w:tcPr>
            <w:tcW w:w="3397" w:type="dxa"/>
            <w:tcBorders>
              <w:top w:val="single" w:sz="4" w:space="0" w:color="auto"/>
            </w:tcBorders>
          </w:tcPr>
          <w:p w14:paraId="10A50D75" w14:textId="5194588E" w:rsidR="003313D4" w:rsidRDefault="00763F0E" w:rsidP="00975F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3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PLS-DA 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2701F761" w14:textId="26E5646D" w:rsidR="003313D4" w:rsidRPr="00BC00B8" w:rsidRDefault="00763F0E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00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&gt;75%</w:t>
            </w:r>
          </w:p>
        </w:tc>
        <w:tc>
          <w:tcPr>
            <w:tcW w:w="2972" w:type="dxa"/>
            <w:tcBorders>
              <w:top w:val="single" w:sz="4" w:space="0" w:color="auto"/>
            </w:tcBorders>
          </w:tcPr>
          <w:p w14:paraId="117C0EB8" w14:textId="22DD42B4" w:rsidR="003313D4" w:rsidRPr="00BC00B8" w:rsidRDefault="00763F0E" w:rsidP="00542F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00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Gao et al. (2019)</w:t>
            </w:r>
          </w:p>
        </w:tc>
      </w:tr>
      <w:tr w:rsidR="00B2499A" w:rsidRPr="00F653ED" w14:paraId="5D143F31" w14:textId="77777777" w:rsidTr="002B40F4">
        <w:trPr>
          <w:jc w:val="center"/>
        </w:trPr>
        <w:tc>
          <w:tcPr>
            <w:tcW w:w="3828" w:type="dxa"/>
          </w:tcPr>
          <w:p w14:paraId="7E309577" w14:textId="5DF7D1F9" w:rsidR="00B2499A" w:rsidRDefault="00B2499A" w:rsidP="00542F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</w:t>
            </w:r>
            <w:r w:rsidR="00E411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linity</w:t>
            </w:r>
          </w:p>
        </w:tc>
        <w:tc>
          <w:tcPr>
            <w:tcW w:w="1701" w:type="dxa"/>
          </w:tcPr>
          <w:p w14:paraId="28E2EE0B" w14:textId="7C305928" w:rsidR="00B2499A" w:rsidRDefault="00B2499A" w:rsidP="00542F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wheat</w:t>
            </w:r>
          </w:p>
        </w:tc>
        <w:tc>
          <w:tcPr>
            <w:tcW w:w="3397" w:type="dxa"/>
          </w:tcPr>
          <w:p w14:paraId="24D2E08F" w14:textId="7BCBF1FA" w:rsidR="00B2499A" w:rsidRPr="00F653ED" w:rsidRDefault="00E41159" w:rsidP="00975F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Novel approach</w:t>
            </w:r>
          </w:p>
        </w:tc>
        <w:tc>
          <w:tcPr>
            <w:tcW w:w="1139" w:type="dxa"/>
          </w:tcPr>
          <w:p w14:paraId="48FD8924" w14:textId="09825550" w:rsidR="00B2499A" w:rsidRPr="00BC00B8" w:rsidRDefault="00E41159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00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</w:t>
            </w:r>
          </w:p>
        </w:tc>
        <w:tc>
          <w:tcPr>
            <w:tcW w:w="2972" w:type="dxa"/>
          </w:tcPr>
          <w:p w14:paraId="418316F3" w14:textId="6FB34954" w:rsidR="00B2499A" w:rsidRPr="00BC00B8" w:rsidRDefault="00E41159" w:rsidP="00542F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C00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Moghimi</w:t>
            </w:r>
            <w:proofErr w:type="spellEnd"/>
            <w:r w:rsidRPr="00BC00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 (2018)</w:t>
            </w:r>
          </w:p>
        </w:tc>
      </w:tr>
      <w:tr w:rsidR="002C7C00" w:rsidRPr="00F653ED" w14:paraId="31002F12" w14:textId="77777777" w:rsidTr="002B40F4">
        <w:trPr>
          <w:jc w:val="center"/>
        </w:trPr>
        <w:tc>
          <w:tcPr>
            <w:tcW w:w="3828" w:type="dxa"/>
          </w:tcPr>
          <w:p w14:paraId="33FC9137" w14:textId="078F3514" w:rsidR="002C7C00" w:rsidRPr="00ED5C96" w:rsidRDefault="00975FFF" w:rsidP="00542F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Drought</w:t>
            </w:r>
          </w:p>
        </w:tc>
        <w:tc>
          <w:tcPr>
            <w:tcW w:w="1701" w:type="dxa"/>
          </w:tcPr>
          <w:p w14:paraId="49A49183" w14:textId="46016B49" w:rsidR="002C7C00" w:rsidRPr="00ED5C96" w:rsidRDefault="00975FFF" w:rsidP="00542F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grapevine</w:t>
            </w:r>
          </w:p>
        </w:tc>
        <w:tc>
          <w:tcPr>
            <w:tcW w:w="3397" w:type="dxa"/>
          </w:tcPr>
          <w:p w14:paraId="645004C2" w14:textId="77777777" w:rsidR="00975FFF" w:rsidRDefault="00975FFF" w:rsidP="00975F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3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PLS-DA </w:t>
            </w:r>
          </w:p>
          <w:p w14:paraId="7B5BC2CB" w14:textId="6CD36F39" w:rsidR="002C7C00" w:rsidRPr="00ED5C96" w:rsidRDefault="00975FFF" w:rsidP="00975F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PLS-SVM</w:t>
            </w:r>
          </w:p>
        </w:tc>
        <w:tc>
          <w:tcPr>
            <w:tcW w:w="1139" w:type="dxa"/>
          </w:tcPr>
          <w:p w14:paraId="0A4CE175" w14:textId="64945C26" w:rsidR="002C7C00" w:rsidRPr="00BC00B8" w:rsidRDefault="00975FFF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00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&gt;97%</w:t>
            </w:r>
          </w:p>
        </w:tc>
        <w:tc>
          <w:tcPr>
            <w:tcW w:w="2972" w:type="dxa"/>
          </w:tcPr>
          <w:p w14:paraId="28C88E19" w14:textId="1324FB82" w:rsidR="002C7C00" w:rsidRPr="00BC00B8" w:rsidRDefault="00975FFF" w:rsidP="00542F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C00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Zovko</w:t>
            </w:r>
            <w:proofErr w:type="spellEnd"/>
            <w:r w:rsidRPr="00BC00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 (2019)</w:t>
            </w:r>
          </w:p>
        </w:tc>
      </w:tr>
      <w:tr w:rsidR="007622DF" w:rsidRPr="00F653ED" w14:paraId="64B4A230" w14:textId="77777777" w:rsidTr="002B40F4">
        <w:trPr>
          <w:jc w:val="center"/>
        </w:trPr>
        <w:tc>
          <w:tcPr>
            <w:tcW w:w="3828" w:type="dxa"/>
          </w:tcPr>
          <w:p w14:paraId="41A98635" w14:textId="6F929CC0" w:rsidR="007622DF" w:rsidRDefault="007622DF" w:rsidP="00542F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Drought</w:t>
            </w:r>
          </w:p>
        </w:tc>
        <w:tc>
          <w:tcPr>
            <w:tcW w:w="1701" w:type="dxa"/>
          </w:tcPr>
          <w:p w14:paraId="1F8E7294" w14:textId="67CD706B" w:rsidR="007622DF" w:rsidRDefault="007622DF" w:rsidP="00542F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grapevine</w:t>
            </w:r>
          </w:p>
        </w:tc>
        <w:tc>
          <w:tcPr>
            <w:tcW w:w="3397" w:type="dxa"/>
          </w:tcPr>
          <w:p w14:paraId="36CE4AA5" w14:textId="788D053D" w:rsidR="007622DF" w:rsidRPr="00F653ED" w:rsidRDefault="00495E29" w:rsidP="00975F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RF (Deep learning)</w:t>
            </w:r>
          </w:p>
        </w:tc>
        <w:tc>
          <w:tcPr>
            <w:tcW w:w="1139" w:type="dxa"/>
          </w:tcPr>
          <w:p w14:paraId="23125C3B" w14:textId="50EA93AE" w:rsidR="007622DF" w:rsidRPr="00BC00B8" w:rsidRDefault="007622DF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00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80-83%</w:t>
            </w:r>
          </w:p>
        </w:tc>
        <w:tc>
          <w:tcPr>
            <w:tcW w:w="2972" w:type="dxa"/>
          </w:tcPr>
          <w:p w14:paraId="1269176E" w14:textId="569854E6" w:rsidR="007622DF" w:rsidRPr="00BC00B8" w:rsidRDefault="007622DF" w:rsidP="00542F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C00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Loggenberg</w:t>
            </w:r>
            <w:proofErr w:type="spellEnd"/>
            <w:r w:rsidRPr="00BC00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 (2018)</w:t>
            </w:r>
          </w:p>
        </w:tc>
      </w:tr>
      <w:tr w:rsidR="003313D4" w:rsidRPr="00F653ED" w14:paraId="7E27C83B" w14:textId="77777777" w:rsidTr="002B40F4">
        <w:trPr>
          <w:jc w:val="center"/>
        </w:trPr>
        <w:tc>
          <w:tcPr>
            <w:tcW w:w="3828" w:type="dxa"/>
          </w:tcPr>
          <w:p w14:paraId="0BF43614" w14:textId="506D09CB" w:rsidR="003313D4" w:rsidRDefault="003313D4" w:rsidP="00542F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Drought</w:t>
            </w:r>
          </w:p>
        </w:tc>
        <w:tc>
          <w:tcPr>
            <w:tcW w:w="1701" w:type="dxa"/>
          </w:tcPr>
          <w:p w14:paraId="32CB5038" w14:textId="66B54218" w:rsidR="003313D4" w:rsidRDefault="003313D4" w:rsidP="00542F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rice</w:t>
            </w:r>
          </w:p>
        </w:tc>
        <w:tc>
          <w:tcPr>
            <w:tcW w:w="3397" w:type="dxa"/>
          </w:tcPr>
          <w:p w14:paraId="3CD13B9A" w14:textId="03748D9B" w:rsidR="003313D4" w:rsidRDefault="003313D4" w:rsidP="00975F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PLSR-MLR</w:t>
            </w:r>
          </w:p>
        </w:tc>
        <w:tc>
          <w:tcPr>
            <w:tcW w:w="1139" w:type="dxa"/>
          </w:tcPr>
          <w:p w14:paraId="41E852D2" w14:textId="4868EDDC" w:rsidR="003313D4" w:rsidRPr="00BC00B8" w:rsidRDefault="003313D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00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&gt;90%</w:t>
            </w:r>
          </w:p>
        </w:tc>
        <w:tc>
          <w:tcPr>
            <w:tcW w:w="2972" w:type="dxa"/>
          </w:tcPr>
          <w:p w14:paraId="08BE0DE5" w14:textId="23525A69" w:rsidR="003313D4" w:rsidRPr="00BC00B8" w:rsidRDefault="003313D4" w:rsidP="00542F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00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Krishna et al. (2019)</w:t>
            </w:r>
          </w:p>
        </w:tc>
      </w:tr>
      <w:tr w:rsidR="00DA1211" w:rsidRPr="00F653ED" w14:paraId="5C085E8D" w14:textId="77777777" w:rsidTr="002B40F4">
        <w:trPr>
          <w:jc w:val="center"/>
        </w:trPr>
        <w:tc>
          <w:tcPr>
            <w:tcW w:w="3828" w:type="dxa"/>
          </w:tcPr>
          <w:p w14:paraId="37DF89DA" w14:textId="27301BAD" w:rsidR="00DA1211" w:rsidRDefault="00DA1211" w:rsidP="00DA12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Drought</w:t>
            </w:r>
          </w:p>
        </w:tc>
        <w:tc>
          <w:tcPr>
            <w:tcW w:w="1701" w:type="dxa"/>
          </w:tcPr>
          <w:p w14:paraId="15B84099" w14:textId="0F3D14A1" w:rsidR="00DA1211" w:rsidRDefault="00DA1211" w:rsidP="00DA12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tomato</w:t>
            </w:r>
          </w:p>
        </w:tc>
        <w:tc>
          <w:tcPr>
            <w:tcW w:w="3397" w:type="dxa"/>
          </w:tcPr>
          <w:p w14:paraId="5892DD3C" w14:textId="4CA1996D" w:rsidR="00DA1211" w:rsidRDefault="00DA1211" w:rsidP="00DA12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Derived SRIs</w:t>
            </w:r>
          </w:p>
        </w:tc>
        <w:tc>
          <w:tcPr>
            <w:tcW w:w="1139" w:type="dxa"/>
          </w:tcPr>
          <w:p w14:paraId="153E34B8" w14:textId="6E87BD9E" w:rsidR="00DA1211" w:rsidRPr="00BC00B8" w:rsidRDefault="00DA1211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00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</w:t>
            </w:r>
          </w:p>
        </w:tc>
        <w:tc>
          <w:tcPr>
            <w:tcW w:w="2972" w:type="dxa"/>
          </w:tcPr>
          <w:p w14:paraId="0E793C3B" w14:textId="13D0FF17" w:rsidR="00DA1211" w:rsidRPr="00BC00B8" w:rsidRDefault="00DA1211" w:rsidP="00DA12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C00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Elvanidi</w:t>
            </w:r>
            <w:proofErr w:type="spellEnd"/>
            <w:r w:rsidRPr="00BC00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 (2018)</w:t>
            </w:r>
          </w:p>
        </w:tc>
      </w:tr>
      <w:tr w:rsidR="00DA1211" w:rsidRPr="00F653ED" w14:paraId="26F83D52" w14:textId="77777777" w:rsidTr="002B40F4">
        <w:trPr>
          <w:jc w:val="center"/>
        </w:trPr>
        <w:tc>
          <w:tcPr>
            <w:tcW w:w="3828" w:type="dxa"/>
          </w:tcPr>
          <w:p w14:paraId="556BD48F" w14:textId="24C650E3" w:rsidR="00DA1211" w:rsidRDefault="00DA1211" w:rsidP="00DA121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Drought</w:t>
            </w:r>
          </w:p>
          <w:p w14:paraId="50DB1530" w14:textId="6719CD42" w:rsidR="00DA1211" w:rsidRDefault="00DA1211" w:rsidP="00DA12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C0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Meloidogyne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incognita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(Nematoda)</w:t>
            </w:r>
          </w:p>
        </w:tc>
        <w:tc>
          <w:tcPr>
            <w:tcW w:w="1701" w:type="dxa"/>
          </w:tcPr>
          <w:p w14:paraId="7FC8B6FD" w14:textId="56C4F17F" w:rsidR="00DA1211" w:rsidRDefault="00DA1211" w:rsidP="00DA12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tomato</w:t>
            </w:r>
          </w:p>
        </w:tc>
        <w:tc>
          <w:tcPr>
            <w:tcW w:w="3397" w:type="dxa"/>
          </w:tcPr>
          <w:p w14:paraId="0C7582F1" w14:textId="77777777" w:rsidR="00763F0E" w:rsidRDefault="00763F0E" w:rsidP="00DA12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3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PLS-DA </w:t>
            </w:r>
          </w:p>
          <w:p w14:paraId="5220FEF8" w14:textId="4314B521" w:rsidR="00DA1211" w:rsidRDefault="00DA1211" w:rsidP="00DA12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PLS-SVM</w:t>
            </w:r>
          </w:p>
        </w:tc>
        <w:tc>
          <w:tcPr>
            <w:tcW w:w="1139" w:type="dxa"/>
          </w:tcPr>
          <w:p w14:paraId="56E2620F" w14:textId="3C628818" w:rsidR="00DA1211" w:rsidRPr="00BC00B8" w:rsidRDefault="00DA1211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00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90-100%</w:t>
            </w:r>
          </w:p>
        </w:tc>
        <w:tc>
          <w:tcPr>
            <w:tcW w:w="2972" w:type="dxa"/>
          </w:tcPr>
          <w:p w14:paraId="45D8BDDA" w14:textId="2B0BD145" w:rsidR="00DA1211" w:rsidRPr="00BC00B8" w:rsidRDefault="00DA1211" w:rsidP="00DA12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C00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Susič</w:t>
            </w:r>
            <w:proofErr w:type="spellEnd"/>
            <w:r w:rsidRPr="00BC00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 (2018)</w:t>
            </w:r>
          </w:p>
        </w:tc>
      </w:tr>
      <w:tr w:rsidR="00DA1211" w:rsidRPr="00F653ED" w14:paraId="7AA9352E" w14:textId="77777777" w:rsidTr="002B40F4">
        <w:trPr>
          <w:jc w:val="center"/>
        </w:trPr>
        <w:tc>
          <w:tcPr>
            <w:tcW w:w="3828" w:type="dxa"/>
          </w:tcPr>
          <w:p w14:paraId="22A6B90C" w14:textId="388B0E27" w:rsidR="00DA1211" w:rsidRPr="00ED5C96" w:rsidRDefault="00DA1211" w:rsidP="00DA12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Insect herbivory</w:t>
            </w:r>
          </w:p>
        </w:tc>
        <w:tc>
          <w:tcPr>
            <w:tcW w:w="1701" w:type="dxa"/>
          </w:tcPr>
          <w:p w14:paraId="7115C16C" w14:textId="7A00B68B" w:rsidR="00DA1211" w:rsidRPr="00ED5C96" w:rsidRDefault="00DA1211" w:rsidP="00DA12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maize</w:t>
            </w:r>
          </w:p>
        </w:tc>
        <w:tc>
          <w:tcPr>
            <w:tcW w:w="3397" w:type="dxa"/>
          </w:tcPr>
          <w:p w14:paraId="53EE9C23" w14:textId="77777777" w:rsidR="00DA1211" w:rsidRDefault="00DA1211" w:rsidP="00DA12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SLDA</w:t>
            </w:r>
          </w:p>
          <w:p w14:paraId="6AAA31AF" w14:textId="1CEBA416" w:rsidR="00DA1211" w:rsidRPr="00ED5C96" w:rsidRDefault="00DA1211" w:rsidP="00DA12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Discriminant classification model</w:t>
            </w:r>
          </w:p>
        </w:tc>
        <w:tc>
          <w:tcPr>
            <w:tcW w:w="1139" w:type="dxa"/>
          </w:tcPr>
          <w:p w14:paraId="1E4104AE" w14:textId="2005699D" w:rsidR="00DA1211" w:rsidRPr="00ED5C96" w:rsidRDefault="00DA1211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79.0%</w:t>
            </w:r>
          </w:p>
        </w:tc>
        <w:tc>
          <w:tcPr>
            <w:tcW w:w="2972" w:type="dxa"/>
          </w:tcPr>
          <w:p w14:paraId="3F5D5596" w14:textId="59783817" w:rsidR="00DA1211" w:rsidRPr="00491258" w:rsidRDefault="00491258" w:rsidP="00DA1211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it-CH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CH"/>
              </w:rPr>
              <w:t>d</w:t>
            </w:r>
            <w:bookmarkStart w:id="0" w:name="_GoBack"/>
            <w:bookmarkEnd w:id="0"/>
            <w:r w:rsidRPr="00491258">
              <w:rPr>
                <w:rFonts w:ascii="Times New Roman" w:hAnsi="Times New Roman" w:cs="Times New Roman"/>
                <w:sz w:val="20"/>
                <w:szCs w:val="20"/>
                <w:lang w:val="it-CH"/>
              </w:rPr>
              <w:t xml:space="preserve">o </w:t>
            </w:r>
            <w:r w:rsidR="00DA1211" w:rsidRPr="00491258">
              <w:rPr>
                <w:rFonts w:ascii="Times New Roman" w:hAnsi="Times New Roman" w:cs="Times New Roman"/>
                <w:sz w:val="20"/>
                <w:szCs w:val="20"/>
                <w:lang w:val="it-CH"/>
              </w:rPr>
              <w:t>Prado Ribeiro et al. (2018)</w:t>
            </w:r>
          </w:p>
        </w:tc>
      </w:tr>
      <w:tr w:rsidR="009B17A7" w:rsidRPr="00F653ED" w14:paraId="63F63258" w14:textId="77777777" w:rsidTr="002B40F4">
        <w:trPr>
          <w:jc w:val="center"/>
        </w:trPr>
        <w:tc>
          <w:tcPr>
            <w:tcW w:w="3828" w:type="dxa"/>
          </w:tcPr>
          <w:p w14:paraId="2B489861" w14:textId="79C90298" w:rsidR="009B17A7" w:rsidRDefault="009B17A7" w:rsidP="00DA12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17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Powdery Mildew</w:t>
            </w:r>
          </w:p>
        </w:tc>
        <w:tc>
          <w:tcPr>
            <w:tcW w:w="1701" w:type="dxa"/>
          </w:tcPr>
          <w:p w14:paraId="1B0A9CE1" w14:textId="2F7587B7" w:rsidR="009B17A7" w:rsidRDefault="009B17A7" w:rsidP="00DA12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grapevine</w:t>
            </w:r>
          </w:p>
        </w:tc>
        <w:tc>
          <w:tcPr>
            <w:tcW w:w="3397" w:type="dxa"/>
          </w:tcPr>
          <w:p w14:paraId="01311CD6" w14:textId="4308827F" w:rsidR="009B17A7" w:rsidRDefault="009B17A7" w:rsidP="00DA12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3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PLS-DA </w:t>
            </w:r>
          </w:p>
        </w:tc>
        <w:tc>
          <w:tcPr>
            <w:tcW w:w="1139" w:type="dxa"/>
          </w:tcPr>
          <w:p w14:paraId="542C00F4" w14:textId="77777777" w:rsidR="009B17A7" w:rsidRDefault="009B17A7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2" w:type="dxa"/>
          </w:tcPr>
          <w:p w14:paraId="372D67DC" w14:textId="7DFF77C2" w:rsidR="009B17A7" w:rsidRPr="001E6CB7" w:rsidRDefault="009B17A7" w:rsidP="00DA1211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</w:pPr>
            <w:r w:rsidRPr="00BC00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Pérez-</w:t>
            </w:r>
            <w:proofErr w:type="spellStart"/>
            <w:r w:rsidRPr="00BC00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Roncal</w:t>
            </w:r>
            <w:proofErr w:type="spellEnd"/>
            <w:r w:rsidRPr="00BC00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 (2020)</w:t>
            </w:r>
          </w:p>
        </w:tc>
      </w:tr>
      <w:tr w:rsidR="00DA1211" w:rsidRPr="00F653ED" w14:paraId="357EDD39" w14:textId="77777777" w:rsidTr="002B40F4">
        <w:trPr>
          <w:jc w:val="center"/>
        </w:trPr>
        <w:tc>
          <w:tcPr>
            <w:tcW w:w="3828" w:type="dxa"/>
          </w:tcPr>
          <w:p w14:paraId="749CB673" w14:textId="7873497D" w:rsidR="00DA1211" w:rsidRPr="00ED5C96" w:rsidRDefault="00DA1211" w:rsidP="00DA12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B1C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tripe rust</w:t>
            </w:r>
          </w:p>
        </w:tc>
        <w:tc>
          <w:tcPr>
            <w:tcW w:w="1701" w:type="dxa"/>
          </w:tcPr>
          <w:p w14:paraId="3B105E53" w14:textId="7620B761" w:rsidR="00DA1211" w:rsidRPr="00ED5C96" w:rsidRDefault="00DA1211" w:rsidP="00DA12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wheat</w:t>
            </w:r>
          </w:p>
        </w:tc>
        <w:tc>
          <w:tcPr>
            <w:tcW w:w="3397" w:type="dxa"/>
          </w:tcPr>
          <w:p w14:paraId="67338AF2" w14:textId="77777777" w:rsidR="00DA1211" w:rsidRDefault="00DA1211" w:rsidP="00DA12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PCA</w:t>
            </w:r>
          </w:p>
          <w:p w14:paraId="7DFF7C6D" w14:textId="3682AC87" w:rsidR="00DA1211" w:rsidRPr="00ED5C96" w:rsidRDefault="00DA1211" w:rsidP="00DA12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BPNN</w:t>
            </w:r>
          </w:p>
        </w:tc>
        <w:tc>
          <w:tcPr>
            <w:tcW w:w="1139" w:type="dxa"/>
          </w:tcPr>
          <w:p w14:paraId="4D555F7A" w14:textId="1F7B63AB" w:rsidR="00DA1211" w:rsidRPr="00BC00B8" w:rsidRDefault="00DA1211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00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~92%</w:t>
            </w:r>
          </w:p>
        </w:tc>
        <w:tc>
          <w:tcPr>
            <w:tcW w:w="2972" w:type="dxa"/>
          </w:tcPr>
          <w:p w14:paraId="5F3CAB27" w14:textId="03885657" w:rsidR="00DA1211" w:rsidRPr="00BC00B8" w:rsidRDefault="00DA1211" w:rsidP="00DA12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00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Yao et al. (2019)</w:t>
            </w:r>
          </w:p>
        </w:tc>
      </w:tr>
      <w:tr w:rsidR="009B17A7" w:rsidRPr="00F653ED" w14:paraId="16ECA656" w14:textId="77777777" w:rsidTr="002B40F4">
        <w:trPr>
          <w:jc w:val="center"/>
        </w:trPr>
        <w:tc>
          <w:tcPr>
            <w:tcW w:w="3828" w:type="dxa"/>
          </w:tcPr>
          <w:p w14:paraId="1B19C9A8" w14:textId="3E45DE2D" w:rsidR="009B17A7" w:rsidRPr="000E6A38" w:rsidRDefault="009B17A7" w:rsidP="009B17A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E6A3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Fusarium</w:t>
            </w:r>
            <w:r w:rsidRPr="000E6A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head blight</w:t>
            </w:r>
          </w:p>
        </w:tc>
        <w:tc>
          <w:tcPr>
            <w:tcW w:w="1701" w:type="dxa"/>
          </w:tcPr>
          <w:p w14:paraId="4759E25C" w14:textId="19694515" w:rsidR="009B17A7" w:rsidRDefault="009B17A7" w:rsidP="009B17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wheat</w:t>
            </w:r>
          </w:p>
        </w:tc>
        <w:tc>
          <w:tcPr>
            <w:tcW w:w="3397" w:type="dxa"/>
          </w:tcPr>
          <w:p w14:paraId="5E4DC354" w14:textId="768BFD35" w:rsidR="009B17A7" w:rsidRDefault="009B17A7" w:rsidP="009B17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Derived SRIs</w:t>
            </w:r>
          </w:p>
        </w:tc>
        <w:tc>
          <w:tcPr>
            <w:tcW w:w="1139" w:type="dxa"/>
          </w:tcPr>
          <w:p w14:paraId="684B5A89" w14:textId="737DDE80" w:rsidR="009B17A7" w:rsidRDefault="009B17A7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</w:t>
            </w:r>
          </w:p>
        </w:tc>
        <w:tc>
          <w:tcPr>
            <w:tcW w:w="2972" w:type="dxa"/>
          </w:tcPr>
          <w:p w14:paraId="2DDD1EA0" w14:textId="3ECDC544" w:rsidR="009B17A7" w:rsidRPr="00BC00B8" w:rsidRDefault="009B17A7" w:rsidP="009B17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00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Mahlein et al. (2019)</w:t>
            </w:r>
          </w:p>
        </w:tc>
      </w:tr>
      <w:tr w:rsidR="00763F0E" w:rsidRPr="00F653ED" w14:paraId="0B30C04E" w14:textId="77777777" w:rsidTr="002B40F4">
        <w:trPr>
          <w:jc w:val="center"/>
        </w:trPr>
        <w:tc>
          <w:tcPr>
            <w:tcW w:w="3828" w:type="dxa"/>
          </w:tcPr>
          <w:p w14:paraId="54BFEBDA" w14:textId="323E8539" w:rsidR="00763F0E" w:rsidRPr="000E6A38" w:rsidRDefault="00763F0E" w:rsidP="009B17A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763F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Septoria tritici </w:t>
            </w:r>
          </w:p>
        </w:tc>
        <w:tc>
          <w:tcPr>
            <w:tcW w:w="1701" w:type="dxa"/>
          </w:tcPr>
          <w:p w14:paraId="61C7F078" w14:textId="71F83B7D" w:rsidR="00763F0E" w:rsidRDefault="00763F0E" w:rsidP="009B17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wheat</w:t>
            </w:r>
          </w:p>
        </w:tc>
        <w:tc>
          <w:tcPr>
            <w:tcW w:w="3397" w:type="dxa"/>
          </w:tcPr>
          <w:p w14:paraId="4E612979" w14:textId="6C61C321" w:rsidR="00763F0E" w:rsidRDefault="00763F0E" w:rsidP="009B17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3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PLS-DA</w:t>
            </w:r>
          </w:p>
        </w:tc>
        <w:tc>
          <w:tcPr>
            <w:tcW w:w="1139" w:type="dxa"/>
          </w:tcPr>
          <w:p w14:paraId="0080E6CB" w14:textId="5B46D8C4" w:rsidR="00763F0E" w:rsidRPr="00BC00B8" w:rsidRDefault="00763F0E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00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93%</w:t>
            </w:r>
          </w:p>
        </w:tc>
        <w:tc>
          <w:tcPr>
            <w:tcW w:w="2972" w:type="dxa"/>
          </w:tcPr>
          <w:p w14:paraId="6C22B96F" w14:textId="1F2140F6" w:rsidR="00763F0E" w:rsidRPr="00BC00B8" w:rsidRDefault="00763F0E" w:rsidP="009B17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00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Yu et al. (2018)</w:t>
            </w:r>
          </w:p>
        </w:tc>
      </w:tr>
      <w:tr w:rsidR="009B17A7" w:rsidRPr="00F653ED" w14:paraId="06672ED3" w14:textId="77777777" w:rsidTr="002B40F4">
        <w:trPr>
          <w:jc w:val="center"/>
        </w:trPr>
        <w:tc>
          <w:tcPr>
            <w:tcW w:w="3828" w:type="dxa"/>
          </w:tcPr>
          <w:p w14:paraId="0CA12EA7" w14:textId="69FACFD9" w:rsidR="009B17A7" w:rsidRPr="000E6A38" w:rsidRDefault="009B17A7" w:rsidP="009B17A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7622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owdery mildew</w:t>
            </w:r>
          </w:p>
        </w:tc>
        <w:tc>
          <w:tcPr>
            <w:tcW w:w="1701" w:type="dxa"/>
          </w:tcPr>
          <w:p w14:paraId="1E878713" w14:textId="5604A65A" w:rsidR="009B17A7" w:rsidRDefault="009B17A7" w:rsidP="009B17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barley</w:t>
            </w:r>
          </w:p>
        </w:tc>
        <w:tc>
          <w:tcPr>
            <w:tcW w:w="3397" w:type="dxa"/>
          </w:tcPr>
          <w:p w14:paraId="0B6EA177" w14:textId="77777777" w:rsidR="009B17A7" w:rsidRDefault="009B17A7" w:rsidP="009B17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SiVM</w:t>
            </w:r>
            <w:proofErr w:type="spellEnd"/>
          </w:p>
          <w:p w14:paraId="5055A58A" w14:textId="2E3512BF" w:rsidR="009B17A7" w:rsidRDefault="009B17A7" w:rsidP="009B17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Non-linear SVM</w:t>
            </w:r>
          </w:p>
        </w:tc>
        <w:tc>
          <w:tcPr>
            <w:tcW w:w="1139" w:type="dxa"/>
          </w:tcPr>
          <w:p w14:paraId="00BC7D79" w14:textId="451CEBEC" w:rsidR="009B17A7" w:rsidRPr="00BC00B8" w:rsidRDefault="009B17A7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00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~95%</w:t>
            </w:r>
          </w:p>
        </w:tc>
        <w:tc>
          <w:tcPr>
            <w:tcW w:w="2972" w:type="dxa"/>
          </w:tcPr>
          <w:p w14:paraId="5A26325E" w14:textId="0193A1F7" w:rsidR="009B17A7" w:rsidRPr="00BC00B8" w:rsidRDefault="009B17A7" w:rsidP="009B17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00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Thomas et al. (2018)</w:t>
            </w:r>
          </w:p>
        </w:tc>
      </w:tr>
      <w:tr w:rsidR="009B17A7" w:rsidRPr="00F653ED" w14:paraId="712F65DD" w14:textId="77777777" w:rsidTr="002B40F4">
        <w:trPr>
          <w:jc w:val="center"/>
        </w:trPr>
        <w:tc>
          <w:tcPr>
            <w:tcW w:w="3828" w:type="dxa"/>
          </w:tcPr>
          <w:p w14:paraId="7B4D2A5B" w14:textId="1A6B68BB" w:rsidR="009B17A7" w:rsidRPr="000E6A38" w:rsidRDefault="009B17A7" w:rsidP="009B17A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E6A3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Magnaporthe oryzae</w:t>
            </w:r>
          </w:p>
        </w:tc>
        <w:tc>
          <w:tcPr>
            <w:tcW w:w="1701" w:type="dxa"/>
          </w:tcPr>
          <w:p w14:paraId="5A5EDED1" w14:textId="4F369F63" w:rsidR="009B17A7" w:rsidRPr="00ED5C96" w:rsidRDefault="009B17A7" w:rsidP="009B17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barley</w:t>
            </w:r>
          </w:p>
        </w:tc>
        <w:tc>
          <w:tcPr>
            <w:tcW w:w="3397" w:type="dxa"/>
          </w:tcPr>
          <w:p w14:paraId="6544B342" w14:textId="77777777" w:rsidR="009B17A7" w:rsidRDefault="009B17A7" w:rsidP="009B17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LDA</w:t>
            </w:r>
          </w:p>
          <w:p w14:paraId="0496D836" w14:textId="691482C2" w:rsidR="009B17A7" w:rsidRPr="00ED5C96" w:rsidRDefault="009B17A7" w:rsidP="009B17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CARS</w:t>
            </w:r>
          </w:p>
        </w:tc>
        <w:tc>
          <w:tcPr>
            <w:tcW w:w="1139" w:type="dxa"/>
          </w:tcPr>
          <w:p w14:paraId="29F152C1" w14:textId="73DDF98A" w:rsidR="009B17A7" w:rsidRPr="00ED5C96" w:rsidRDefault="009B17A7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&gt;98%</w:t>
            </w:r>
          </w:p>
        </w:tc>
        <w:tc>
          <w:tcPr>
            <w:tcW w:w="2972" w:type="dxa"/>
          </w:tcPr>
          <w:p w14:paraId="2A00865D" w14:textId="49CDBD8C" w:rsidR="009B17A7" w:rsidRPr="00ED5C96" w:rsidRDefault="009B17A7" w:rsidP="009B17A7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</w:pPr>
            <w:r w:rsidRPr="00CF3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Zhou et al. (2019)</w:t>
            </w:r>
          </w:p>
        </w:tc>
      </w:tr>
      <w:tr w:rsidR="002B40F4" w:rsidRPr="00F653ED" w14:paraId="43FEF112" w14:textId="77777777" w:rsidTr="002B40F4">
        <w:trPr>
          <w:jc w:val="center"/>
        </w:trPr>
        <w:tc>
          <w:tcPr>
            <w:tcW w:w="3828" w:type="dxa"/>
          </w:tcPr>
          <w:p w14:paraId="70B0D16C" w14:textId="7A697298" w:rsidR="002B40F4" w:rsidRPr="000E6A38" w:rsidRDefault="002B40F4" w:rsidP="002B40F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7814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Charcoal rot</w:t>
            </w:r>
          </w:p>
        </w:tc>
        <w:tc>
          <w:tcPr>
            <w:tcW w:w="1701" w:type="dxa"/>
          </w:tcPr>
          <w:p w14:paraId="4A5F0090" w14:textId="3A5E1F97" w:rsidR="002B40F4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soybean</w:t>
            </w:r>
          </w:p>
        </w:tc>
        <w:tc>
          <w:tcPr>
            <w:tcW w:w="3397" w:type="dxa"/>
          </w:tcPr>
          <w:p w14:paraId="39A5768B" w14:textId="47EEACC3" w:rsidR="002B40F4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SVM</w:t>
            </w:r>
          </w:p>
        </w:tc>
        <w:tc>
          <w:tcPr>
            <w:tcW w:w="1139" w:type="dxa"/>
          </w:tcPr>
          <w:p w14:paraId="1BC1915C" w14:textId="2A668491" w:rsidR="002B40F4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97%</w:t>
            </w:r>
          </w:p>
        </w:tc>
        <w:tc>
          <w:tcPr>
            <w:tcW w:w="2972" w:type="dxa"/>
          </w:tcPr>
          <w:p w14:paraId="6BF2283F" w14:textId="39F86C58" w:rsidR="002B40F4" w:rsidRDefault="002B40F4" w:rsidP="002B40F4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</w:pPr>
            <w:proofErr w:type="spellStart"/>
            <w:r w:rsidRPr="00CF3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Nagasubramanian</w:t>
            </w:r>
            <w:proofErr w:type="spellEnd"/>
            <w:r w:rsidRPr="00CF3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 (2018)</w:t>
            </w:r>
          </w:p>
        </w:tc>
      </w:tr>
      <w:tr w:rsidR="002B40F4" w:rsidRPr="00F653ED" w14:paraId="085B1922" w14:textId="77777777" w:rsidTr="002B40F4">
        <w:trPr>
          <w:jc w:val="center"/>
        </w:trPr>
        <w:tc>
          <w:tcPr>
            <w:tcW w:w="3828" w:type="dxa"/>
          </w:tcPr>
          <w:p w14:paraId="0532A9A3" w14:textId="2966A0F9" w:rsidR="002B40F4" w:rsidRPr="00ED5C96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17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Sclerotinia</w:t>
            </w:r>
            <w:r w:rsidRPr="009B17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stem rot</w:t>
            </w:r>
          </w:p>
        </w:tc>
        <w:tc>
          <w:tcPr>
            <w:tcW w:w="1701" w:type="dxa"/>
          </w:tcPr>
          <w:p w14:paraId="03A289BE" w14:textId="13993626" w:rsidR="002B40F4" w:rsidRPr="00ED5C96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oilseed rape</w:t>
            </w:r>
          </w:p>
        </w:tc>
        <w:tc>
          <w:tcPr>
            <w:tcW w:w="3397" w:type="dxa"/>
          </w:tcPr>
          <w:p w14:paraId="5662EBB6" w14:textId="77777777" w:rsidR="002B40F4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17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PLS-DA</w:t>
            </w:r>
          </w:p>
          <w:p w14:paraId="0D8AE1FE" w14:textId="0A0A74F9" w:rsidR="002B40F4" w:rsidRPr="00ED5C96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SVM</w:t>
            </w:r>
          </w:p>
        </w:tc>
        <w:tc>
          <w:tcPr>
            <w:tcW w:w="1139" w:type="dxa"/>
          </w:tcPr>
          <w:p w14:paraId="240C87F2" w14:textId="61014D97" w:rsidR="002B40F4" w:rsidRPr="00CF3A70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3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&gt;90%</w:t>
            </w:r>
          </w:p>
        </w:tc>
        <w:tc>
          <w:tcPr>
            <w:tcW w:w="2972" w:type="dxa"/>
          </w:tcPr>
          <w:p w14:paraId="0FC80B03" w14:textId="52D8834A" w:rsidR="002B40F4" w:rsidRPr="00CF3A70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3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Kong et al. (2018)</w:t>
            </w:r>
          </w:p>
        </w:tc>
      </w:tr>
      <w:tr w:rsidR="002B40F4" w:rsidRPr="00F653ED" w14:paraId="52E42E47" w14:textId="77777777" w:rsidTr="002B40F4">
        <w:trPr>
          <w:jc w:val="center"/>
        </w:trPr>
        <w:tc>
          <w:tcPr>
            <w:tcW w:w="3828" w:type="dxa"/>
          </w:tcPr>
          <w:p w14:paraId="07ECDEB3" w14:textId="2CAEF307" w:rsidR="002B40F4" w:rsidRPr="000E6A38" w:rsidRDefault="002B40F4" w:rsidP="002B40F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Alternaria solani</w:t>
            </w:r>
          </w:p>
        </w:tc>
        <w:tc>
          <w:tcPr>
            <w:tcW w:w="1701" w:type="dxa"/>
          </w:tcPr>
          <w:p w14:paraId="25283A5E" w14:textId="4EAE2D3B" w:rsidR="002B40F4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potato</w:t>
            </w:r>
          </w:p>
        </w:tc>
        <w:tc>
          <w:tcPr>
            <w:tcW w:w="3397" w:type="dxa"/>
          </w:tcPr>
          <w:p w14:paraId="15787675" w14:textId="77777777" w:rsidR="002B40F4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17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PLS-DA</w:t>
            </w:r>
          </w:p>
          <w:p w14:paraId="1353EA9D" w14:textId="4965145C" w:rsidR="002B40F4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SVM</w:t>
            </w:r>
          </w:p>
        </w:tc>
        <w:tc>
          <w:tcPr>
            <w:tcW w:w="1139" w:type="dxa"/>
          </w:tcPr>
          <w:p w14:paraId="155C40EF" w14:textId="77F8564B" w:rsidR="002B40F4" w:rsidRPr="00CF3A70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3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92%</w:t>
            </w:r>
          </w:p>
        </w:tc>
        <w:tc>
          <w:tcPr>
            <w:tcW w:w="2972" w:type="dxa"/>
          </w:tcPr>
          <w:p w14:paraId="0F33D7A2" w14:textId="1D4096B5" w:rsidR="002B40F4" w:rsidRPr="00CF3A70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3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Van De </w:t>
            </w:r>
            <w:proofErr w:type="spellStart"/>
            <w:r w:rsidRPr="00CF3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Vijver</w:t>
            </w:r>
            <w:proofErr w:type="spellEnd"/>
            <w:r w:rsidRPr="00CF3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 (2020)</w:t>
            </w:r>
          </w:p>
        </w:tc>
      </w:tr>
      <w:tr w:rsidR="002B40F4" w:rsidRPr="00F653ED" w14:paraId="53177959" w14:textId="77777777" w:rsidTr="002B40F4">
        <w:trPr>
          <w:jc w:val="center"/>
        </w:trPr>
        <w:tc>
          <w:tcPr>
            <w:tcW w:w="3828" w:type="dxa"/>
          </w:tcPr>
          <w:p w14:paraId="1D42189A" w14:textId="7D875FBE" w:rsidR="002B40F4" w:rsidRPr="00E41159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E411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itrus canker</w:t>
            </w:r>
          </w:p>
        </w:tc>
        <w:tc>
          <w:tcPr>
            <w:tcW w:w="1701" w:type="dxa"/>
          </w:tcPr>
          <w:p w14:paraId="0BB68DBC" w14:textId="36FC54C9" w:rsidR="002B40F4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tangerine</w:t>
            </w:r>
          </w:p>
        </w:tc>
        <w:tc>
          <w:tcPr>
            <w:tcW w:w="3397" w:type="dxa"/>
          </w:tcPr>
          <w:p w14:paraId="63368195" w14:textId="77777777" w:rsidR="002B40F4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RBS</w:t>
            </w:r>
          </w:p>
          <w:p w14:paraId="75682B34" w14:textId="2C492A3C" w:rsidR="002B40F4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KNN</w:t>
            </w:r>
          </w:p>
        </w:tc>
        <w:tc>
          <w:tcPr>
            <w:tcW w:w="1139" w:type="dxa"/>
          </w:tcPr>
          <w:p w14:paraId="384E55CA" w14:textId="70247AFD" w:rsidR="002B40F4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94-100%</w:t>
            </w:r>
          </w:p>
        </w:tc>
        <w:tc>
          <w:tcPr>
            <w:tcW w:w="2972" w:type="dxa"/>
          </w:tcPr>
          <w:p w14:paraId="303DEF70" w14:textId="31C912BA" w:rsidR="002B40F4" w:rsidRPr="00CF3A70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F3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Abdulridha</w:t>
            </w:r>
            <w:proofErr w:type="spellEnd"/>
            <w:r w:rsidRPr="00CF3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 (2019)</w:t>
            </w:r>
          </w:p>
        </w:tc>
      </w:tr>
      <w:tr w:rsidR="002B40F4" w:rsidRPr="00F653ED" w14:paraId="2D83E8D2" w14:textId="77777777" w:rsidTr="002B40F4">
        <w:trPr>
          <w:jc w:val="center"/>
        </w:trPr>
        <w:tc>
          <w:tcPr>
            <w:tcW w:w="3828" w:type="dxa"/>
          </w:tcPr>
          <w:p w14:paraId="13E85840" w14:textId="4374CF25" w:rsidR="002B40F4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5E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tomato spotted wilt </w:t>
            </w:r>
          </w:p>
        </w:tc>
        <w:tc>
          <w:tcPr>
            <w:tcW w:w="1701" w:type="dxa"/>
          </w:tcPr>
          <w:p w14:paraId="538E584E" w14:textId="733B8B64" w:rsidR="002B40F4" w:rsidRPr="002B40F4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B40F4">
              <w:rPr>
                <w:rFonts w:ascii="Times New Roman" w:hAnsi="Times New Roman" w:cs="Times New Roman"/>
                <w:sz w:val="20"/>
                <w:szCs w:val="20"/>
              </w:rPr>
              <w:t>sweet</w:t>
            </w:r>
            <w:proofErr w:type="spellEnd"/>
            <w:r w:rsidRPr="002B40F4">
              <w:rPr>
                <w:rFonts w:ascii="Times New Roman" w:hAnsi="Times New Roman" w:cs="Times New Roman"/>
                <w:sz w:val="20"/>
                <w:szCs w:val="20"/>
              </w:rPr>
              <w:t xml:space="preserve"> pepper</w:t>
            </w:r>
          </w:p>
        </w:tc>
        <w:tc>
          <w:tcPr>
            <w:tcW w:w="3397" w:type="dxa"/>
          </w:tcPr>
          <w:p w14:paraId="16DE8600" w14:textId="4E5F6A12" w:rsidR="002B40F4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14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OR-AC-GAN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(Deep learning)</w:t>
            </w:r>
          </w:p>
        </w:tc>
        <w:tc>
          <w:tcPr>
            <w:tcW w:w="1139" w:type="dxa"/>
          </w:tcPr>
          <w:p w14:paraId="71C7636C" w14:textId="3D75205D" w:rsidR="002B40F4" w:rsidRPr="00CF3A70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3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96%</w:t>
            </w:r>
          </w:p>
        </w:tc>
        <w:tc>
          <w:tcPr>
            <w:tcW w:w="2972" w:type="dxa"/>
          </w:tcPr>
          <w:p w14:paraId="093E13A2" w14:textId="37C32C1B" w:rsidR="002B40F4" w:rsidRPr="00CF3A70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3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Wang et al. (2019)</w:t>
            </w:r>
          </w:p>
        </w:tc>
      </w:tr>
      <w:tr w:rsidR="002B40F4" w:rsidRPr="00F653ED" w14:paraId="3C653E43" w14:textId="77777777" w:rsidTr="002B40F4">
        <w:trPr>
          <w:jc w:val="center"/>
        </w:trPr>
        <w:tc>
          <w:tcPr>
            <w:tcW w:w="3828" w:type="dxa"/>
          </w:tcPr>
          <w:p w14:paraId="622ED629" w14:textId="43246808" w:rsidR="002B40F4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 content</w:t>
            </w:r>
          </w:p>
        </w:tc>
        <w:tc>
          <w:tcPr>
            <w:tcW w:w="1701" w:type="dxa"/>
          </w:tcPr>
          <w:p w14:paraId="39DAD4B6" w14:textId="6ABDD79C" w:rsidR="002B40F4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tea </w:t>
            </w:r>
          </w:p>
        </w:tc>
        <w:tc>
          <w:tcPr>
            <w:tcW w:w="3397" w:type="dxa"/>
          </w:tcPr>
          <w:p w14:paraId="3341D506" w14:textId="463726D2" w:rsidR="002B40F4" w:rsidRPr="00CF3A70" w:rsidRDefault="002B40F4" w:rsidP="002B4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A70">
              <w:rPr>
                <w:rFonts w:ascii="Times New Roman" w:hAnsi="Times New Roman" w:cs="Times New Roman"/>
                <w:sz w:val="20"/>
                <w:szCs w:val="20"/>
              </w:rPr>
              <w:t>PLS-DA</w:t>
            </w:r>
          </w:p>
          <w:p w14:paraId="4CD92872" w14:textId="672E0DA5" w:rsidR="002B40F4" w:rsidRPr="00CF3A70" w:rsidRDefault="002B40F4" w:rsidP="002B40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3A70">
              <w:rPr>
                <w:rFonts w:ascii="Times New Roman" w:hAnsi="Times New Roman" w:cs="Times New Roman"/>
                <w:sz w:val="22"/>
                <w:szCs w:val="22"/>
              </w:rPr>
              <w:t>LS-SVM</w:t>
            </w:r>
          </w:p>
          <w:p w14:paraId="1B1F2096" w14:textId="15966897" w:rsidR="002B40F4" w:rsidRPr="00CF3A70" w:rsidRDefault="002B40F4" w:rsidP="002B4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A70">
              <w:rPr>
                <w:rFonts w:ascii="Times New Roman" w:hAnsi="Times New Roman" w:cs="Times New Roman"/>
                <w:sz w:val="20"/>
                <w:szCs w:val="20"/>
              </w:rPr>
              <w:t>PLSR</w:t>
            </w:r>
          </w:p>
        </w:tc>
        <w:tc>
          <w:tcPr>
            <w:tcW w:w="1139" w:type="dxa"/>
          </w:tcPr>
          <w:p w14:paraId="1431E580" w14:textId="11BBF253" w:rsidR="002B40F4" w:rsidRPr="00CF3A70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3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&gt;90%</w:t>
            </w:r>
          </w:p>
        </w:tc>
        <w:tc>
          <w:tcPr>
            <w:tcW w:w="2972" w:type="dxa"/>
          </w:tcPr>
          <w:p w14:paraId="593E0C28" w14:textId="1336C8D4" w:rsidR="002B40F4" w:rsidRPr="00CF3A70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3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Wang et al. (20</w:t>
            </w:r>
            <w:r w:rsidR="00CF3A70" w:rsidRPr="00CF3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CF3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2B40F4" w:rsidRPr="00F653ED" w14:paraId="0097D667" w14:textId="77777777" w:rsidTr="00CF3A70">
        <w:trPr>
          <w:trHeight w:val="463"/>
          <w:jc w:val="center"/>
        </w:trPr>
        <w:tc>
          <w:tcPr>
            <w:tcW w:w="3828" w:type="dxa"/>
          </w:tcPr>
          <w:p w14:paraId="25CB88A3" w14:textId="359BE768" w:rsidR="002B40F4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 content</w:t>
            </w:r>
          </w:p>
        </w:tc>
        <w:tc>
          <w:tcPr>
            <w:tcW w:w="1701" w:type="dxa"/>
          </w:tcPr>
          <w:p w14:paraId="0C45A252" w14:textId="68885734" w:rsidR="002B40F4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apple</w:t>
            </w:r>
          </w:p>
        </w:tc>
        <w:tc>
          <w:tcPr>
            <w:tcW w:w="3397" w:type="dxa"/>
          </w:tcPr>
          <w:p w14:paraId="36EAC933" w14:textId="3B845313" w:rsidR="002B40F4" w:rsidRPr="00CF3A70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3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PLSR</w:t>
            </w:r>
          </w:p>
          <w:p w14:paraId="6670D3BE" w14:textId="22DAB5FC" w:rsidR="002B40F4" w:rsidRPr="00CF3A70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3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MLR</w:t>
            </w:r>
          </w:p>
        </w:tc>
        <w:tc>
          <w:tcPr>
            <w:tcW w:w="1139" w:type="dxa"/>
          </w:tcPr>
          <w:p w14:paraId="11780375" w14:textId="5CA25897" w:rsidR="002B40F4" w:rsidRPr="00CF3A70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3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77-78%</w:t>
            </w:r>
          </w:p>
        </w:tc>
        <w:tc>
          <w:tcPr>
            <w:tcW w:w="2972" w:type="dxa"/>
          </w:tcPr>
          <w:p w14:paraId="44295467" w14:textId="5628925D" w:rsidR="002B40F4" w:rsidRPr="00CF3A70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3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 et al. (2019)</w:t>
            </w:r>
          </w:p>
        </w:tc>
      </w:tr>
      <w:tr w:rsidR="002B40F4" w:rsidRPr="00F653ED" w14:paraId="6804D7AB" w14:textId="77777777" w:rsidTr="002B40F4">
        <w:trPr>
          <w:jc w:val="center"/>
        </w:trPr>
        <w:tc>
          <w:tcPr>
            <w:tcW w:w="3828" w:type="dxa"/>
          </w:tcPr>
          <w:p w14:paraId="36396D05" w14:textId="7EAC6797" w:rsidR="002B40F4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2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shikimic acid concentration</w:t>
            </w:r>
          </w:p>
        </w:tc>
        <w:tc>
          <w:tcPr>
            <w:tcW w:w="1701" w:type="dxa"/>
          </w:tcPr>
          <w:p w14:paraId="54182877" w14:textId="669210F5" w:rsidR="002B40F4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transgenic maize</w:t>
            </w:r>
          </w:p>
        </w:tc>
        <w:tc>
          <w:tcPr>
            <w:tcW w:w="3397" w:type="dxa"/>
          </w:tcPr>
          <w:p w14:paraId="3DD53A4B" w14:textId="0257CD43" w:rsidR="002B40F4" w:rsidRPr="00CF3A70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3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PLSR</w:t>
            </w:r>
          </w:p>
        </w:tc>
        <w:tc>
          <w:tcPr>
            <w:tcW w:w="1139" w:type="dxa"/>
          </w:tcPr>
          <w:p w14:paraId="382A19A7" w14:textId="240C8325" w:rsidR="002B40F4" w:rsidRPr="00CF3A70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3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82%</w:t>
            </w:r>
          </w:p>
        </w:tc>
        <w:tc>
          <w:tcPr>
            <w:tcW w:w="2972" w:type="dxa"/>
          </w:tcPr>
          <w:p w14:paraId="4226DD4E" w14:textId="6E2F247B" w:rsidR="002B40F4" w:rsidRPr="00CF3A70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3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Feng et al. (2018)</w:t>
            </w:r>
          </w:p>
        </w:tc>
      </w:tr>
      <w:tr w:rsidR="002B40F4" w:rsidRPr="00F653ED" w14:paraId="4DCE79B7" w14:textId="77777777" w:rsidTr="002B40F4">
        <w:trPr>
          <w:jc w:val="center"/>
        </w:trPr>
        <w:tc>
          <w:tcPr>
            <w:tcW w:w="3828" w:type="dxa"/>
          </w:tcPr>
          <w:p w14:paraId="7B6294B2" w14:textId="7344142D" w:rsidR="002B40F4" w:rsidRPr="00DA1211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Cadmium content (model)</w:t>
            </w:r>
          </w:p>
        </w:tc>
        <w:tc>
          <w:tcPr>
            <w:tcW w:w="1701" w:type="dxa"/>
          </w:tcPr>
          <w:p w14:paraId="0FEF7524" w14:textId="3805996B" w:rsidR="002B40F4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tomato</w:t>
            </w:r>
          </w:p>
        </w:tc>
        <w:tc>
          <w:tcPr>
            <w:tcW w:w="3397" w:type="dxa"/>
          </w:tcPr>
          <w:p w14:paraId="706D9EF2" w14:textId="63294207" w:rsidR="002B40F4" w:rsidRPr="00E01186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WT-LSSVR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(Deep learning)</w:t>
            </w:r>
          </w:p>
        </w:tc>
        <w:tc>
          <w:tcPr>
            <w:tcW w:w="1139" w:type="dxa"/>
          </w:tcPr>
          <w:p w14:paraId="3877A4F2" w14:textId="0E2CD362" w:rsidR="002B40F4" w:rsidRPr="00CF3A70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3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</w:t>
            </w:r>
          </w:p>
        </w:tc>
        <w:tc>
          <w:tcPr>
            <w:tcW w:w="2972" w:type="dxa"/>
          </w:tcPr>
          <w:p w14:paraId="60FFBBA4" w14:textId="63B8586C" w:rsidR="002B40F4" w:rsidRPr="00CF3A70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3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Jun et al. (2018)</w:t>
            </w:r>
          </w:p>
        </w:tc>
      </w:tr>
      <w:tr w:rsidR="002B40F4" w:rsidRPr="00F653ED" w14:paraId="6751450B" w14:textId="77777777" w:rsidTr="002B40F4">
        <w:trPr>
          <w:jc w:val="center"/>
        </w:trPr>
        <w:tc>
          <w:tcPr>
            <w:tcW w:w="3828" w:type="dxa"/>
          </w:tcPr>
          <w:p w14:paraId="34597B17" w14:textId="7F2F7E33" w:rsidR="002B40F4" w:rsidRPr="00DA1211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Lead concentration (model)</w:t>
            </w:r>
          </w:p>
        </w:tc>
        <w:tc>
          <w:tcPr>
            <w:tcW w:w="1701" w:type="dxa"/>
          </w:tcPr>
          <w:p w14:paraId="67D3E41E" w14:textId="6F36B3D7" w:rsidR="002B40F4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lettuce</w:t>
            </w:r>
          </w:p>
        </w:tc>
        <w:tc>
          <w:tcPr>
            <w:tcW w:w="3397" w:type="dxa"/>
          </w:tcPr>
          <w:p w14:paraId="46E3322B" w14:textId="613D3933" w:rsidR="002B40F4" w:rsidRPr="00E01186" w:rsidRDefault="002B40F4" w:rsidP="002B40F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0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WT-SAE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(Deep learning)</w:t>
            </w:r>
          </w:p>
        </w:tc>
        <w:tc>
          <w:tcPr>
            <w:tcW w:w="1139" w:type="dxa"/>
          </w:tcPr>
          <w:p w14:paraId="150886EC" w14:textId="70D5D81E" w:rsidR="002B40F4" w:rsidRPr="00CF3A70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3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</w:t>
            </w:r>
          </w:p>
        </w:tc>
        <w:tc>
          <w:tcPr>
            <w:tcW w:w="2972" w:type="dxa"/>
          </w:tcPr>
          <w:p w14:paraId="032CC369" w14:textId="6F585556" w:rsidR="002B40F4" w:rsidRPr="00CF3A70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3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Zhou et al. (20</w:t>
            </w:r>
            <w:r w:rsidR="00BC00B8" w:rsidRPr="00CF3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CF3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2B40F4" w:rsidRPr="00F653ED" w14:paraId="37498AC0" w14:textId="77777777" w:rsidTr="002B40F4">
        <w:trPr>
          <w:jc w:val="center"/>
        </w:trPr>
        <w:tc>
          <w:tcPr>
            <w:tcW w:w="3828" w:type="dxa"/>
            <w:tcBorders>
              <w:bottom w:val="single" w:sz="4" w:space="0" w:color="auto"/>
            </w:tcBorders>
          </w:tcPr>
          <w:p w14:paraId="07AE0AAA" w14:textId="30B4B539" w:rsidR="002B40F4" w:rsidRPr="00DA1211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Dicamba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ADBD7C7" w14:textId="0DD8305B" w:rsidR="002B40F4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soybean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1EF1B3BA" w14:textId="2913187F" w:rsidR="002B40F4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RF (Deep learning)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3988B685" w14:textId="66FB2D46" w:rsidR="002B40F4" w:rsidRPr="00CF3A70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3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</w:t>
            </w: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14:paraId="4CCEDEE3" w14:textId="4FBC9DC3" w:rsidR="002B40F4" w:rsidRPr="00CF3A70" w:rsidRDefault="002B40F4" w:rsidP="002B4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3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Zhang et al. (2019)</w:t>
            </w:r>
          </w:p>
        </w:tc>
      </w:tr>
      <w:tr w:rsidR="002B40F4" w:rsidRPr="00491258" w14:paraId="2FE8FE76" w14:textId="77777777" w:rsidTr="005B5AA4">
        <w:trPr>
          <w:jc w:val="center"/>
        </w:trPr>
        <w:tc>
          <w:tcPr>
            <w:tcW w:w="13037" w:type="dxa"/>
            <w:gridSpan w:val="5"/>
            <w:tcBorders>
              <w:top w:val="single" w:sz="4" w:space="0" w:color="auto"/>
            </w:tcBorders>
          </w:tcPr>
          <w:p w14:paraId="44A603B5" w14:textId="7798A28A" w:rsidR="002B40F4" w:rsidRDefault="002B40F4" w:rsidP="002B40F4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</w:pPr>
            <w:r w:rsidRPr="002B40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BPNN, back propagation neural network; CARS, competitive adaptive reweighted sampling; FNN fully-connected  neural  network; KNN, K nearest neighbor; LDA, linear discriminant analysis; LS-SVM, least squares-support vector machines; MLR, multiple linear regression; OR-AC-GAN outlier removal auxiliary classifier generative adversarial nets; PCA, principal component analysis; PLS-DA partial least squares-discriminant analysis; PLS-SVM, partial least squares-support vector machine; PLSR, partial least-squares regression model; RBF, radial basis function; RF random forest; </w:t>
            </w:r>
            <w:proofErr w:type="spellStart"/>
            <w:r w:rsidRPr="002B40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SiVM</w:t>
            </w:r>
            <w:proofErr w:type="spellEnd"/>
            <w:r w:rsidRPr="002B40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simplex volume maximization; SLDA, stepwise linear discriminant analysis; SRIs, spectrum reflectance indices; SVM, support vector machine; WT-LSSVR wavelet transform and least-square support vector machine regression; WT-SAE wave-let transform and stacked auto-encoders.</w:t>
            </w:r>
          </w:p>
        </w:tc>
      </w:tr>
    </w:tbl>
    <w:p w14:paraId="5211F82C" w14:textId="77777777" w:rsidR="00D247AF" w:rsidRPr="007C336A" w:rsidRDefault="00D247AF" w:rsidP="00D247AF">
      <w:pPr>
        <w:rPr>
          <w:lang w:val="en-US"/>
        </w:rPr>
      </w:pPr>
    </w:p>
    <w:p w14:paraId="166A8C99" w14:textId="77777777" w:rsidR="00D247AF" w:rsidRDefault="00D247AF" w:rsidP="00D247AF">
      <w:p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  <w:sectPr w:rsidR="00D247AF" w:rsidSect="00AF7828">
          <w:pgSz w:w="16840" w:h="11900" w:orient="landscape"/>
          <w:pgMar w:top="1134" w:right="1417" w:bottom="1134" w:left="1134" w:header="708" w:footer="708" w:gutter="0"/>
          <w:cols w:space="708"/>
          <w:docGrid w:linePitch="360"/>
        </w:sectPr>
      </w:pPr>
    </w:p>
    <w:p w14:paraId="10A0908B" w14:textId="77777777" w:rsidR="00D247AF" w:rsidRPr="008724AF" w:rsidRDefault="00D247AF" w:rsidP="00D247AF">
      <w:pPr>
        <w:jc w:val="both"/>
        <w:rPr>
          <w:rFonts w:ascii="Times New Roman" w:hAnsi="Times New Roman" w:cs="Times New Roman"/>
          <w:b/>
          <w:i/>
          <w:lang w:val="en-US"/>
        </w:rPr>
      </w:pPr>
      <w:r w:rsidRPr="008724AF">
        <w:rPr>
          <w:rFonts w:ascii="Times New Roman" w:hAnsi="Times New Roman" w:cs="Times New Roman"/>
          <w:b/>
          <w:i/>
          <w:lang w:val="en-US"/>
        </w:rPr>
        <w:lastRenderedPageBreak/>
        <w:t xml:space="preserve">References Table </w:t>
      </w:r>
      <w:r>
        <w:rPr>
          <w:rFonts w:ascii="Times New Roman" w:hAnsi="Times New Roman" w:cs="Times New Roman"/>
          <w:b/>
          <w:i/>
          <w:lang w:val="en-US"/>
        </w:rPr>
        <w:t>X</w:t>
      </w:r>
    </w:p>
    <w:p w14:paraId="7AD5D87E" w14:textId="77777777" w:rsidR="00D247AF" w:rsidRDefault="00D247AF" w:rsidP="00D247AF">
      <w:pPr>
        <w:spacing w:before="240"/>
        <w:jc w:val="both"/>
        <w:rPr>
          <w:rFonts w:ascii="Times New Roman" w:hAnsi="Times New Roman" w:cs="Times New Roman"/>
          <w:lang w:val="en-US"/>
        </w:rPr>
      </w:pPr>
      <w:r w:rsidRPr="00E22AF2">
        <w:rPr>
          <w:rFonts w:ascii="Times New Roman" w:hAnsi="Times New Roman" w:cs="Times New Roman"/>
          <w:lang w:val="en-US"/>
        </w:rPr>
        <w:t>Ashourloo, D., Mobasheri, M., &amp; Huete, A. (2014). Developing two spectral disease indices for detection of wheat leaf rust (Pucciniatriticina). Remote Sensing, 6(6), 4723-4740.</w:t>
      </w:r>
    </w:p>
    <w:p w14:paraId="78DF5C38" w14:textId="77777777" w:rsidR="00D247AF" w:rsidRDefault="00D247AF" w:rsidP="00D247AF">
      <w:pPr>
        <w:spacing w:before="240"/>
        <w:jc w:val="both"/>
        <w:rPr>
          <w:rFonts w:ascii="Times New Roman" w:hAnsi="Times New Roman" w:cs="Times New Roman"/>
          <w:lang w:val="en-US"/>
        </w:rPr>
      </w:pPr>
      <w:r w:rsidRPr="00775F0D">
        <w:rPr>
          <w:rFonts w:ascii="Times New Roman" w:hAnsi="Times New Roman" w:cs="Times New Roman"/>
          <w:lang w:val="en-US"/>
        </w:rPr>
        <w:t xml:space="preserve">Blackburn, G. A. (1998). Quantifying chlorophylls and </w:t>
      </w:r>
      <w:proofErr w:type="spellStart"/>
      <w:r w:rsidRPr="00775F0D">
        <w:rPr>
          <w:rFonts w:ascii="Times New Roman" w:hAnsi="Times New Roman" w:cs="Times New Roman"/>
          <w:lang w:val="en-US"/>
        </w:rPr>
        <w:t>caroteniods</w:t>
      </w:r>
      <w:proofErr w:type="spellEnd"/>
      <w:r w:rsidRPr="00775F0D">
        <w:rPr>
          <w:rFonts w:ascii="Times New Roman" w:hAnsi="Times New Roman" w:cs="Times New Roman"/>
          <w:lang w:val="en-US"/>
        </w:rPr>
        <w:t xml:space="preserve"> at leaf and canopy scales: An evaluation of some hyperspectral approaches. Remote sensing of environment, 66(3), 273-285.</w:t>
      </w:r>
    </w:p>
    <w:p w14:paraId="2BE1D9B0" w14:textId="77777777" w:rsidR="00D247AF" w:rsidRDefault="00D247AF" w:rsidP="00D247AF">
      <w:pPr>
        <w:spacing w:before="240"/>
        <w:jc w:val="both"/>
        <w:rPr>
          <w:rFonts w:ascii="Times New Roman" w:hAnsi="Times New Roman" w:cs="Times New Roman"/>
          <w:lang w:val="en-US"/>
        </w:rPr>
      </w:pPr>
      <w:r w:rsidRPr="003635F9">
        <w:rPr>
          <w:rFonts w:ascii="Times New Roman" w:hAnsi="Times New Roman" w:cs="Times New Roman"/>
          <w:lang w:val="en-US"/>
        </w:rPr>
        <w:t xml:space="preserve">Carter, G. A. (1994). Ratios of leaf reflectances in narrow wavebands as indicators of plant stress. Remote sensing, 15(3), 697-703. </w:t>
      </w:r>
    </w:p>
    <w:p w14:paraId="12690CD5" w14:textId="77777777" w:rsidR="00D247AF" w:rsidRDefault="00D247AF" w:rsidP="00D247AF">
      <w:pPr>
        <w:spacing w:before="2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</w:t>
      </w:r>
      <w:r w:rsidRPr="00B91B6B">
        <w:rPr>
          <w:rFonts w:ascii="Times New Roman" w:hAnsi="Times New Roman" w:cs="Times New Roman"/>
          <w:lang w:val="en-US"/>
        </w:rPr>
        <w:t>hen, T., Zhang, J., Chen, Y., Wan, S., &amp; Zhang, L. (2019). Detection of peanut leaf spots disease using canopy hyperspectral reflectance. Computers and electronics in agriculture, 156, 677-683.</w:t>
      </w:r>
    </w:p>
    <w:p w14:paraId="631DFD53" w14:textId="77777777" w:rsidR="00D247AF" w:rsidRDefault="00D247AF" w:rsidP="00D247AF">
      <w:pPr>
        <w:spacing w:before="240"/>
        <w:jc w:val="both"/>
        <w:rPr>
          <w:rFonts w:ascii="Times New Roman" w:hAnsi="Times New Roman" w:cs="Times New Roman"/>
          <w:lang w:val="en-US"/>
        </w:rPr>
      </w:pPr>
      <w:r w:rsidRPr="009B051C">
        <w:rPr>
          <w:rFonts w:ascii="Times New Roman" w:hAnsi="Times New Roman" w:cs="Times New Roman"/>
          <w:lang w:val="en-US"/>
        </w:rPr>
        <w:t xml:space="preserve">Daughtry, C. S. T., Walthall, C. L., Kim, M. S., De Colstoun, E. B., &amp; McMurtrey Iii, J. E. (2000). Estimating corn leaf chlorophyll concentration from leaf and canopy reflectance. Remote sensing of Environment, 74(2), 229-239. </w:t>
      </w:r>
    </w:p>
    <w:p w14:paraId="108C50F7" w14:textId="77777777" w:rsidR="00D247AF" w:rsidRDefault="00D247AF" w:rsidP="00D247AF">
      <w:pPr>
        <w:spacing w:before="240"/>
        <w:jc w:val="both"/>
        <w:rPr>
          <w:rFonts w:ascii="Times New Roman" w:hAnsi="Times New Roman" w:cs="Times New Roman"/>
          <w:lang w:val="en-US"/>
        </w:rPr>
      </w:pPr>
      <w:r w:rsidRPr="009B051C">
        <w:rPr>
          <w:rFonts w:ascii="Times New Roman" w:hAnsi="Times New Roman" w:cs="Times New Roman"/>
          <w:lang w:val="en-US"/>
        </w:rPr>
        <w:t>Gamon, J. A., Penuelas, J., &amp; Field, C. B. (1992). A narrow-waveband spectral index that tracks diurnal changes in photosynthetic efficiency. Remote Sensing of environment, 41(1), 35-44.</w:t>
      </w:r>
    </w:p>
    <w:p w14:paraId="720AD836" w14:textId="77777777" w:rsidR="00D247AF" w:rsidRDefault="00D247AF" w:rsidP="00D247AF">
      <w:pPr>
        <w:spacing w:before="240"/>
        <w:jc w:val="both"/>
        <w:rPr>
          <w:rFonts w:ascii="Times New Roman" w:hAnsi="Times New Roman" w:cs="Times New Roman"/>
          <w:lang w:val="en-US"/>
        </w:rPr>
      </w:pPr>
      <w:r w:rsidRPr="009171F6">
        <w:rPr>
          <w:rFonts w:ascii="Times New Roman" w:hAnsi="Times New Roman" w:cs="Times New Roman"/>
          <w:lang w:val="en-US"/>
        </w:rPr>
        <w:t>Gao, B. C. (1996). NDWI</w:t>
      </w:r>
      <w:r>
        <w:rPr>
          <w:rFonts w:ascii="Times New Roman" w:hAnsi="Times New Roman" w:cs="Times New Roman"/>
          <w:lang w:val="en-US"/>
        </w:rPr>
        <w:t>-</w:t>
      </w:r>
      <w:r w:rsidRPr="009171F6">
        <w:rPr>
          <w:rFonts w:ascii="Times New Roman" w:hAnsi="Times New Roman" w:cs="Times New Roman"/>
          <w:lang w:val="en-US"/>
        </w:rPr>
        <w:t>A normalized difference water index for remote sensing of vegetation liquid water from space. Remote sensing of environment, 58(3), 257-266.</w:t>
      </w:r>
    </w:p>
    <w:p w14:paraId="25159092" w14:textId="77777777" w:rsidR="00D247AF" w:rsidRDefault="00D247AF" w:rsidP="00D247AF">
      <w:pPr>
        <w:spacing w:before="240"/>
        <w:jc w:val="both"/>
        <w:rPr>
          <w:rFonts w:ascii="Times New Roman" w:hAnsi="Times New Roman" w:cs="Times New Roman"/>
          <w:lang w:val="en-US"/>
        </w:rPr>
      </w:pPr>
      <w:r w:rsidRPr="00B91B6B">
        <w:rPr>
          <w:rFonts w:ascii="Times New Roman" w:hAnsi="Times New Roman" w:cs="Times New Roman"/>
          <w:lang w:val="en-US"/>
        </w:rPr>
        <w:t>Gitelson, A. A., Kaufman, Y. J., &amp; Merzlyak, M. N. (1996). Use of a green channel in remote sensing of global vegetation from EOS-MODIS. Remote sensing of Environment, 58(3), 289-298.</w:t>
      </w:r>
    </w:p>
    <w:p w14:paraId="4757FBBE" w14:textId="77777777" w:rsidR="00D247AF" w:rsidRDefault="00D247AF" w:rsidP="00D247AF">
      <w:pPr>
        <w:spacing w:before="240"/>
        <w:jc w:val="both"/>
        <w:rPr>
          <w:rFonts w:ascii="Times New Roman" w:hAnsi="Times New Roman" w:cs="Times New Roman"/>
          <w:lang w:val="en-US"/>
        </w:rPr>
      </w:pPr>
      <w:r w:rsidRPr="00670B77">
        <w:rPr>
          <w:rFonts w:ascii="Times New Roman" w:hAnsi="Times New Roman" w:cs="Times New Roman"/>
          <w:lang w:val="en-US"/>
        </w:rPr>
        <w:t>Gitelson, A. A., &amp; Merzlyak, M. N. (199</w:t>
      </w:r>
      <w:r>
        <w:rPr>
          <w:rFonts w:ascii="Times New Roman" w:hAnsi="Times New Roman" w:cs="Times New Roman"/>
          <w:lang w:val="en-US"/>
        </w:rPr>
        <w:t>7</w:t>
      </w:r>
      <w:r w:rsidRPr="00670B77">
        <w:rPr>
          <w:rFonts w:ascii="Times New Roman" w:hAnsi="Times New Roman" w:cs="Times New Roman"/>
          <w:lang w:val="en-US"/>
        </w:rPr>
        <w:t xml:space="preserve">). Signature analysis of leaf reflectance spectra: algorithm development for remote sensing of chlorophyll. </w:t>
      </w:r>
      <w:r>
        <w:rPr>
          <w:rFonts w:ascii="Times New Roman" w:hAnsi="Times New Roman" w:cs="Times New Roman"/>
          <w:lang w:val="en-US"/>
        </w:rPr>
        <w:t>International Journal of Remote Sensing</w:t>
      </w:r>
      <w:r w:rsidRPr="00670B77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18</w:t>
      </w:r>
      <w:r w:rsidRPr="00670B77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2691</w:t>
      </w:r>
      <w:r w:rsidRPr="00670B77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>2697</w:t>
      </w:r>
      <w:r w:rsidRPr="00670B77">
        <w:rPr>
          <w:rFonts w:ascii="Times New Roman" w:hAnsi="Times New Roman" w:cs="Times New Roman"/>
          <w:lang w:val="en-US"/>
        </w:rPr>
        <w:t>.</w:t>
      </w:r>
    </w:p>
    <w:p w14:paraId="15618589" w14:textId="77777777" w:rsidR="00D247AF" w:rsidRDefault="00D247AF" w:rsidP="00D247AF">
      <w:pPr>
        <w:spacing w:before="240"/>
        <w:jc w:val="both"/>
        <w:rPr>
          <w:rFonts w:ascii="Times New Roman" w:hAnsi="Times New Roman" w:cs="Times New Roman"/>
          <w:lang w:val="en-US"/>
        </w:rPr>
      </w:pPr>
      <w:r w:rsidRPr="00B91B6B">
        <w:rPr>
          <w:rFonts w:ascii="Times New Roman" w:hAnsi="Times New Roman" w:cs="Times New Roman"/>
          <w:lang w:val="en-US"/>
        </w:rPr>
        <w:t>Gitelson, A. A., Gritz, Y., &amp; Merzlyak, M. N. (2003). Relationships between leaf chlorophyll content and spectral reflectance and algorithms for non-destructive chlorophyll assessment in higher plant leaves. Journal of plant physiology, 160(3), 271-282.</w:t>
      </w:r>
    </w:p>
    <w:p w14:paraId="594CA69E" w14:textId="77777777" w:rsidR="00D247AF" w:rsidRDefault="00D247AF" w:rsidP="00D247AF">
      <w:pPr>
        <w:spacing w:before="240"/>
        <w:jc w:val="both"/>
        <w:rPr>
          <w:rFonts w:ascii="Times New Roman" w:hAnsi="Times New Roman" w:cs="Times New Roman"/>
          <w:lang w:val="en-US"/>
        </w:rPr>
      </w:pPr>
      <w:r w:rsidRPr="008724AF">
        <w:rPr>
          <w:rFonts w:ascii="Times New Roman" w:hAnsi="Times New Roman" w:cs="Times New Roman"/>
          <w:lang w:val="en-US"/>
        </w:rPr>
        <w:t xml:space="preserve">Haboudane, D., Miller, J. R., Tremblay, N., Zarco-Tejada, P. J., &amp; Dextraze, L. (2002). </w:t>
      </w:r>
      <w:r w:rsidRPr="009B051C">
        <w:rPr>
          <w:rFonts w:ascii="Times New Roman" w:hAnsi="Times New Roman" w:cs="Times New Roman"/>
          <w:lang w:val="en-US"/>
        </w:rPr>
        <w:t>Integrated narrow-band vegetation indices for prediction of crop chlorophyll content for application to precision agriculture. Remote sensing of environment, 81(2-3), 416-426.</w:t>
      </w:r>
    </w:p>
    <w:p w14:paraId="6CA0F109" w14:textId="77777777" w:rsidR="00D247AF" w:rsidRDefault="00D247AF" w:rsidP="00D247AF">
      <w:pPr>
        <w:spacing w:before="240"/>
        <w:jc w:val="both"/>
        <w:rPr>
          <w:rFonts w:ascii="Times New Roman" w:hAnsi="Times New Roman" w:cs="Times New Roman"/>
          <w:lang w:val="en-US"/>
        </w:rPr>
      </w:pPr>
      <w:r w:rsidRPr="009B051C">
        <w:rPr>
          <w:rFonts w:ascii="Times New Roman" w:hAnsi="Times New Roman" w:cs="Times New Roman"/>
          <w:lang w:val="en-US"/>
        </w:rPr>
        <w:t>Lichtenthaler, H. K., Lang, M., Sowinska, M., Heisel, F., &amp; Miehe, J. A. (1996). Detection of vegetation stress via a new high</w:t>
      </w:r>
      <w:r>
        <w:rPr>
          <w:rFonts w:ascii="Times New Roman" w:hAnsi="Times New Roman" w:cs="Times New Roman"/>
          <w:lang w:val="en-US"/>
        </w:rPr>
        <w:t>-resolution</w:t>
      </w:r>
      <w:r w:rsidRPr="009B051C">
        <w:rPr>
          <w:rFonts w:ascii="Times New Roman" w:hAnsi="Times New Roman" w:cs="Times New Roman"/>
          <w:lang w:val="en-US"/>
        </w:rPr>
        <w:t xml:space="preserve"> fluorescence imaging system. Journal of plant physiology, 148(5), 599-612.</w:t>
      </w:r>
    </w:p>
    <w:p w14:paraId="754BC6D9" w14:textId="77777777" w:rsidR="00D247AF" w:rsidRDefault="00D247AF" w:rsidP="00D247AF">
      <w:pPr>
        <w:spacing w:before="240"/>
        <w:jc w:val="both"/>
        <w:rPr>
          <w:rFonts w:ascii="Times New Roman" w:hAnsi="Times New Roman" w:cs="Times New Roman"/>
          <w:lang w:val="en-US"/>
        </w:rPr>
      </w:pPr>
      <w:r w:rsidRPr="0037279E">
        <w:rPr>
          <w:rFonts w:ascii="Times New Roman" w:hAnsi="Times New Roman" w:cs="Times New Roman"/>
          <w:lang w:val="en-US"/>
        </w:rPr>
        <w:t>Mahlein, A. K., Rumpf, T., Welke, P., Dehne, H. W., Plümer, L., Steiner, U., &amp; Oerke, E. C. (2013). Development of spectral indices for detecting and identifying plant diseases. Remote Sensing of Environment, 128, 21-30.</w:t>
      </w:r>
    </w:p>
    <w:p w14:paraId="77187847" w14:textId="77777777" w:rsidR="00D247AF" w:rsidRDefault="00D247AF" w:rsidP="00D247AF">
      <w:pPr>
        <w:spacing w:before="240"/>
        <w:jc w:val="both"/>
        <w:rPr>
          <w:rFonts w:ascii="Times New Roman" w:hAnsi="Times New Roman" w:cs="Times New Roman"/>
          <w:lang w:val="en-US"/>
        </w:rPr>
      </w:pPr>
      <w:r w:rsidRPr="00B91B6B">
        <w:rPr>
          <w:rFonts w:ascii="Times New Roman" w:hAnsi="Times New Roman" w:cs="Times New Roman"/>
          <w:lang w:val="en-US"/>
        </w:rPr>
        <w:t>Main, R., Cho, M. A., Mathieu, R., O’Kennedy, M. M., Ramoelo, A., &amp; Koch, S. (2011). An investigation into robust spectral indices for leaf chlorophyll estimation. ISPRS Journal of Photogrammetry and Remote Sensing, 66(6), 751-761.</w:t>
      </w:r>
    </w:p>
    <w:p w14:paraId="00CB28F8" w14:textId="77777777" w:rsidR="00D247AF" w:rsidRDefault="00D247AF" w:rsidP="00D247AF">
      <w:pPr>
        <w:spacing w:before="240"/>
        <w:jc w:val="both"/>
        <w:rPr>
          <w:rFonts w:ascii="Times New Roman" w:hAnsi="Times New Roman" w:cs="Times New Roman"/>
          <w:lang w:val="en-US"/>
        </w:rPr>
      </w:pPr>
      <w:r w:rsidRPr="00ED0A2B">
        <w:rPr>
          <w:rFonts w:ascii="Times New Roman" w:hAnsi="Times New Roman" w:cs="Times New Roman"/>
          <w:lang w:val="en-US"/>
        </w:rPr>
        <w:lastRenderedPageBreak/>
        <w:t>Merzlyak, M. N., Gitelson, A. A., Chivkunova, O. B., &amp; Rakitin, V. Y. (1999). Non</w:t>
      </w:r>
      <w:r w:rsidRPr="00ED0A2B">
        <w:rPr>
          <w:rFonts w:ascii="Cambria Math" w:hAnsi="Cambria Math" w:cs="Cambria Math"/>
          <w:lang w:val="en-US"/>
        </w:rPr>
        <w:t>‐</w:t>
      </w:r>
      <w:r w:rsidRPr="00ED0A2B">
        <w:rPr>
          <w:rFonts w:ascii="Times New Roman" w:hAnsi="Times New Roman" w:cs="Times New Roman"/>
          <w:lang w:val="en-US"/>
        </w:rPr>
        <w:t>destructive optical detection of pigment changes during leaf senescence and fruit ripening. Physiologia plantarum, 106(1), 135-141.</w:t>
      </w:r>
    </w:p>
    <w:p w14:paraId="0CEF583C" w14:textId="77777777" w:rsidR="00D247AF" w:rsidRPr="008724AF" w:rsidRDefault="00D247AF" w:rsidP="00D247AF">
      <w:pPr>
        <w:spacing w:before="240"/>
        <w:jc w:val="both"/>
        <w:rPr>
          <w:rFonts w:ascii="Times New Roman" w:hAnsi="Times New Roman" w:cs="Times New Roman"/>
          <w:lang w:val="en-US"/>
        </w:rPr>
      </w:pPr>
      <w:r w:rsidRPr="003F7B9D">
        <w:rPr>
          <w:rFonts w:ascii="Times New Roman" w:hAnsi="Times New Roman" w:cs="Times New Roman"/>
          <w:lang w:val="en-US"/>
        </w:rPr>
        <w:t>Pe</w:t>
      </w:r>
      <w:r>
        <w:rPr>
          <w:rFonts w:ascii="Times New Roman" w:hAnsi="Times New Roman" w:cs="Times New Roman"/>
          <w:lang w:val="en-US"/>
        </w:rPr>
        <w:t>ñ</w:t>
      </w:r>
      <w:r w:rsidRPr="003F7B9D">
        <w:rPr>
          <w:rFonts w:ascii="Times New Roman" w:hAnsi="Times New Roman" w:cs="Times New Roman"/>
          <w:lang w:val="en-US"/>
        </w:rPr>
        <w:t>uelas, J., Filella, I., &amp; Gamon, J. A. (1995a). Assessment of photosynthetic radiation</w:t>
      </w:r>
      <w:r w:rsidRPr="003F7B9D">
        <w:rPr>
          <w:rFonts w:ascii="Cambria Math" w:hAnsi="Cambria Math" w:cs="Cambria Math"/>
          <w:lang w:val="en-US"/>
        </w:rPr>
        <w:t>‐</w:t>
      </w:r>
      <w:r w:rsidRPr="003F7B9D">
        <w:rPr>
          <w:rFonts w:ascii="Times New Roman" w:hAnsi="Times New Roman" w:cs="Times New Roman"/>
          <w:lang w:val="en-US"/>
        </w:rPr>
        <w:t xml:space="preserve">use efficiency with spectral reflectance. </w:t>
      </w:r>
      <w:r w:rsidRPr="008724AF">
        <w:rPr>
          <w:rFonts w:ascii="Times New Roman" w:hAnsi="Times New Roman" w:cs="Times New Roman"/>
          <w:lang w:val="en-US"/>
        </w:rPr>
        <w:t>New Phytologist, 131(3), 291-296.</w:t>
      </w:r>
    </w:p>
    <w:p w14:paraId="5518BABB" w14:textId="77777777" w:rsidR="00D247AF" w:rsidRPr="008724AF" w:rsidRDefault="00D247AF" w:rsidP="00D247AF">
      <w:pPr>
        <w:spacing w:before="240"/>
        <w:jc w:val="both"/>
        <w:rPr>
          <w:rFonts w:ascii="Times New Roman" w:hAnsi="Times New Roman" w:cs="Times New Roman"/>
          <w:lang w:val="en-US"/>
        </w:rPr>
      </w:pPr>
      <w:r w:rsidRPr="003F7B9D">
        <w:rPr>
          <w:rFonts w:ascii="Times New Roman" w:hAnsi="Times New Roman" w:cs="Times New Roman"/>
          <w:lang w:val="en-US"/>
        </w:rPr>
        <w:t>Pe</w:t>
      </w:r>
      <w:r>
        <w:rPr>
          <w:rFonts w:ascii="Times New Roman" w:hAnsi="Times New Roman" w:cs="Times New Roman"/>
          <w:lang w:val="en-US"/>
        </w:rPr>
        <w:t>ñ</w:t>
      </w:r>
      <w:r w:rsidRPr="003F7B9D">
        <w:rPr>
          <w:rFonts w:ascii="Times New Roman" w:hAnsi="Times New Roman" w:cs="Times New Roman"/>
          <w:lang w:val="en-US"/>
        </w:rPr>
        <w:t>uelas, J., Baret, F., &amp; Filella, I. (1995</w:t>
      </w:r>
      <w:r>
        <w:rPr>
          <w:rFonts w:ascii="Times New Roman" w:hAnsi="Times New Roman" w:cs="Times New Roman"/>
          <w:lang w:val="en-US"/>
        </w:rPr>
        <w:t>b</w:t>
      </w:r>
      <w:r w:rsidRPr="003F7B9D">
        <w:rPr>
          <w:rFonts w:ascii="Times New Roman" w:hAnsi="Times New Roman" w:cs="Times New Roman"/>
          <w:lang w:val="en-US"/>
        </w:rPr>
        <w:t xml:space="preserve">). Semi-empirical indices to assess carotenoids/chlorophyll a ratio from leaf spectral reflectance. </w:t>
      </w:r>
      <w:r w:rsidRPr="008724AF">
        <w:rPr>
          <w:rFonts w:ascii="Times New Roman" w:hAnsi="Times New Roman" w:cs="Times New Roman"/>
          <w:lang w:val="en-US"/>
        </w:rPr>
        <w:t>Photosynthetica, 31(2), 221-230.</w:t>
      </w:r>
    </w:p>
    <w:p w14:paraId="30C08179" w14:textId="77777777" w:rsidR="00D247AF" w:rsidRPr="00BF19B0" w:rsidRDefault="00D247AF" w:rsidP="00D247AF">
      <w:pPr>
        <w:spacing w:before="240"/>
        <w:jc w:val="both"/>
        <w:rPr>
          <w:rFonts w:ascii="Times New Roman" w:hAnsi="Times New Roman" w:cs="Times New Roman"/>
          <w:lang w:val="en-US"/>
        </w:rPr>
      </w:pPr>
      <w:r w:rsidRPr="003F7B9D">
        <w:rPr>
          <w:rFonts w:ascii="Times New Roman" w:hAnsi="Times New Roman" w:cs="Times New Roman"/>
          <w:lang w:val="en-US"/>
        </w:rPr>
        <w:t>Pe</w:t>
      </w:r>
      <w:r>
        <w:rPr>
          <w:rFonts w:ascii="Times New Roman" w:hAnsi="Times New Roman" w:cs="Times New Roman"/>
          <w:lang w:val="en-US"/>
        </w:rPr>
        <w:t>ñ</w:t>
      </w:r>
      <w:r w:rsidRPr="003F7B9D">
        <w:rPr>
          <w:rFonts w:ascii="Times New Roman" w:hAnsi="Times New Roman" w:cs="Times New Roman"/>
          <w:lang w:val="en-US"/>
        </w:rPr>
        <w:t>uelas</w:t>
      </w:r>
      <w:r w:rsidRPr="00BF19B0">
        <w:rPr>
          <w:rFonts w:ascii="Times New Roman" w:hAnsi="Times New Roman" w:cs="Times New Roman"/>
          <w:lang w:val="en-US"/>
        </w:rPr>
        <w:t>, J., Filella, I., Lloret, P., Mun Oz, F., &amp; Vilajeliu, M. (1995</w:t>
      </w:r>
      <w:r>
        <w:rPr>
          <w:rFonts w:ascii="Times New Roman" w:hAnsi="Times New Roman" w:cs="Times New Roman"/>
          <w:lang w:val="en-US"/>
        </w:rPr>
        <w:t>c</w:t>
      </w:r>
      <w:r w:rsidRPr="00BF19B0">
        <w:rPr>
          <w:rFonts w:ascii="Times New Roman" w:hAnsi="Times New Roman" w:cs="Times New Roman"/>
          <w:lang w:val="en-US"/>
        </w:rPr>
        <w:t>). Reflectance assessment of mite effects on apple trees. International Journal of Remote Sensing, 16(14), 2727-2733.</w:t>
      </w:r>
    </w:p>
    <w:p w14:paraId="6433BF8B" w14:textId="77777777" w:rsidR="00D247AF" w:rsidRPr="008724AF" w:rsidRDefault="00D247AF" w:rsidP="00D247AF">
      <w:pPr>
        <w:spacing w:before="240"/>
        <w:jc w:val="both"/>
        <w:rPr>
          <w:rFonts w:ascii="Times New Roman" w:hAnsi="Times New Roman" w:cs="Times New Roman"/>
          <w:lang w:val="en-US"/>
        </w:rPr>
      </w:pPr>
      <w:r w:rsidRPr="003F7B9D">
        <w:rPr>
          <w:rFonts w:ascii="Times New Roman" w:hAnsi="Times New Roman" w:cs="Times New Roman"/>
          <w:lang w:val="en-US"/>
        </w:rPr>
        <w:t xml:space="preserve">Peñuelas, J., Gamon, J. A., Fredeen, A. L., Merino, J., &amp; Field, C. B. (1994). Reflectance indices associated with physiological changes in nitrogen-and water-limited sunflower leaves. </w:t>
      </w:r>
      <w:r w:rsidRPr="008724AF">
        <w:rPr>
          <w:rFonts w:ascii="Times New Roman" w:hAnsi="Times New Roman" w:cs="Times New Roman"/>
          <w:lang w:val="en-US"/>
        </w:rPr>
        <w:t>Remote sensing of Environment, 48(2), 135-146.</w:t>
      </w:r>
    </w:p>
    <w:p w14:paraId="3048275E" w14:textId="77777777" w:rsidR="00D247AF" w:rsidRPr="008724AF" w:rsidRDefault="00D247AF" w:rsidP="00D247AF">
      <w:pPr>
        <w:spacing w:before="240"/>
        <w:jc w:val="both"/>
        <w:rPr>
          <w:rFonts w:ascii="Times New Roman" w:hAnsi="Times New Roman" w:cs="Times New Roman"/>
          <w:lang w:val="en-US"/>
        </w:rPr>
      </w:pPr>
      <w:r w:rsidRPr="007B42B6">
        <w:rPr>
          <w:rFonts w:ascii="Times New Roman" w:hAnsi="Times New Roman" w:cs="Times New Roman"/>
          <w:lang w:val="en-US"/>
        </w:rPr>
        <w:t xml:space="preserve">Peñuelas, J., &amp; Inoue, Y. (1999). Reflectance indices indicative of changes in water and pigment contents of peanut and wheat leaves. </w:t>
      </w:r>
      <w:r w:rsidRPr="008724AF">
        <w:rPr>
          <w:rFonts w:ascii="Times New Roman" w:hAnsi="Times New Roman" w:cs="Times New Roman"/>
          <w:lang w:val="en-US"/>
        </w:rPr>
        <w:t>Photosynthetica, 36(3), 355-360.</w:t>
      </w:r>
    </w:p>
    <w:p w14:paraId="5B1AFBE4" w14:textId="77777777" w:rsidR="00D247AF" w:rsidRPr="008724AF" w:rsidRDefault="00D247AF" w:rsidP="00D247AF">
      <w:pPr>
        <w:spacing w:before="240"/>
        <w:jc w:val="both"/>
        <w:rPr>
          <w:rFonts w:ascii="Times New Roman" w:hAnsi="Times New Roman" w:cs="Times New Roman"/>
          <w:lang w:val="en-US"/>
        </w:rPr>
      </w:pPr>
      <w:r w:rsidRPr="003635F9">
        <w:rPr>
          <w:rFonts w:ascii="Times New Roman" w:hAnsi="Times New Roman" w:cs="Times New Roman"/>
          <w:lang w:val="en-US"/>
        </w:rPr>
        <w:t xml:space="preserve">Read, J. J., Tarpley, L., McKinion, J. M., &amp; Reddy, K. R. (2002). Narrow-waveband reflectance ratios for remote estimation of nitrogen status in cotton. </w:t>
      </w:r>
      <w:r w:rsidRPr="008724AF">
        <w:rPr>
          <w:rFonts w:ascii="Times New Roman" w:hAnsi="Times New Roman" w:cs="Times New Roman"/>
          <w:lang w:val="en-US"/>
        </w:rPr>
        <w:t>Journal of environmental quality, 31(5), 1442-1452.</w:t>
      </w:r>
    </w:p>
    <w:p w14:paraId="353E4341" w14:textId="77777777" w:rsidR="00D247AF" w:rsidRPr="008724AF" w:rsidRDefault="00D247AF" w:rsidP="00D247AF">
      <w:pPr>
        <w:spacing w:before="240"/>
        <w:jc w:val="both"/>
        <w:rPr>
          <w:rFonts w:ascii="Times New Roman" w:hAnsi="Times New Roman" w:cs="Times New Roman"/>
          <w:lang w:val="en-US"/>
        </w:rPr>
      </w:pPr>
      <w:r w:rsidRPr="003635F9">
        <w:rPr>
          <w:rFonts w:ascii="Times New Roman" w:hAnsi="Times New Roman" w:cs="Times New Roman"/>
          <w:lang w:val="en-US"/>
        </w:rPr>
        <w:t xml:space="preserve">Rouse Jr, J., Haas, R. H., Schell, J. A., &amp; Deering, D. W. (1974). </w:t>
      </w:r>
      <w:r w:rsidRPr="008724AF">
        <w:rPr>
          <w:rFonts w:ascii="Times New Roman" w:hAnsi="Times New Roman" w:cs="Times New Roman"/>
          <w:lang w:val="en-US"/>
        </w:rPr>
        <w:t>Monitoring vegetation systems in the Great Plains with ERTS.</w:t>
      </w:r>
    </w:p>
    <w:p w14:paraId="30A6DDE5" w14:textId="77777777" w:rsidR="00D247AF" w:rsidRPr="008724AF" w:rsidRDefault="00D247AF" w:rsidP="00D247AF">
      <w:pPr>
        <w:spacing w:before="240"/>
        <w:jc w:val="both"/>
        <w:rPr>
          <w:rFonts w:ascii="Times New Roman" w:hAnsi="Times New Roman" w:cs="Times New Roman"/>
          <w:lang w:val="en-US"/>
        </w:rPr>
      </w:pPr>
      <w:r w:rsidRPr="007B42B6">
        <w:rPr>
          <w:rFonts w:ascii="Times New Roman" w:hAnsi="Times New Roman" w:cs="Times New Roman"/>
          <w:lang w:val="en-US"/>
        </w:rPr>
        <w:t xml:space="preserve">Seelig, H. D., Hoehn, A., Stodieck, L. S., Klaus, D. M., Adams Iii, W. W., &amp; Emery, W. J. (2008). Relations of remote sensing leaf water indices to leaf water thickness in cowpea, bean, and sugar beet plants. </w:t>
      </w:r>
      <w:r w:rsidRPr="008724AF">
        <w:rPr>
          <w:rFonts w:ascii="Times New Roman" w:hAnsi="Times New Roman" w:cs="Times New Roman"/>
          <w:lang w:val="en-US"/>
        </w:rPr>
        <w:t>Remote Sensing of Environment, 112(2), 445-455.</w:t>
      </w:r>
    </w:p>
    <w:p w14:paraId="0C9B6666" w14:textId="77777777" w:rsidR="00D247AF" w:rsidRPr="008724AF" w:rsidRDefault="00D247AF" w:rsidP="00D247AF">
      <w:pPr>
        <w:spacing w:before="240"/>
        <w:jc w:val="both"/>
        <w:rPr>
          <w:rFonts w:ascii="Times New Roman" w:hAnsi="Times New Roman" w:cs="Times New Roman"/>
          <w:lang w:val="en-US"/>
        </w:rPr>
      </w:pPr>
      <w:r w:rsidRPr="00B91B6B">
        <w:rPr>
          <w:rFonts w:ascii="Times New Roman" w:hAnsi="Times New Roman" w:cs="Times New Roman"/>
          <w:lang w:val="en-US"/>
        </w:rPr>
        <w:t xml:space="preserve">Smith, R. C. G., Adams, J., Stephens, D. J., &amp; Hick, P. T. (1995). Forecasting wheat yield in a Mediterranean-type environment from the NOAA satellite. </w:t>
      </w:r>
      <w:r w:rsidRPr="008724AF">
        <w:rPr>
          <w:rFonts w:ascii="Times New Roman" w:hAnsi="Times New Roman" w:cs="Times New Roman"/>
          <w:lang w:val="en-US"/>
        </w:rPr>
        <w:t>Australian Journal of Agricultural Research, 46(1), 113-125.</w:t>
      </w:r>
    </w:p>
    <w:p w14:paraId="40B4001E" w14:textId="77777777" w:rsidR="00D247AF" w:rsidRPr="008724AF" w:rsidRDefault="00D247AF" w:rsidP="00D247AF">
      <w:pPr>
        <w:spacing w:before="240"/>
        <w:jc w:val="both"/>
        <w:rPr>
          <w:rFonts w:ascii="Times New Roman" w:hAnsi="Times New Roman" w:cs="Times New Roman"/>
          <w:lang w:val="en-US"/>
        </w:rPr>
      </w:pPr>
      <w:r w:rsidRPr="008724AF">
        <w:rPr>
          <w:rFonts w:ascii="Times New Roman" w:hAnsi="Times New Roman" w:cs="Times New Roman"/>
          <w:lang w:val="en-US"/>
        </w:rPr>
        <w:t xml:space="preserve">Yu, K., Anderegg, J., Mikaberidze, A., Petteri, K., Mascher, F., McDonald, B. A., ... </w:t>
      </w:r>
      <w:r w:rsidRPr="00793478">
        <w:rPr>
          <w:rFonts w:ascii="Times New Roman" w:hAnsi="Times New Roman" w:cs="Times New Roman"/>
          <w:lang w:val="en-US"/>
        </w:rPr>
        <w:t xml:space="preserve">&amp; Hund, A. (2018). Hyperspectral canopy sensing of wheat </w:t>
      </w:r>
      <w:r w:rsidRPr="00ED0A2B">
        <w:rPr>
          <w:rFonts w:ascii="Times New Roman" w:hAnsi="Times New Roman" w:cs="Times New Roman"/>
          <w:i/>
          <w:lang w:val="en-US"/>
        </w:rPr>
        <w:t>Septoria tritici</w:t>
      </w:r>
      <w:r w:rsidRPr="00793478">
        <w:rPr>
          <w:rFonts w:ascii="Times New Roman" w:hAnsi="Times New Roman" w:cs="Times New Roman"/>
          <w:lang w:val="en-US"/>
        </w:rPr>
        <w:t xml:space="preserve"> blotch disease. </w:t>
      </w:r>
      <w:r w:rsidRPr="008724AF">
        <w:rPr>
          <w:rFonts w:ascii="Times New Roman" w:hAnsi="Times New Roman" w:cs="Times New Roman"/>
          <w:lang w:val="en-US"/>
        </w:rPr>
        <w:t>Frontiers in plant science, 9, 1195.</w:t>
      </w:r>
    </w:p>
    <w:p w14:paraId="5475470E" w14:textId="77777777" w:rsidR="00D247AF" w:rsidRDefault="00D247AF" w:rsidP="00D247AF">
      <w:pPr>
        <w:spacing w:before="240"/>
        <w:jc w:val="both"/>
        <w:rPr>
          <w:rFonts w:ascii="Times New Roman" w:hAnsi="Times New Roman" w:cs="Times New Roman"/>
          <w:lang w:val="en-US"/>
        </w:rPr>
      </w:pPr>
      <w:r w:rsidRPr="003635F9">
        <w:rPr>
          <w:rFonts w:ascii="Times New Roman" w:hAnsi="Times New Roman" w:cs="Times New Roman"/>
          <w:lang w:val="en-US"/>
        </w:rPr>
        <w:t>Zarco-Tejada, P. J., Miller, J. R., Noland, T. L., Mohammed, G. H., &amp; Sampson, P. H. (2001). Scaling-up and model inversion methods with narrowband optical indices for chlorophyll content estimation in closed forest canopies with hyperspectral data. IEEE Transactions on Geoscience and Remote Sensing, 39(7), 1491-1507.</w:t>
      </w:r>
    </w:p>
    <w:p w14:paraId="3233BADB" w14:textId="77777777" w:rsidR="00D247AF" w:rsidRDefault="00D247AF" w:rsidP="00D247AF">
      <w:pPr>
        <w:spacing w:before="240"/>
        <w:jc w:val="both"/>
        <w:rPr>
          <w:rFonts w:ascii="Times New Roman" w:hAnsi="Times New Roman" w:cs="Times New Roman"/>
          <w:lang w:val="en-US"/>
        </w:rPr>
      </w:pPr>
      <w:r w:rsidRPr="00C33BBD">
        <w:rPr>
          <w:rFonts w:ascii="Times New Roman" w:hAnsi="Times New Roman" w:cs="Times New Roman"/>
          <w:lang w:val="en-US"/>
        </w:rPr>
        <w:t>Zarco-Tejada, P. J., Pushnik, J. C., Dobrowski, S., &amp; Ustin, S. L. (2003). Steady-state chlorophyll a fluorescence detection from canopy derivative reflectance and double-peak red-edge effects. Remote Sensing of Environment, 84(2), 283-294.</w:t>
      </w:r>
    </w:p>
    <w:p w14:paraId="05942413" w14:textId="77777777" w:rsidR="00D247AF" w:rsidRPr="003635F9" w:rsidRDefault="00D247AF" w:rsidP="00D247AF">
      <w:pPr>
        <w:spacing w:before="240"/>
        <w:jc w:val="both"/>
        <w:rPr>
          <w:rFonts w:ascii="Times New Roman" w:hAnsi="Times New Roman" w:cs="Times New Roman"/>
          <w:lang w:val="en-US"/>
        </w:rPr>
      </w:pPr>
      <w:r w:rsidRPr="008724AF">
        <w:rPr>
          <w:rFonts w:ascii="Times New Roman" w:hAnsi="Times New Roman" w:cs="Times New Roman"/>
          <w:lang w:val="en-US"/>
        </w:rPr>
        <w:t xml:space="preserve">Zarco-Tejada, P. J., Berjón, A., López-Lozano, R., Miller, J. R., Martín, P., Cachorro, V., ... </w:t>
      </w:r>
      <w:r w:rsidRPr="007D6BF7">
        <w:rPr>
          <w:rFonts w:ascii="Times New Roman" w:hAnsi="Times New Roman" w:cs="Times New Roman"/>
          <w:lang w:val="en-US"/>
        </w:rPr>
        <w:t>&amp; De Frutos, A. (2005). Assessing vineyard condition with hyperspectral indices: Leaf and canopy reflectance simulation in a row-structured discontinuous canopy. Remote Sensing of Environment, 99(3), 271-287.</w:t>
      </w:r>
    </w:p>
    <w:p w14:paraId="1F38AF71" w14:textId="77777777" w:rsidR="00D247AF" w:rsidRPr="003F7B9D" w:rsidRDefault="00D247AF" w:rsidP="00D247AF">
      <w:pPr>
        <w:spacing w:before="240"/>
        <w:jc w:val="both"/>
        <w:rPr>
          <w:rFonts w:ascii="Times New Roman" w:hAnsi="Times New Roman" w:cs="Times New Roman"/>
        </w:rPr>
      </w:pPr>
      <w:r w:rsidRPr="003635F9">
        <w:rPr>
          <w:rFonts w:ascii="Times New Roman" w:hAnsi="Times New Roman" w:cs="Times New Roman"/>
          <w:lang w:val="en-US"/>
        </w:rPr>
        <w:lastRenderedPageBreak/>
        <w:t xml:space="preserve">Zhao, D., Reddy, K. R., Kakani, V. G., Read, J. J., &amp; Koti, S. (2005). Selection of optimum reflectance ratios for estimating leaf nitrogen and chlorophyll concentrations of field-grown cotton. </w:t>
      </w:r>
      <w:r w:rsidRPr="003635F9">
        <w:rPr>
          <w:rFonts w:ascii="Times New Roman" w:hAnsi="Times New Roman" w:cs="Times New Roman"/>
        </w:rPr>
        <w:t>Agronomy Journal, 97(1), 89-98.</w:t>
      </w:r>
    </w:p>
    <w:p w14:paraId="5CAF40EA" w14:textId="77777777" w:rsidR="00D247AF" w:rsidRPr="00C82516" w:rsidRDefault="00D247AF" w:rsidP="00D247AF">
      <w:pPr>
        <w:spacing w:before="240" w:line="36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14:paraId="397011D6" w14:textId="77777777" w:rsidR="00553A69" w:rsidRDefault="00553A69"/>
    <w:sectPr w:rsidR="00553A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AF"/>
    <w:rsid w:val="00080EF1"/>
    <w:rsid w:val="000E6A38"/>
    <w:rsid w:val="001E6CB7"/>
    <w:rsid w:val="002B40F4"/>
    <w:rsid w:val="002C7C00"/>
    <w:rsid w:val="003313D4"/>
    <w:rsid w:val="00377341"/>
    <w:rsid w:val="00491258"/>
    <w:rsid w:val="00495E29"/>
    <w:rsid w:val="00551ABD"/>
    <w:rsid w:val="00553A69"/>
    <w:rsid w:val="005F7D80"/>
    <w:rsid w:val="006241E9"/>
    <w:rsid w:val="00655B93"/>
    <w:rsid w:val="007622DF"/>
    <w:rsid w:val="00763F0E"/>
    <w:rsid w:val="00781449"/>
    <w:rsid w:val="00975FFF"/>
    <w:rsid w:val="009B17A7"/>
    <w:rsid w:val="00B2499A"/>
    <w:rsid w:val="00BC00B8"/>
    <w:rsid w:val="00C378AA"/>
    <w:rsid w:val="00C67D9A"/>
    <w:rsid w:val="00C76765"/>
    <w:rsid w:val="00CF3A70"/>
    <w:rsid w:val="00D247AF"/>
    <w:rsid w:val="00D6089A"/>
    <w:rsid w:val="00D77A49"/>
    <w:rsid w:val="00DA1211"/>
    <w:rsid w:val="00DC1A3E"/>
    <w:rsid w:val="00E01186"/>
    <w:rsid w:val="00E41159"/>
    <w:rsid w:val="00EB1C67"/>
    <w:rsid w:val="00ED2F5F"/>
    <w:rsid w:val="00ED5C96"/>
    <w:rsid w:val="00F653ED"/>
    <w:rsid w:val="00F9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EF11A5"/>
  <w15:chartTrackingRefBased/>
  <w15:docId w15:val="{5052CDC9-D571-4061-8C08-9093A4D2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47AF"/>
    <w:pPr>
      <w:spacing w:after="0" w:line="240" w:lineRule="auto"/>
    </w:pPr>
    <w:rPr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D247AF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0EF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0EF1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angelica galieni</cp:lastModifiedBy>
  <cp:revision>16</cp:revision>
  <dcterms:created xsi:type="dcterms:W3CDTF">2020-03-04T18:29:00Z</dcterms:created>
  <dcterms:modified xsi:type="dcterms:W3CDTF">2020-08-19T12:18:00Z</dcterms:modified>
</cp:coreProperties>
</file>