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42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555240"/>
            <wp:effectExtent l="0" t="0" r="3175" b="5080"/>
            <wp:docPr id="3" name="图片 3" descr="图片1994_副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994_副本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omparison of different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ALFF values between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group and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group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[a window size of 30 TRs (60s), and window shifted by 10 TRs(20s)] 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Note:</w:t>
      </w:r>
      <w:r>
        <w:rPr>
          <w:rFonts w:hint="default" w:ascii="Times New Roman" w:hAnsi="Times New Roman" w:eastAsia="AdvTT5235d5a9" w:cs="Times New Roman"/>
          <w:sz w:val="24"/>
          <w:szCs w:val="24"/>
        </w:rPr>
        <w:t xml:space="preserve">Significant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AdvTT5235d5a9" w:cs="Times New Roman"/>
          <w:sz w:val="24"/>
          <w:szCs w:val="24"/>
        </w:rPr>
        <w:t>ALFF values differences were observed in</w:t>
      </w:r>
      <w:r>
        <w:rPr>
          <w:rFonts w:hint="default" w:ascii="Times New Roman" w:hAnsi="Times New Roman" w:cs="Times New Roman"/>
          <w:sz w:val="24"/>
          <w:szCs w:val="24"/>
        </w:rPr>
        <w:t xml:space="preserve"> the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R-BS, L-CER_10,R-CER_10,L-PHG,R-CER_8, L-ITG, L-MOG and R-MOG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The blue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areas </w:t>
      </w:r>
      <w:r>
        <w:rPr>
          <w:rFonts w:hint="default" w:ascii="Times New Roman" w:hAnsi="Times New Roman" w:cs="Times New Roman"/>
          <w:sz w:val="24"/>
          <w:szCs w:val="24"/>
        </w:rPr>
        <w:t>indicate</w:t>
      </w:r>
      <w:r>
        <w:rPr>
          <w:rFonts w:hint="default" w:ascii="Times New Roman" w:hAnsi="Times New Roman" w:eastAsia="AdvTT5235d5a9" w:cs="Times New Roman"/>
          <w:sz w:val="24"/>
          <w:szCs w:val="24"/>
        </w:rPr>
        <w:t xml:space="preserve"> lower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AdvTT5235d5a9" w:cs="Times New Roman"/>
          <w:sz w:val="24"/>
          <w:szCs w:val="24"/>
        </w:rPr>
        <w:t>ALFF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values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(voxel-level P&lt;0.01, GRF correction, cluster-level P&lt;0.05)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The mean values </w:t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shd w:val="clear" w:color="auto" w:fill="FFFFFF"/>
        </w:rPr>
        <w:t>of altered</w:t>
      </w:r>
      <w:r>
        <w:rPr>
          <w:rStyle w:val="4"/>
          <w:rFonts w:hint="eastAsia" w:ascii="Times New Roman" w:hAnsi="Times New Roman" w:cs="Times New Roman"/>
          <w:b w:val="0"/>
          <w:sz w:val="24"/>
          <w:szCs w:val="24"/>
          <w:shd w:val="clear" w:color="auto" w:fill="FFFFFF"/>
          <w:lang w:val="en-US" w:eastAsia="zh-CN"/>
        </w:rPr>
        <w:t xml:space="preserve"> 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ALFF</w:t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values between the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and </w:t>
      </w:r>
      <w:r>
        <w:rPr>
          <w:rStyle w:val="4"/>
          <w:rFonts w:hint="eastAsia" w:ascii="Times New Roman" w:hAnsi="Times New Roman" w:cs="Times New Roman"/>
          <w:b w:val="0"/>
          <w:sz w:val="24"/>
          <w:szCs w:val="24"/>
          <w:shd w:val="clear" w:color="auto" w:fill="FFFFFF"/>
          <w:lang w:val="en-US" w:eastAsia="zh-CN"/>
        </w:rPr>
        <w:t>HC</w:t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groups.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tabs>
          <w:tab w:val="center" w:pos="55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Abbreviations: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dALFF, dynamic amplitude of low-frequency fluctuation; DR, Diabetic Retinopathy; HC, Health Controls; GRF,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Gaussian random field; BS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 Brainstem; CER,Cerebelum; PHG, ParaHippocampal; MOG, middle occipital gyrus;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ITG, inferior temporal gyrus; </w:t>
      </w:r>
      <w:r>
        <w:rPr>
          <w:rFonts w:hint="default" w:ascii="Times New Roman" w:hAnsi="Times New Roman" w:cs="Times New Roman"/>
          <w:sz w:val="24"/>
          <w:szCs w:val="24"/>
        </w:rPr>
        <w:t>L,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left;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right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1051" w:firstLineChars="500"/>
        <w:jc w:val="both"/>
        <w:textAlignment w:val="auto"/>
        <w:outlineLvl w:val="9"/>
        <w:rPr>
          <w:rFonts w:ascii="Times New Roman" w:hAnsi="Times New Roman"/>
          <w:b/>
          <w:bCs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1051" w:firstLineChars="500"/>
        <w:jc w:val="both"/>
        <w:textAlignment w:val="auto"/>
        <w:outlineLvl w:val="9"/>
        <w:rPr>
          <w:rFonts w:ascii="Times New Roman" w:hAnsi="Times New Roman"/>
          <w:b/>
          <w:bCs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5237480" cy="2556510"/>
            <wp:effectExtent l="0" t="0" r="5080" b="3810"/>
            <wp:docPr id="2" name="图片 2" descr="DR-HC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R-HC2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1051" w:firstLineChars="500"/>
        <w:jc w:val="both"/>
        <w:textAlignment w:val="auto"/>
        <w:outlineLvl w:val="9"/>
        <w:rPr>
          <w:rFonts w:ascii="Times New Roman" w:hAnsi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omparison of different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ALFF values between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group and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group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[a window size of 100 TRs (200s), and window shifted by 10 TRs(20s)] 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Note: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dvTT5235d5a9" w:cs="Times New Roman"/>
          <w:sz w:val="24"/>
          <w:szCs w:val="24"/>
        </w:rPr>
        <w:t xml:space="preserve">Significant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AdvTT5235d5a9" w:cs="Times New Roman"/>
          <w:sz w:val="24"/>
          <w:szCs w:val="24"/>
        </w:rPr>
        <w:t>ALFF values differences were observed in</w:t>
      </w:r>
      <w:r>
        <w:rPr>
          <w:rFonts w:hint="default" w:ascii="Times New Roman" w:hAnsi="Times New Roman" w:cs="Times New Roman"/>
          <w:sz w:val="24"/>
          <w:szCs w:val="24"/>
        </w:rPr>
        <w:t xml:space="preserve"> the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L-BS, R-BS,L-CER_8,L-CER_4_5,Vermis_6, L-ITG and R-IOG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The blue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areas </w:t>
      </w:r>
      <w:r>
        <w:rPr>
          <w:rFonts w:hint="default" w:ascii="Times New Roman" w:hAnsi="Times New Roman" w:cs="Times New Roman"/>
          <w:sz w:val="24"/>
          <w:szCs w:val="24"/>
        </w:rPr>
        <w:t>indicate</w:t>
      </w:r>
      <w:r>
        <w:rPr>
          <w:rFonts w:hint="default" w:ascii="Times New Roman" w:hAnsi="Times New Roman" w:eastAsia="AdvTT5235d5a9" w:cs="Times New Roman"/>
          <w:sz w:val="24"/>
          <w:szCs w:val="24"/>
        </w:rPr>
        <w:t xml:space="preserve"> lower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AdvTT5235d5a9" w:cs="Times New Roman"/>
          <w:sz w:val="24"/>
          <w:szCs w:val="24"/>
        </w:rPr>
        <w:t>ALFF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values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(voxel-level P&lt;0.01, GRF correction, cluster-level P&lt;0.05)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The mean values </w:t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shd w:val="clear" w:color="auto" w:fill="FFFFFF"/>
        </w:rPr>
        <w:t>of altered</w:t>
      </w:r>
      <w:r>
        <w:rPr>
          <w:rStyle w:val="4"/>
          <w:rFonts w:hint="eastAsia" w:ascii="Times New Roman" w:hAnsi="Times New Roman" w:cs="Times New Roman"/>
          <w:b w:val="0"/>
          <w:sz w:val="24"/>
          <w:szCs w:val="24"/>
          <w:shd w:val="clear" w:color="auto" w:fill="FFFFFF"/>
          <w:lang w:val="en-US" w:eastAsia="zh-CN"/>
        </w:rPr>
        <w:t xml:space="preserve"> 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ALFF</w:t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values between the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and </w:t>
      </w:r>
      <w:r>
        <w:rPr>
          <w:rStyle w:val="4"/>
          <w:rFonts w:hint="eastAsia" w:ascii="Times New Roman" w:hAnsi="Times New Roman" w:cs="Times New Roman"/>
          <w:b w:val="0"/>
          <w:sz w:val="24"/>
          <w:szCs w:val="24"/>
          <w:shd w:val="clear" w:color="auto" w:fill="FFFFFF"/>
          <w:lang w:val="en-US" w:eastAsia="zh-CN"/>
        </w:rPr>
        <w:t>HC</w:t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groups.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tabs>
          <w:tab w:val="center" w:pos="55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Abbreviations: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dALFF, dynamic amplitude of low-frequency fluctuation; DR, Diabetic Retinopathy; HC, Health Controls; GRF,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Gaussian random field; BS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 Brainstem; CER,Cerebelum; IOG, Inferior Occipital Gyrus;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ITG, inferior temporal gyrus; </w:t>
      </w:r>
      <w:r>
        <w:rPr>
          <w:rFonts w:hint="default" w:ascii="Times New Roman" w:hAnsi="Times New Roman" w:cs="Times New Roman"/>
          <w:sz w:val="24"/>
          <w:szCs w:val="24"/>
        </w:rPr>
        <w:t>L,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left;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right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1201" w:firstLineChars="500"/>
        <w:jc w:val="both"/>
        <w:textAlignment w:val="auto"/>
        <w:outlineLvl w:val="9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1051" w:firstLineChars="500"/>
        <w:jc w:val="both"/>
        <w:textAlignment w:val="auto"/>
        <w:outlineLvl w:val="9"/>
        <w:rPr>
          <w:rFonts w:ascii="Times New Roman" w:hAnsi="Times New Roman"/>
          <w:b/>
          <w:bCs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1261" w:firstLineChars="600"/>
        <w:jc w:val="both"/>
        <w:textAlignment w:val="auto"/>
        <w:outlineLvl w:val="9"/>
        <w:rPr>
          <w:rFonts w:ascii="Times New Roman" w:hAnsi="Times New Roman"/>
          <w:b/>
          <w:bCs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1261" w:firstLineChars="600"/>
        <w:jc w:val="both"/>
        <w:textAlignment w:val="auto"/>
        <w:outlineLvl w:val="9"/>
        <w:rPr>
          <w:rFonts w:ascii="Times New Roman" w:hAnsi="Times New Roman"/>
          <w:b/>
          <w:bCs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1261" w:firstLineChars="600"/>
        <w:jc w:val="both"/>
        <w:textAlignment w:val="auto"/>
        <w:outlineLvl w:val="9"/>
        <w:rPr>
          <w:rFonts w:ascii="Times New Roman" w:hAnsi="Times New Roman"/>
          <w:b/>
          <w:bCs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35" w:leftChars="112" w:right="0" w:rightChars="0" w:firstLine="444" w:firstLineChars="185"/>
        <w:jc w:val="both"/>
        <w:textAlignment w:val="auto"/>
        <w:outlineLvl w:val="9"/>
        <w:rPr>
          <w:rFonts w:hint="eastAsia" w:eastAsia="宋体"/>
          <w:b/>
          <w:bCs/>
          <w:sz w:val="24"/>
          <w:szCs w:val="24"/>
        </w:rPr>
      </w:pPr>
      <w:bookmarkStart w:id="3" w:name="_GoBack"/>
      <w:bookmarkStart w:id="0" w:name="OLE_LINK1"/>
      <w:r>
        <w:rPr>
          <w:rFonts w:ascii="Times New Roman" w:hAnsi="Times New Roman"/>
          <w:b/>
          <w:bCs/>
          <w:sz w:val="24"/>
          <w:szCs w:val="24"/>
        </w:rPr>
        <w:t xml:space="preserve">Table </w:t>
      </w: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S1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OLE_LINK10"/>
      <w:r>
        <w:rPr>
          <w:rFonts w:ascii="Times New Roman" w:hAnsi="Times New Roman"/>
          <w:sz w:val="24"/>
          <w:szCs w:val="24"/>
        </w:rPr>
        <w:t>Significant differences</w:t>
      </w:r>
      <w:bookmarkEnd w:id="1"/>
      <w:r>
        <w:rPr>
          <w:rFonts w:ascii="Times New Roman" w:hAnsi="Times New Roman"/>
          <w:sz w:val="24"/>
          <w:szCs w:val="24"/>
        </w:rPr>
        <w:t xml:space="preserve"> in the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dALFF</w:t>
      </w:r>
      <w:r>
        <w:rPr>
          <w:rFonts w:ascii="Times New Roman" w:hAnsi="Times New Roman"/>
          <w:sz w:val="24"/>
          <w:szCs w:val="24"/>
        </w:rPr>
        <w:t xml:space="preserve"> between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two groups </w:t>
      </w:r>
      <w:bookmarkStart w:id="2" w:name="OLE_LINK37"/>
      <w:bookmarkEnd w:id="0"/>
      <w:bookmarkEnd w:id="2"/>
    </w:p>
    <w:bookmarkEnd w:id="3"/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eastAsia="宋体"/>
          <w:b/>
          <w:bCs/>
          <w:sz w:val="18"/>
          <w:szCs w:val="1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eastAsia="宋体"/>
          <w:b/>
          <w:bCs/>
          <w:sz w:val="18"/>
          <w:szCs w:val="18"/>
        </w:rPr>
      </w:pPr>
    </w:p>
    <w:tbl>
      <w:tblPr>
        <w:tblStyle w:val="2"/>
        <w:tblpPr w:leftFromText="180" w:rightFromText="180" w:vertAnchor="page" w:horzAnchor="page" w:tblpX="1924" w:tblpY="2174"/>
        <w:tblOverlap w:val="never"/>
        <w:tblW w:w="85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76"/>
        <w:gridCol w:w="1359"/>
        <w:gridCol w:w="1174"/>
        <w:gridCol w:w="635"/>
        <w:gridCol w:w="715"/>
        <w:gridCol w:w="653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2850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Condition/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Brain regions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BA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 xml:space="preserve">Peak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T-scores</w:t>
            </w:r>
          </w:p>
        </w:tc>
        <w:tc>
          <w:tcPr>
            <w:tcW w:w="2003" w:type="dxa"/>
            <w:gridSpan w:val="3"/>
            <w:tcBorders>
              <w:top w:val="single" w:color="000000" w:sz="4" w:space="0"/>
              <w:bottom w:val="single" w:color="000000" w:sz="4" w:space="0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MNI coordinates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Cluster size (voxels)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850" w:type="dxa"/>
            <w:gridSpan w:val="2"/>
            <w:vMerge w:val="continue"/>
            <w:tcBorders>
              <w:top w:val="single" w:color="000000" w:sz="4" w:space="0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  <w:tcBorders>
              <w:top w:val="single" w:color="000000" w:sz="4" w:space="0"/>
              <w:bottom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15" w:type="dxa"/>
            <w:tcBorders>
              <w:top w:val="single" w:color="000000" w:sz="4" w:space="0"/>
              <w:bottom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y</w:t>
            </w:r>
          </w:p>
        </w:tc>
        <w:tc>
          <w:tcPr>
            <w:tcW w:w="653" w:type="dxa"/>
            <w:tcBorders>
              <w:top w:val="single" w:color="000000" w:sz="4" w:space="0"/>
              <w:bottom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z</w:t>
            </w:r>
          </w:p>
        </w:tc>
        <w:tc>
          <w:tcPr>
            <w:tcW w:w="1193" w:type="dxa"/>
            <w:vMerge w:val="continue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5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[a window size of 30TRs (60s), and window shifted by 10 TRs(20s)]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DR&gt;HC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R-BS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3.9476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-33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-54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DR&gt;HC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L-CER_10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4.837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-18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-36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DR&gt;HC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R-CER_10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3.8456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-36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DR&gt;HC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L-PHG,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4.0373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-27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-3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DR&gt;HC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R-CER_8,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3.8992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-66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DR&gt;HC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L-ITG,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4.2308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-48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-30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DR&lt;HC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L-MOG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-4.7133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-24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-99  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DR&lt;HC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R-MOG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-4.2013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-99  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5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[a window size of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TRs (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s), and window shifted by 10 TRs(20s)]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DR&gt;HC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L-BS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4.4355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-9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-24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-48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DR&gt;HC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R-BS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4.1575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-21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-42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DR&gt;HC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L-CER_8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4.6836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-12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-63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-36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DR&gt;HC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L-CER_4_5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4.008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-18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-39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-30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DR&gt;HC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Vermis_6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3.7761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-66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-27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&gt;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HC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L-ITG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4.2329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-54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-33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-21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DR&lt;HC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R-IOG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-4.1807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18 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-96  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80" w:type="dxa"/>
              <w:left w:w="110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-3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80" w:type="dxa"/>
              <w:left w:w="112" w:type="dxa"/>
              <w:bottom w:w="80" w:type="dxa"/>
              <w:right w:w="80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eastAsia="宋体"/>
          <w:b/>
          <w:bCs/>
          <w:sz w:val="18"/>
          <w:szCs w:val="1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eastAsia="宋体"/>
          <w:b/>
          <w:bCs/>
          <w:sz w:val="18"/>
          <w:szCs w:val="1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eastAsia="宋体"/>
          <w:b/>
          <w:bCs/>
          <w:sz w:val="18"/>
          <w:szCs w:val="1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eastAsia="宋体"/>
          <w:b/>
          <w:bCs/>
          <w:sz w:val="18"/>
          <w:szCs w:val="1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eastAsia="宋体"/>
          <w:b/>
          <w:bCs/>
          <w:sz w:val="18"/>
          <w:szCs w:val="1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eastAsia="宋体"/>
          <w:b/>
          <w:bCs/>
          <w:sz w:val="18"/>
          <w:szCs w:val="1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textAlignment w:val="auto"/>
        <w:outlineLvl w:val="9"/>
        <w:rPr>
          <w:rFonts w:hint="eastAsia" w:eastAsia="宋体"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Note:</w:t>
      </w:r>
      <w:r>
        <w:rPr>
          <w:rFonts w:hint="eastAsia" w:eastAsia="宋体"/>
          <w:sz w:val="24"/>
          <w:szCs w:val="24"/>
        </w:rPr>
        <w:t>The statistical threshold was set at the voxel level with p&lt;0.01 for multiple comparisons using Gaussian random-field theory.(voxel-level P&lt;0.01, GRF correction, cluster-level P&lt;0.05).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textAlignment w:val="auto"/>
        <w:outlineLvl w:val="9"/>
        <w:rPr>
          <w:rFonts w:hint="default" w:eastAsia="宋体"/>
          <w:sz w:val="24"/>
          <w:szCs w:val="24"/>
          <w:lang w:val="en-US" w:eastAsia="zh-CN"/>
        </w:rPr>
      </w:pPr>
      <w:r>
        <w:rPr>
          <w:b/>
          <w:bCs/>
          <w:kern w:val="0"/>
          <w:sz w:val="24"/>
          <w:szCs w:val="24"/>
        </w:rPr>
        <w:t>Abbreviations: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dALFF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, dynamic amplitude of low-frequency fluctuation</w:t>
      </w:r>
      <w:r>
        <w:rPr>
          <w:rFonts w:hint="eastAsia"/>
          <w:kern w:val="0"/>
          <w:sz w:val="24"/>
          <w:szCs w:val="24"/>
        </w:rPr>
        <w:t>;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DR, Diabetic Retinopathy; HC, Health Controls; GRF,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Gaussian random field; BS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 Brainstem; CER,Cerebelum; PHG, ParaHippocampal; MOG, middle occipital gyrus; ITG, inferior temporal gyrus;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IOG, Inferior Occipital Gyrus; </w:t>
      </w:r>
      <w:r>
        <w:rPr>
          <w:rFonts w:hint="default" w:ascii="Times New Roman" w:hAnsi="Times New Roman" w:cs="Times New Roman"/>
          <w:sz w:val="24"/>
          <w:szCs w:val="24"/>
        </w:rPr>
        <w:t>L,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left;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right</w:t>
      </w:r>
      <w:r>
        <w:rPr>
          <w:rFonts w:hint="default" w:ascii="Times New Roman" w:hAnsi="Times New Roman" w:cs="Times New Roman"/>
          <w:sz w:val="24"/>
          <w:szCs w:val="24"/>
        </w:rPr>
        <w:t>;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B,bilateral;</w:t>
      </w:r>
    </w:p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dvTT5235d5a9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50134"/>
    <w:rsid w:val="2E0B13A8"/>
    <w:rsid w:val="6DE3304E"/>
    <w:rsid w:val="7ED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*Additional Information"/>
    <w:qFormat/>
    <w:uiPriority w:val="0"/>
    <w:pPr>
      <w:spacing w:after="200" w:line="276" w:lineRule="auto"/>
      <w:ind w:left="30" w:hanging="30"/>
      <w:jc w:val="both"/>
    </w:pPr>
    <w:rPr>
      <w:rFonts w:ascii="Verdana" w:hAnsi="Verdana" w:eastAsia="Verdana" w:cs="Verdana"/>
      <w:color w:val="000000"/>
      <w:sz w:val="19"/>
      <w:szCs w:val="19"/>
      <w:lang w:val="en-US" w:eastAsia="zh-CN" w:bidi="ar-SA"/>
    </w:rPr>
  </w:style>
  <w:style w:type="paragraph" w:customStyle="1" w:styleId="6">
    <w:name w:val="正文_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2020-05-19T09:34:00Z</dcterms:created>
  <dc:creator>ASUS</dc:creator>
  <cp:lastModifiedBy>黄兴</cp:lastModifiedBy>
  <dcterms:modified xsi:type="dcterms:W3CDTF">2020-07-17T02:35:04Z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