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23FF" w14:textId="3F5EB053" w:rsidR="004472DC" w:rsidRPr="0052460E" w:rsidRDefault="00717021" w:rsidP="004472DC">
      <w:pPr>
        <w:jc w:val="center"/>
        <w:rPr>
          <w:noProof/>
          <w:lang w:val="en-GB"/>
        </w:rPr>
      </w:pPr>
      <w:r w:rsidRPr="0052460E">
        <w:rPr>
          <w:b/>
          <w:bCs/>
          <w:noProof/>
          <w:lang w:val="en-GB"/>
        </w:rPr>
        <w:t xml:space="preserve">Table </w:t>
      </w:r>
      <w:r>
        <w:rPr>
          <w:b/>
          <w:bCs/>
          <w:noProof/>
          <w:lang w:val="en-GB"/>
        </w:rPr>
        <w:t>5</w:t>
      </w:r>
      <w:r w:rsidRPr="0052460E">
        <w:rPr>
          <w:b/>
          <w:bCs/>
          <w:noProof/>
          <w:lang w:val="en-GB"/>
        </w:rPr>
        <w:t>. Drivers:</w:t>
      </w:r>
      <w:r w:rsidRPr="0052460E">
        <w:rPr>
          <w:noProof/>
          <w:lang w:val="en-GB"/>
        </w:rPr>
        <w:t xml:space="preserve">Factors supporting and facilitating MU development </w:t>
      </w:r>
      <w:r w:rsidR="00AD772E">
        <w:rPr>
          <w:noProof/>
          <w:lang w:val="en-GB"/>
        </w:rPr>
        <w:t xml:space="preserve">in </w:t>
      </w:r>
      <w:r w:rsidRPr="0052460E">
        <w:rPr>
          <w:noProof/>
          <w:lang w:val="en-GB"/>
        </w:rPr>
        <w:t>Fisheries</w:t>
      </w:r>
      <w:r w:rsidR="00AD772E">
        <w:rPr>
          <w:noProof/>
          <w:lang w:val="en-GB"/>
        </w:rPr>
        <w:t>-</w:t>
      </w:r>
      <w:r w:rsidRPr="0052460E">
        <w:rPr>
          <w:noProof/>
          <w:lang w:val="en-GB"/>
        </w:rPr>
        <w:t>Tourism</w:t>
      </w:r>
      <w:r w:rsidR="00AD772E">
        <w:rPr>
          <w:noProof/>
          <w:lang w:val="en-GB"/>
        </w:rPr>
        <w:t xml:space="preserve">-Nature Conservation </w:t>
      </w:r>
    </w:p>
    <w:tbl>
      <w:tblPr>
        <w:tblStyle w:val="TableGrid"/>
        <w:tblW w:w="13647" w:type="dxa"/>
        <w:jc w:val="center"/>
        <w:tblLayout w:type="fixed"/>
        <w:tblLook w:val="00A0" w:firstRow="1" w:lastRow="0" w:firstColumn="1" w:lastColumn="0" w:noHBand="0" w:noVBand="0"/>
      </w:tblPr>
      <w:tblGrid>
        <w:gridCol w:w="558"/>
        <w:gridCol w:w="6554"/>
        <w:gridCol w:w="375"/>
        <w:gridCol w:w="375"/>
        <w:gridCol w:w="397"/>
        <w:gridCol w:w="422"/>
        <w:gridCol w:w="414"/>
        <w:gridCol w:w="686"/>
        <w:gridCol w:w="576"/>
        <w:gridCol w:w="686"/>
        <w:gridCol w:w="651"/>
        <w:gridCol w:w="651"/>
        <w:gridCol w:w="651"/>
        <w:gridCol w:w="651"/>
      </w:tblGrid>
      <w:tr w:rsidR="00717021" w:rsidRPr="0052460E" w14:paraId="0DCC5D2F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5F8D9A46" w14:textId="77777777" w:rsidR="00717021" w:rsidRPr="0052460E" w:rsidRDefault="00717021" w:rsidP="003D74E5">
            <w:pPr>
              <w:jc w:val="center"/>
              <w:rPr>
                <w:b/>
                <w:bCs/>
                <w:color w:val="002060"/>
                <w:sz w:val="16"/>
                <w:szCs w:val="20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 </w:t>
            </w:r>
          </w:p>
        </w:tc>
        <w:tc>
          <w:tcPr>
            <w:tcW w:w="6554" w:type="dxa"/>
          </w:tcPr>
          <w:p w14:paraId="566457E1" w14:textId="77777777" w:rsidR="00717021" w:rsidRPr="0052460E" w:rsidRDefault="00717021" w:rsidP="003D74E5">
            <w:pPr>
              <w:rPr>
                <w:color w:val="002060"/>
                <w:sz w:val="16"/>
                <w:szCs w:val="20"/>
                <w:lang w:val="en-GB"/>
              </w:rPr>
            </w:pPr>
            <w:r w:rsidRPr="0052460E">
              <w:rPr>
                <w:color w:val="002060"/>
                <w:sz w:val="16"/>
                <w:szCs w:val="20"/>
                <w:lang w:val="en-GB"/>
              </w:rPr>
              <w:t> </w:t>
            </w:r>
          </w:p>
        </w:tc>
        <w:tc>
          <w:tcPr>
            <w:tcW w:w="375" w:type="dxa"/>
            <w:noWrap/>
          </w:tcPr>
          <w:p w14:paraId="628C3485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37C7ADBB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  <w:t>2</w:t>
            </w:r>
          </w:p>
        </w:tc>
        <w:tc>
          <w:tcPr>
            <w:tcW w:w="397" w:type="dxa"/>
            <w:noWrap/>
          </w:tcPr>
          <w:p w14:paraId="0260A97E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  <w:t>3</w:t>
            </w:r>
          </w:p>
        </w:tc>
        <w:tc>
          <w:tcPr>
            <w:tcW w:w="422" w:type="dxa"/>
            <w:noWrap/>
          </w:tcPr>
          <w:p w14:paraId="5152EFFC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  <w:t>4</w:t>
            </w:r>
          </w:p>
        </w:tc>
        <w:tc>
          <w:tcPr>
            <w:tcW w:w="414" w:type="dxa"/>
            <w:noWrap/>
          </w:tcPr>
          <w:p w14:paraId="75CD6CA4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  <w:t>5</w:t>
            </w:r>
          </w:p>
        </w:tc>
        <w:tc>
          <w:tcPr>
            <w:tcW w:w="686" w:type="dxa"/>
            <w:noWrap/>
          </w:tcPr>
          <w:p w14:paraId="64CDB51B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noProof/>
                <w:color w:val="000000" w:themeColor="text1"/>
                <w:sz w:val="16"/>
                <w:szCs w:val="18"/>
                <w:lang w:val="en-GB"/>
              </w:rPr>
              <w:t>SUM</w:t>
            </w:r>
          </w:p>
        </w:tc>
        <w:tc>
          <w:tcPr>
            <w:tcW w:w="576" w:type="dxa"/>
            <w:noWrap/>
          </w:tcPr>
          <w:p w14:paraId="42A9AB71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0222F7B4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86" w:type="dxa"/>
            <w:noWrap/>
          </w:tcPr>
          <w:p w14:paraId="12856C37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2</w:t>
            </w:r>
          </w:p>
          <w:p w14:paraId="239539D3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51" w:type="dxa"/>
            <w:noWrap/>
          </w:tcPr>
          <w:p w14:paraId="2ED814D7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32A456FF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51" w:type="dxa"/>
            <w:noWrap/>
          </w:tcPr>
          <w:p w14:paraId="65AA34C6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4</w:t>
            </w:r>
          </w:p>
          <w:p w14:paraId="4DB77C5A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51" w:type="dxa"/>
            <w:noWrap/>
          </w:tcPr>
          <w:p w14:paraId="132A5C2B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5</w:t>
            </w:r>
          </w:p>
          <w:p w14:paraId="5B1E9E6F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51" w:type="dxa"/>
            <w:noWrap/>
          </w:tcPr>
          <w:p w14:paraId="40B0E6BC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(4+5)</w:t>
            </w:r>
          </w:p>
          <w:p w14:paraId="5D908F0A" w14:textId="77777777" w:rsidR="00717021" w:rsidRPr="00717021" w:rsidRDefault="00717021" w:rsidP="003D74E5">
            <w:pPr>
              <w:jc w:val="center"/>
              <w:rPr>
                <w:b/>
                <w:bCs/>
                <w:color w:val="000000" w:themeColor="text1"/>
                <w:sz w:val="16"/>
                <w:szCs w:val="18"/>
                <w:lang w:val="en-GB"/>
              </w:rPr>
            </w:pPr>
            <w:r w:rsidRPr="00717021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</w:tr>
      <w:tr w:rsidR="00717021" w:rsidRPr="0052460E" w14:paraId="252431D8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741F92C9" w14:textId="77777777" w:rsidR="00717021" w:rsidRPr="0052460E" w:rsidRDefault="00717021" w:rsidP="003D74E5">
            <w:pPr>
              <w:jc w:val="center"/>
              <w:rPr>
                <w:b/>
                <w:bCs/>
                <w:color w:val="002060"/>
                <w:sz w:val="16"/>
                <w:szCs w:val="20"/>
                <w:lang w:val="en-GB"/>
              </w:rPr>
            </w:pPr>
            <w:r w:rsidRPr="0052460E">
              <w:rPr>
                <w:b/>
                <w:bCs/>
                <w:noProof/>
                <w:color w:val="002060"/>
                <w:sz w:val="16"/>
                <w:szCs w:val="20"/>
                <w:lang w:val="en-GB"/>
              </w:rPr>
              <w:t>Env</w:t>
            </w:r>
          </w:p>
        </w:tc>
        <w:tc>
          <w:tcPr>
            <w:tcW w:w="6554" w:type="dxa"/>
          </w:tcPr>
          <w:p w14:paraId="7A4F2A7E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Reduction of traditional fishing activities as a means to deal with overfishing (Env).</w:t>
            </w:r>
          </w:p>
        </w:tc>
        <w:tc>
          <w:tcPr>
            <w:tcW w:w="375" w:type="dxa"/>
            <w:noWrap/>
          </w:tcPr>
          <w:p w14:paraId="4A1E1F2E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75" w:type="dxa"/>
            <w:noWrap/>
          </w:tcPr>
          <w:p w14:paraId="009F07D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397" w:type="dxa"/>
            <w:noWrap/>
          </w:tcPr>
          <w:p w14:paraId="6FFCC50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22" w:type="dxa"/>
            <w:noWrap/>
          </w:tcPr>
          <w:p w14:paraId="4F1F9C6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0ABFC80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686" w:type="dxa"/>
            <w:noWrap/>
          </w:tcPr>
          <w:p w14:paraId="7A6884C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16BA01B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86" w:type="dxa"/>
            <w:noWrap/>
          </w:tcPr>
          <w:p w14:paraId="78E15B7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20.0</w:t>
            </w:r>
          </w:p>
        </w:tc>
        <w:tc>
          <w:tcPr>
            <w:tcW w:w="651" w:type="dxa"/>
            <w:noWrap/>
          </w:tcPr>
          <w:p w14:paraId="787FD493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22.5</w:t>
            </w:r>
          </w:p>
        </w:tc>
        <w:tc>
          <w:tcPr>
            <w:tcW w:w="651" w:type="dxa"/>
            <w:noWrap/>
          </w:tcPr>
          <w:p w14:paraId="5B0B0981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51788EA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17.5</w:t>
            </w:r>
          </w:p>
        </w:tc>
        <w:tc>
          <w:tcPr>
            <w:tcW w:w="651" w:type="dxa"/>
            <w:noWrap/>
          </w:tcPr>
          <w:p w14:paraId="19066382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50.0</w:t>
            </w:r>
          </w:p>
        </w:tc>
      </w:tr>
      <w:tr w:rsidR="00717021" w:rsidRPr="0052460E" w14:paraId="14C8FFA4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7898E71C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Env</w:t>
            </w:r>
          </w:p>
        </w:tc>
        <w:tc>
          <w:tcPr>
            <w:tcW w:w="6554" w:type="dxa"/>
          </w:tcPr>
          <w:p w14:paraId="1CE70D7E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Environmental education/sensitisation to fishery and tourism within or close to marine protected areas (Env).</w:t>
            </w:r>
          </w:p>
        </w:tc>
        <w:tc>
          <w:tcPr>
            <w:tcW w:w="375" w:type="dxa"/>
            <w:noWrap/>
          </w:tcPr>
          <w:p w14:paraId="66FD590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204DAC4D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97" w:type="dxa"/>
            <w:noWrap/>
          </w:tcPr>
          <w:p w14:paraId="5ED7CD6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22" w:type="dxa"/>
            <w:noWrap/>
          </w:tcPr>
          <w:p w14:paraId="17EEE00D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42161615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686" w:type="dxa"/>
            <w:noWrap/>
          </w:tcPr>
          <w:p w14:paraId="645A08C8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6D0FC2BC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2.5%</w:t>
            </w:r>
          </w:p>
        </w:tc>
        <w:tc>
          <w:tcPr>
            <w:tcW w:w="686" w:type="dxa"/>
            <w:noWrap/>
          </w:tcPr>
          <w:p w14:paraId="10AE9D9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51" w:type="dxa"/>
            <w:noWrap/>
          </w:tcPr>
          <w:p w14:paraId="15E03D91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15.0</w:t>
            </w:r>
          </w:p>
        </w:tc>
        <w:tc>
          <w:tcPr>
            <w:tcW w:w="651" w:type="dxa"/>
            <w:noWrap/>
          </w:tcPr>
          <w:p w14:paraId="56A68E62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4EB133F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42.5</w:t>
            </w:r>
          </w:p>
        </w:tc>
        <w:tc>
          <w:tcPr>
            <w:tcW w:w="651" w:type="dxa"/>
            <w:noWrap/>
          </w:tcPr>
          <w:p w14:paraId="7F23A049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75.0</w:t>
            </w:r>
          </w:p>
        </w:tc>
      </w:tr>
      <w:tr w:rsidR="00717021" w:rsidRPr="0052460E" w14:paraId="7BCB8B83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7E03F870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T</w:t>
            </w:r>
          </w:p>
        </w:tc>
        <w:tc>
          <w:tcPr>
            <w:tcW w:w="6554" w:type="dxa"/>
          </w:tcPr>
          <w:p w14:paraId="795ED3ED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Familiarisation of fishers and their families with the internet and all related electronic services (</w:t>
            </w:r>
            <w:proofErr w:type="spellStart"/>
            <w:r w:rsidRPr="0052460E">
              <w:rPr>
                <w:color w:val="000000"/>
                <w:sz w:val="16"/>
                <w:szCs w:val="20"/>
                <w:lang w:val="en-GB"/>
              </w:rPr>
              <w:t>pescatourism</w:t>
            </w:r>
            <w:proofErr w:type="spellEnd"/>
            <w:r w:rsidRPr="0052460E">
              <w:rPr>
                <w:color w:val="000000"/>
                <w:sz w:val="16"/>
                <w:szCs w:val="20"/>
                <w:lang w:val="en-GB"/>
              </w:rPr>
              <w:t xml:space="preserve"> platforms, etc.) (T)</w:t>
            </w:r>
          </w:p>
        </w:tc>
        <w:tc>
          <w:tcPr>
            <w:tcW w:w="375" w:type="dxa"/>
            <w:noWrap/>
          </w:tcPr>
          <w:p w14:paraId="45F5130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75" w:type="dxa"/>
            <w:noWrap/>
          </w:tcPr>
          <w:p w14:paraId="65E7A49E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97" w:type="dxa"/>
            <w:noWrap/>
          </w:tcPr>
          <w:p w14:paraId="02A340A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22" w:type="dxa"/>
            <w:noWrap/>
          </w:tcPr>
          <w:p w14:paraId="4BF3244C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14" w:type="dxa"/>
            <w:noWrap/>
          </w:tcPr>
          <w:p w14:paraId="49C4603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686" w:type="dxa"/>
            <w:noWrap/>
          </w:tcPr>
          <w:p w14:paraId="0DABD7FA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14895BE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10.0</w:t>
            </w:r>
          </w:p>
        </w:tc>
        <w:tc>
          <w:tcPr>
            <w:tcW w:w="686" w:type="dxa"/>
            <w:noWrap/>
          </w:tcPr>
          <w:p w14:paraId="74985F39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651" w:type="dxa"/>
            <w:noWrap/>
          </w:tcPr>
          <w:p w14:paraId="1489FC8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651" w:type="dxa"/>
            <w:noWrap/>
          </w:tcPr>
          <w:p w14:paraId="0CA9936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651" w:type="dxa"/>
            <w:noWrap/>
          </w:tcPr>
          <w:p w14:paraId="6088670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30.0</w:t>
            </w:r>
          </w:p>
        </w:tc>
        <w:tc>
          <w:tcPr>
            <w:tcW w:w="651" w:type="dxa"/>
            <w:noWrap/>
          </w:tcPr>
          <w:p w14:paraId="6BE643FF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57.5</w:t>
            </w:r>
          </w:p>
        </w:tc>
      </w:tr>
      <w:tr w:rsidR="00717021" w:rsidRPr="0052460E" w14:paraId="732DE75E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4AB426C9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T</w:t>
            </w:r>
          </w:p>
        </w:tc>
        <w:tc>
          <w:tcPr>
            <w:tcW w:w="6554" w:type="dxa"/>
          </w:tcPr>
          <w:p w14:paraId="7C40D325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 xml:space="preserve">Incorporation of innovation in fishing activities (T). </w:t>
            </w:r>
          </w:p>
        </w:tc>
        <w:tc>
          <w:tcPr>
            <w:tcW w:w="375" w:type="dxa"/>
            <w:noWrap/>
          </w:tcPr>
          <w:p w14:paraId="5DF1226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  <w:p w14:paraId="06C0F1D5" w14:textId="77777777" w:rsidR="00717021" w:rsidRPr="0052460E" w:rsidRDefault="00717021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noWrap/>
          </w:tcPr>
          <w:p w14:paraId="330A1EE5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97" w:type="dxa"/>
            <w:noWrap/>
          </w:tcPr>
          <w:p w14:paraId="264FF89B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22" w:type="dxa"/>
            <w:noWrap/>
          </w:tcPr>
          <w:p w14:paraId="65011BBD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7691FBCC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686" w:type="dxa"/>
            <w:noWrap/>
          </w:tcPr>
          <w:p w14:paraId="5975AEA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12BA2C1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86" w:type="dxa"/>
            <w:noWrap/>
          </w:tcPr>
          <w:p w14:paraId="0B3A25A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10.0</w:t>
            </w:r>
          </w:p>
        </w:tc>
        <w:tc>
          <w:tcPr>
            <w:tcW w:w="651" w:type="dxa"/>
            <w:noWrap/>
          </w:tcPr>
          <w:p w14:paraId="50C35374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651" w:type="dxa"/>
            <w:noWrap/>
          </w:tcPr>
          <w:p w14:paraId="70657689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7F814719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651" w:type="dxa"/>
            <w:noWrap/>
          </w:tcPr>
          <w:p w14:paraId="1D91887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60.0</w:t>
            </w:r>
          </w:p>
        </w:tc>
      </w:tr>
      <w:tr w:rsidR="00717021" w:rsidRPr="0052460E" w14:paraId="6A139E92" w14:textId="77777777" w:rsidTr="003D74E5">
        <w:trPr>
          <w:trHeight w:hRule="exact" w:val="761"/>
          <w:jc w:val="center"/>
        </w:trPr>
        <w:tc>
          <w:tcPr>
            <w:tcW w:w="558" w:type="dxa"/>
            <w:noWrap/>
          </w:tcPr>
          <w:p w14:paraId="4311F7AF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T</w:t>
            </w:r>
          </w:p>
        </w:tc>
        <w:tc>
          <w:tcPr>
            <w:tcW w:w="6554" w:type="dxa"/>
          </w:tcPr>
          <w:p w14:paraId="2357DC34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 xml:space="preserve">Establishment of infrastructures for retail sales in port areas and in fishing shelters in tourist areas (as provided for by the existing framework, as is the case for example in </w:t>
            </w:r>
            <w:proofErr w:type="spellStart"/>
            <w:r w:rsidRPr="0052460E">
              <w:rPr>
                <w:color w:val="000000"/>
                <w:sz w:val="16"/>
                <w:szCs w:val="20"/>
                <w:lang w:val="en-GB"/>
              </w:rPr>
              <w:t>Varkiza</w:t>
            </w:r>
            <w:proofErr w:type="spellEnd"/>
            <w:r w:rsidRPr="0052460E">
              <w:rPr>
                <w:color w:val="000000"/>
                <w:sz w:val="16"/>
                <w:szCs w:val="20"/>
                <w:lang w:val="en-GB"/>
              </w:rPr>
              <w:t>, Attica, or on Mykonos) (T).</w:t>
            </w:r>
          </w:p>
        </w:tc>
        <w:tc>
          <w:tcPr>
            <w:tcW w:w="375" w:type="dxa"/>
            <w:noWrap/>
          </w:tcPr>
          <w:p w14:paraId="7CA7726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3EDBFBFC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97" w:type="dxa"/>
            <w:noWrap/>
          </w:tcPr>
          <w:p w14:paraId="185EB90F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22" w:type="dxa"/>
            <w:noWrap/>
          </w:tcPr>
          <w:p w14:paraId="04EE250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3F0E65D0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686" w:type="dxa"/>
            <w:noWrap/>
          </w:tcPr>
          <w:p w14:paraId="2664BD3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01BBF353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86" w:type="dxa"/>
            <w:noWrap/>
          </w:tcPr>
          <w:p w14:paraId="227272CC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12.5</w:t>
            </w:r>
          </w:p>
        </w:tc>
        <w:tc>
          <w:tcPr>
            <w:tcW w:w="651" w:type="dxa"/>
            <w:noWrap/>
          </w:tcPr>
          <w:p w14:paraId="1BAAC612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651" w:type="dxa"/>
            <w:noWrap/>
          </w:tcPr>
          <w:p w14:paraId="017D4F60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3F5AB725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25.0</w:t>
            </w:r>
          </w:p>
        </w:tc>
        <w:tc>
          <w:tcPr>
            <w:tcW w:w="651" w:type="dxa"/>
            <w:noWrap/>
          </w:tcPr>
          <w:p w14:paraId="1630D2CC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57.5</w:t>
            </w:r>
          </w:p>
        </w:tc>
      </w:tr>
      <w:tr w:rsidR="00717021" w:rsidRPr="0052460E" w14:paraId="3208621D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0DB7254D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Ec</w:t>
            </w:r>
            <w:proofErr w:type="spellEnd"/>
          </w:p>
        </w:tc>
        <w:tc>
          <w:tcPr>
            <w:tcW w:w="6554" w:type="dxa"/>
          </w:tcPr>
          <w:p w14:paraId="461EC1C8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Support of joint marketing actions with other tourist destinations in the same area, which can result in mutual profits (</w:t>
            </w:r>
            <w:proofErr w:type="spellStart"/>
            <w:r w:rsidRPr="0052460E">
              <w:rPr>
                <w:color w:val="000000"/>
                <w:sz w:val="16"/>
                <w:szCs w:val="20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20"/>
                <w:lang w:val="en-GB"/>
              </w:rPr>
              <w:t>).</w:t>
            </w:r>
          </w:p>
        </w:tc>
        <w:tc>
          <w:tcPr>
            <w:tcW w:w="375" w:type="dxa"/>
            <w:noWrap/>
          </w:tcPr>
          <w:p w14:paraId="24FCE21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75" w:type="dxa"/>
            <w:noWrap/>
          </w:tcPr>
          <w:p w14:paraId="147A23F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2CC2502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22" w:type="dxa"/>
            <w:noWrap/>
          </w:tcPr>
          <w:p w14:paraId="358A0CC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414" w:type="dxa"/>
            <w:noWrap/>
          </w:tcPr>
          <w:p w14:paraId="0C19575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686" w:type="dxa"/>
            <w:noWrap/>
          </w:tcPr>
          <w:p w14:paraId="43382953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5C964000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686" w:type="dxa"/>
            <w:noWrap/>
          </w:tcPr>
          <w:p w14:paraId="0B221A9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3662DD7C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10.0</w:t>
            </w:r>
          </w:p>
        </w:tc>
        <w:tc>
          <w:tcPr>
            <w:tcW w:w="651" w:type="dxa"/>
            <w:noWrap/>
          </w:tcPr>
          <w:p w14:paraId="09D7B49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  <w:tc>
          <w:tcPr>
            <w:tcW w:w="651" w:type="dxa"/>
            <w:noWrap/>
          </w:tcPr>
          <w:p w14:paraId="3337D6D4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651" w:type="dxa"/>
            <w:noWrap/>
          </w:tcPr>
          <w:p w14:paraId="003951EB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82.5</w:t>
            </w:r>
          </w:p>
        </w:tc>
      </w:tr>
      <w:tr w:rsidR="00717021" w:rsidRPr="0052460E" w14:paraId="4367CF44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06A8BFCB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S</w:t>
            </w:r>
          </w:p>
        </w:tc>
        <w:tc>
          <w:tcPr>
            <w:tcW w:w="6554" w:type="dxa"/>
          </w:tcPr>
          <w:p w14:paraId="12D274AA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Event organisation for the country’s fishing tradition (</w:t>
            </w:r>
            <w:proofErr w:type="gramStart"/>
            <w:r w:rsidRPr="0052460E">
              <w:rPr>
                <w:color w:val="000000"/>
                <w:sz w:val="16"/>
                <w:szCs w:val="20"/>
                <w:lang w:val="en-GB"/>
              </w:rPr>
              <w:t>e.g.</w:t>
            </w:r>
            <w:proofErr w:type="gramEnd"/>
            <w:r w:rsidRPr="0052460E">
              <w:rPr>
                <w:color w:val="000000"/>
                <w:sz w:val="16"/>
                <w:szCs w:val="20"/>
                <w:lang w:val="en-GB"/>
              </w:rPr>
              <w:t xml:space="preserve"> fishing tradition days, celebration of sardines, etc.) (S).</w:t>
            </w:r>
          </w:p>
        </w:tc>
        <w:tc>
          <w:tcPr>
            <w:tcW w:w="375" w:type="dxa"/>
            <w:noWrap/>
          </w:tcPr>
          <w:p w14:paraId="2ED24DCA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54FF026B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560C9A03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22" w:type="dxa"/>
            <w:noWrap/>
          </w:tcPr>
          <w:p w14:paraId="3C7D487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2D5111B6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686" w:type="dxa"/>
            <w:noWrap/>
          </w:tcPr>
          <w:p w14:paraId="1A2133DC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06CF3001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86" w:type="dxa"/>
            <w:noWrap/>
          </w:tcPr>
          <w:p w14:paraId="557148D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76053075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17.5</w:t>
            </w:r>
          </w:p>
        </w:tc>
        <w:tc>
          <w:tcPr>
            <w:tcW w:w="651" w:type="dxa"/>
            <w:noWrap/>
          </w:tcPr>
          <w:p w14:paraId="4020E11B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4868922A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  <w:tc>
          <w:tcPr>
            <w:tcW w:w="651" w:type="dxa"/>
            <w:noWrap/>
          </w:tcPr>
          <w:p w14:paraId="6EBC286D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80.0</w:t>
            </w:r>
          </w:p>
        </w:tc>
      </w:tr>
      <w:tr w:rsidR="00717021" w:rsidRPr="0052460E" w14:paraId="259C1227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00872C50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Ec</w:t>
            </w:r>
            <w:proofErr w:type="spellEnd"/>
          </w:p>
        </w:tc>
        <w:tc>
          <w:tcPr>
            <w:tcW w:w="6554" w:type="dxa"/>
          </w:tcPr>
          <w:p w14:paraId="5CBBACE9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Fishers can benefit from EU funds directed to cultural fishery, including projects based on tourism within the EMFF framework (</w:t>
            </w:r>
            <w:proofErr w:type="spellStart"/>
            <w:r w:rsidRPr="0052460E">
              <w:rPr>
                <w:color w:val="000000"/>
                <w:sz w:val="16"/>
                <w:szCs w:val="20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20"/>
                <w:lang w:val="en-GB"/>
              </w:rPr>
              <w:t>)</w:t>
            </w:r>
          </w:p>
        </w:tc>
        <w:tc>
          <w:tcPr>
            <w:tcW w:w="375" w:type="dxa"/>
            <w:noWrap/>
          </w:tcPr>
          <w:p w14:paraId="26E55B2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47E70424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0496C78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2" w:type="dxa"/>
            <w:noWrap/>
          </w:tcPr>
          <w:p w14:paraId="27712F7B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3C37465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686" w:type="dxa"/>
            <w:noWrap/>
          </w:tcPr>
          <w:p w14:paraId="2F9179F4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7B00480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86" w:type="dxa"/>
            <w:noWrap/>
          </w:tcPr>
          <w:p w14:paraId="54D80BD5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7F4ADBBE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17.5</w:t>
            </w:r>
          </w:p>
        </w:tc>
        <w:tc>
          <w:tcPr>
            <w:tcW w:w="651" w:type="dxa"/>
            <w:noWrap/>
          </w:tcPr>
          <w:p w14:paraId="75DD016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3A8BD683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45.0</w:t>
            </w:r>
          </w:p>
        </w:tc>
        <w:tc>
          <w:tcPr>
            <w:tcW w:w="651" w:type="dxa"/>
            <w:noWrap/>
          </w:tcPr>
          <w:p w14:paraId="21B13071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77.5</w:t>
            </w:r>
          </w:p>
        </w:tc>
      </w:tr>
      <w:tr w:rsidR="00717021" w:rsidRPr="0052460E" w14:paraId="444B293C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6F71375C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Ec</w:t>
            </w:r>
            <w:proofErr w:type="spellEnd"/>
          </w:p>
        </w:tc>
        <w:tc>
          <w:tcPr>
            <w:tcW w:w="6554" w:type="dxa"/>
          </w:tcPr>
          <w:p w14:paraId="6565B26A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Ability to create a mix of three features: fisheries – tourism – environmental protection within or close to marine protected areas (</w:t>
            </w:r>
            <w:proofErr w:type="spellStart"/>
            <w:r w:rsidRPr="0052460E">
              <w:rPr>
                <w:color w:val="000000"/>
                <w:sz w:val="16"/>
                <w:szCs w:val="20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20"/>
                <w:lang w:val="en-GB"/>
              </w:rPr>
              <w:t xml:space="preserve">). </w:t>
            </w:r>
          </w:p>
        </w:tc>
        <w:tc>
          <w:tcPr>
            <w:tcW w:w="375" w:type="dxa"/>
            <w:noWrap/>
          </w:tcPr>
          <w:p w14:paraId="097A7F3A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75" w:type="dxa"/>
            <w:noWrap/>
          </w:tcPr>
          <w:p w14:paraId="3B6F8B1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4136F174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22" w:type="dxa"/>
            <w:noWrap/>
          </w:tcPr>
          <w:p w14:paraId="73D9C6A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414" w:type="dxa"/>
            <w:noWrap/>
          </w:tcPr>
          <w:p w14:paraId="04A6FADE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686" w:type="dxa"/>
            <w:noWrap/>
          </w:tcPr>
          <w:p w14:paraId="14F2D66A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43186A1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686" w:type="dxa"/>
            <w:noWrap/>
          </w:tcPr>
          <w:p w14:paraId="1AAAB612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22178F7B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15.0</w:t>
            </w:r>
          </w:p>
        </w:tc>
        <w:tc>
          <w:tcPr>
            <w:tcW w:w="651" w:type="dxa"/>
            <w:noWrap/>
          </w:tcPr>
          <w:p w14:paraId="7CE82B5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30.0</w:t>
            </w:r>
          </w:p>
        </w:tc>
        <w:tc>
          <w:tcPr>
            <w:tcW w:w="651" w:type="dxa"/>
            <w:noWrap/>
          </w:tcPr>
          <w:p w14:paraId="71D37149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  <w:tc>
          <w:tcPr>
            <w:tcW w:w="651" w:type="dxa"/>
            <w:noWrap/>
          </w:tcPr>
          <w:p w14:paraId="57ADDEDA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77.5</w:t>
            </w:r>
          </w:p>
        </w:tc>
      </w:tr>
      <w:tr w:rsidR="00717021" w:rsidRPr="0052460E" w14:paraId="4A2BA69A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1279CD0C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P</w:t>
            </w:r>
          </w:p>
        </w:tc>
        <w:tc>
          <w:tcPr>
            <w:tcW w:w="6554" w:type="dxa"/>
          </w:tcPr>
          <w:p w14:paraId="65BC0E90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State financial support for the further differentiation of the fisherman’s profession and the establishment of a temporary suspension of fishing activities (P).</w:t>
            </w:r>
          </w:p>
        </w:tc>
        <w:tc>
          <w:tcPr>
            <w:tcW w:w="375" w:type="dxa"/>
            <w:noWrap/>
          </w:tcPr>
          <w:p w14:paraId="7A8795E8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75" w:type="dxa"/>
            <w:noWrap/>
          </w:tcPr>
          <w:p w14:paraId="3E8EDF31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0A1522A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22" w:type="dxa"/>
            <w:noWrap/>
          </w:tcPr>
          <w:p w14:paraId="67DF6849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00B0AFE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686" w:type="dxa"/>
            <w:noWrap/>
          </w:tcPr>
          <w:p w14:paraId="15583224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73885C0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686" w:type="dxa"/>
            <w:noWrap/>
          </w:tcPr>
          <w:p w14:paraId="513F72CA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0A238362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651" w:type="dxa"/>
            <w:noWrap/>
          </w:tcPr>
          <w:p w14:paraId="0F73EB7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6D1D1C2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25.0</w:t>
            </w:r>
          </w:p>
        </w:tc>
        <w:tc>
          <w:tcPr>
            <w:tcW w:w="651" w:type="dxa"/>
            <w:noWrap/>
          </w:tcPr>
          <w:p w14:paraId="10CE01E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57.5</w:t>
            </w:r>
          </w:p>
        </w:tc>
      </w:tr>
      <w:tr w:rsidR="00717021" w:rsidRPr="0052460E" w14:paraId="1BDFFE82" w14:textId="77777777" w:rsidTr="003D74E5">
        <w:trPr>
          <w:trHeight w:hRule="exact" w:val="753"/>
          <w:jc w:val="center"/>
        </w:trPr>
        <w:tc>
          <w:tcPr>
            <w:tcW w:w="558" w:type="dxa"/>
            <w:noWrap/>
          </w:tcPr>
          <w:p w14:paraId="07A337D1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P</w:t>
            </w:r>
          </w:p>
        </w:tc>
        <w:tc>
          <w:tcPr>
            <w:tcW w:w="6554" w:type="dxa"/>
          </w:tcPr>
          <w:p w14:paraId="1BA1068C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Amendment of the existing regulatory framework in order to provide the opportunity to fishers to expand their tourism activities beyond a mere embarkation and transfer of tourists on small-scale fishing boats for entertainment and cultural purposes (P).</w:t>
            </w:r>
          </w:p>
        </w:tc>
        <w:tc>
          <w:tcPr>
            <w:tcW w:w="375" w:type="dxa"/>
            <w:noWrap/>
          </w:tcPr>
          <w:p w14:paraId="0B84F67D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75" w:type="dxa"/>
            <w:noWrap/>
          </w:tcPr>
          <w:p w14:paraId="06F0D3C8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7" w:type="dxa"/>
            <w:noWrap/>
          </w:tcPr>
          <w:p w14:paraId="5FF9663D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22" w:type="dxa"/>
            <w:noWrap/>
          </w:tcPr>
          <w:p w14:paraId="7DD4100B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14" w:type="dxa"/>
            <w:noWrap/>
          </w:tcPr>
          <w:p w14:paraId="4B7866B0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686" w:type="dxa"/>
            <w:noWrap/>
          </w:tcPr>
          <w:p w14:paraId="65084EF8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0ACA628E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86" w:type="dxa"/>
            <w:noWrap/>
          </w:tcPr>
          <w:p w14:paraId="113388A0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51" w:type="dxa"/>
            <w:noWrap/>
          </w:tcPr>
          <w:p w14:paraId="010D2DF5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20.0</w:t>
            </w:r>
          </w:p>
        </w:tc>
        <w:tc>
          <w:tcPr>
            <w:tcW w:w="651" w:type="dxa"/>
            <w:noWrap/>
          </w:tcPr>
          <w:p w14:paraId="71A8BC95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651" w:type="dxa"/>
            <w:noWrap/>
          </w:tcPr>
          <w:p w14:paraId="7157A340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37.5</w:t>
            </w:r>
          </w:p>
        </w:tc>
        <w:tc>
          <w:tcPr>
            <w:tcW w:w="651" w:type="dxa"/>
            <w:noWrap/>
          </w:tcPr>
          <w:p w14:paraId="4A1ED50C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70.0</w:t>
            </w:r>
          </w:p>
        </w:tc>
      </w:tr>
      <w:tr w:rsidR="00717021" w:rsidRPr="0052460E" w14:paraId="72D95963" w14:textId="77777777" w:rsidTr="003D74E5">
        <w:trPr>
          <w:trHeight w:hRule="exact" w:val="567"/>
          <w:jc w:val="center"/>
        </w:trPr>
        <w:tc>
          <w:tcPr>
            <w:tcW w:w="558" w:type="dxa"/>
            <w:noWrap/>
          </w:tcPr>
          <w:p w14:paraId="7B339033" w14:textId="77777777" w:rsidR="00717021" w:rsidRPr="0052460E" w:rsidRDefault="00717021" w:rsidP="003D74E5">
            <w:pPr>
              <w:jc w:val="center"/>
              <w:rPr>
                <w:sz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20"/>
                <w:lang w:val="en-GB"/>
              </w:rPr>
              <w:t>S</w:t>
            </w:r>
          </w:p>
        </w:tc>
        <w:tc>
          <w:tcPr>
            <w:tcW w:w="6554" w:type="dxa"/>
          </w:tcPr>
          <w:p w14:paraId="042FDF9B" w14:textId="77777777" w:rsidR="00717021" w:rsidRPr="0052460E" w:rsidRDefault="00717021" w:rsidP="003D74E5">
            <w:pPr>
              <w:rPr>
                <w:sz w:val="16"/>
                <w:lang w:val="en-GB"/>
              </w:rPr>
            </w:pPr>
            <w:r w:rsidRPr="0052460E">
              <w:rPr>
                <w:color w:val="000000"/>
                <w:sz w:val="16"/>
                <w:szCs w:val="20"/>
                <w:lang w:val="en-GB"/>
              </w:rPr>
              <w:t>Fishers’ participation in planning and decision-making processes related to coastal and marine areas (S).</w:t>
            </w:r>
          </w:p>
        </w:tc>
        <w:tc>
          <w:tcPr>
            <w:tcW w:w="375" w:type="dxa"/>
            <w:noWrap/>
          </w:tcPr>
          <w:p w14:paraId="3BA1E02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75" w:type="dxa"/>
            <w:noWrap/>
          </w:tcPr>
          <w:p w14:paraId="4C20FD6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97" w:type="dxa"/>
            <w:noWrap/>
          </w:tcPr>
          <w:p w14:paraId="28A62BF7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22" w:type="dxa"/>
            <w:noWrap/>
          </w:tcPr>
          <w:p w14:paraId="09F16A84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414" w:type="dxa"/>
            <w:noWrap/>
          </w:tcPr>
          <w:p w14:paraId="0D8FFDE2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686" w:type="dxa"/>
            <w:noWrap/>
          </w:tcPr>
          <w:p w14:paraId="680B75DB" w14:textId="77777777" w:rsidR="00717021" w:rsidRPr="0052460E" w:rsidRDefault="00717021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576" w:type="dxa"/>
            <w:noWrap/>
          </w:tcPr>
          <w:p w14:paraId="1AB53996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686" w:type="dxa"/>
            <w:noWrap/>
          </w:tcPr>
          <w:p w14:paraId="356EFFF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51" w:type="dxa"/>
            <w:noWrap/>
          </w:tcPr>
          <w:p w14:paraId="7E5E83B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10.3</w:t>
            </w:r>
          </w:p>
        </w:tc>
        <w:tc>
          <w:tcPr>
            <w:tcW w:w="651" w:type="dxa"/>
            <w:noWrap/>
          </w:tcPr>
          <w:p w14:paraId="0AEFED48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45.0</w:t>
            </w:r>
          </w:p>
        </w:tc>
        <w:tc>
          <w:tcPr>
            <w:tcW w:w="651" w:type="dxa"/>
            <w:noWrap/>
          </w:tcPr>
          <w:p w14:paraId="316EA8EA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651" w:type="dxa"/>
            <w:noWrap/>
          </w:tcPr>
          <w:p w14:paraId="7D52F6F7" w14:textId="77777777" w:rsidR="00717021" w:rsidRPr="0052460E" w:rsidRDefault="00717021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80.0</w:t>
            </w:r>
          </w:p>
        </w:tc>
      </w:tr>
    </w:tbl>
    <w:p w14:paraId="17472E51" w14:textId="75873DD8" w:rsidR="00717021" w:rsidRPr="0052460E" w:rsidRDefault="00717021" w:rsidP="00717021">
      <w:pPr>
        <w:rPr>
          <w:bCs/>
          <w:sz w:val="20"/>
        </w:rPr>
      </w:pPr>
      <w:r>
        <w:rPr>
          <w:b/>
          <w:bCs/>
          <w:sz w:val="20"/>
        </w:rPr>
        <w:t xml:space="preserve">  </w:t>
      </w:r>
      <w:r w:rsidRPr="0052460E">
        <w:rPr>
          <w:b/>
          <w:bCs/>
          <w:sz w:val="20"/>
        </w:rPr>
        <w:t xml:space="preserve">Source: </w:t>
      </w:r>
      <w:r w:rsidRPr="0052460E">
        <w:rPr>
          <w:bCs/>
          <w:sz w:val="20"/>
        </w:rPr>
        <w:t>Online Survey</w:t>
      </w:r>
    </w:p>
    <w:p w14:paraId="20C89CF0" w14:textId="57945167" w:rsidR="00717021" w:rsidRPr="0052460E" w:rsidRDefault="00717021" w:rsidP="00717021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</w:t>
      </w:r>
      <w:r w:rsidRPr="0052460E">
        <w:rPr>
          <w:bCs/>
          <w:i/>
          <w:iCs/>
          <w:sz w:val="20"/>
        </w:rPr>
        <w:t xml:space="preserve">1-absent, 2-not relevant, 3-low priority, 4-very important, 5-extremely important.  </w:t>
      </w:r>
    </w:p>
    <w:p w14:paraId="745E8300" w14:textId="77777777" w:rsidR="00717021" w:rsidRDefault="00717021"/>
    <w:sectPr w:rsidR="00717021" w:rsidSect="0071702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62AC" w14:textId="77777777" w:rsidR="0014287D" w:rsidRDefault="0014287D" w:rsidP="00AD772E">
      <w:r>
        <w:separator/>
      </w:r>
    </w:p>
  </w:endnote>
  <w:endnote w:type="continuationSeparator" w:id="0">
    <w:p w14:paraId="6ED14776" w14:textId="77777777" w:rsidR="0014287D" w:rsidRDefault="0014287D" w:rsidP="00AD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9772C" w14:textId="77777777" w:rsidR="0014287D" w:rsidRDefault="0014287D" w:rsidP="00AD772E">
      <w:r>
        <w:separator/>
      </w:r>
    </w:p>
  </w:footnote>
  <w:footnote w:type="continuationSeparator" w:id="0">
    <w:p w14:paraId="75465C7E" w14:textId="77777777" w:rsidR="0014287D" w:rsidRDefault="0014287D" w:rsidP="00AD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A238" w14:textId="68633FB5" w:rsidR="00AD772E" w:rsidRDefault="00AD772E">
    <w:pPr>
      <w:pStyle w:val="Header"/>
    </w:pPr>
    <w:r w:rsidRPr="005A1D84">
      <w:rPr>
        <w:noProof/>
        <w:color w:val="A6A6A6" w:themeColor="background1" w:themeShade="A6"/>
        <w:lang w:val="el-GR" w:eastAsia="el-GR"/>
      </w:rPr>
      <w:drawing>
        <wp:inline distT="0" distB="0" distL="0" distR="0" wp14:anchorId="428FF6E5" wp14:editId="27FF7780">
          <wp:extent cx="1382534" cy="497091"/>
          <wp:effectExtent l="0" t="0" r="0" b="0"/>
          <wp:docPr id="8" name="Picture 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1"/>
    <w:rsid w:val="0014287D"/>
    <w:rsid w:val="002B6FC4"/>
    <w:rsid w:val="004472DC"/>
    <w:rsid w:val="00717021"/>
    <w:rsid w:val="00A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5A7065"/>
  <w15:chartTrackingRefBased/>
  <w15:docId w15:val="{DFEF6D2D-60F8-2142-BB02-4F318E50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2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021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72E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D7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72E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3</cp:revision>
  <dcterms:created xsi:type="dcterms:W3CDTF">2021-03-15T15:54:00Z</dcterms:created>
  <dcterms:modified xsi:type="dcterms:W3CDTF">2021-03-15T16:15:00Z</dcterms:modified>
</cp:coreProperties>
</file>