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D124" w14:textId="3B8328B1" w:rsidR="00355941" w:rsidRPr="009F4E62" w:rsidRDefault="00355941" w:rsidP="009F4E62">
      <w:pPr>
        <w:pStyle w:val="NormalWeb"/>
        <w:spacing w:before="0" w:beforeAutospacing="0" w:after="0" w:afterAutospacing="0" w:line="480" w:lineRule="auto"/>
      </w:pPr>
      <w:r w:rsidRPr="009F4E62">
        <w:rPr>
          <w:b/>
          <w:bCs/>
          <w:color w:val="000000"/>
        </w:rPr>
        <w:t>Inclusion Criteria </w:t>
      </w:r>
    </w:p>
    <w:p w14:paraId="3E463EA6" w14:textId="2AA9A1A9" w:rsidR="00355941" w:rsidRPr="009F4E62" w:rsidRDefault="00355941" w:rsidP="009F4E62">
      <w:pPr>
        <w:pStyle w:val="NormalWeb"/>
        <w:numPr>
          <w:ilvl w:val="0"/>
          <w:numId w:val="1"/>
        </w:numPr>
        <w:spacing w:before="0" w:beforeAutospacing="0" w:after="0" w:afterAutospacing="0" w:line="480" w:lineRule="auto"/>
        <w:textAlignment w:val="baseline"/>
        <w:rPr>
          <w:color w:val="000000"/>
        </w:rPr>
      </w:pPr>
      <w:r w:rsidRPr="009F4E62">
        <w:rPr>
          <w:color w:val="000000"/>
        </w:rPr>
        <w:t>The study reports primary data</w:t>
      </w:r>
      <w:r w:rsidR="00BB0F8F">
        <w:rPr>
          <w:color w:val="000000"/>
        </w:rPr>
        <w:t xml:space="preserve">. </w:t>
      </w:r>
      <w:r w:rsidRPr="009F4E62">
        <w:rPr>
          <w:color w:val="000000"/>
        </w:rPr>
        <w:t>Reports of individual cases are suitable if they otherwise fulfill the remaining inclusion criteria.</w:t>
      </w:r>
    </w:p>
    <w:p w14:paraId="75759719" w14:textId="17471196" w:rsidR="00251FEE" w:rsidRDefault="00355941" w:rsidP="009F4E62">
      <w:pPr>
        <w:pStyle w:val="NormalWeb"/>
        <w:numPr>
          <w:ilvl w:val="0"/>
          <w:numId w:val="1"/>
        </w:numPr>
        <w:spacing w:before="0" w:beforeAutospacing="0" w:after="0" w:afterAutospacing="0" w:line="480" w:lineRule="auto"/>
        <w:textAlignment w:val="baseline"/>
        <w:rPr>
          <w:color w:val="000000"/>
        </w:rPr>
      </w:pPr>
      <w:r w:rsidRPr="009F4E62">
        <w:rPr>
          <w:color w:val="000000"/>
        </w:rPr>
        <w:t>The study is published in complete form in a peer-reviewed journal</w:t>
      </w:r>
      <w:r w:rsidR="00402B33">
        <w:rPr>
          <w:color w:val="000000"/>
        </w:rPr>
        <w:t xml:space="preserve"> from 1978 onwards</w:t>
      </w:r>
      <w:r w:rsidR="00745E9C">
        <w:rPr>
          <w:color w:val="000000"/>
        </w:rPr>
        <w:t xml:space="preserve">, following the establishment of </w:t>
      </w:r>
      <w:r w:rsidR="00745E9C">
        <w:rPr>
          <w:color w:val="000000"/>
          <w:shd w:val="clear" w:color="auto" w:fill="FFFFFF"/>
        </w:rPr>
        <w:t>an autoimmune response against muscle AChR in MG</w:t>
      </w:r>
      <w:r w:rsidRPr="009F4E62">
        <w:rPr>
          <w:color w:val="000000"/>
        </w:rPr>
        <w:t>; if written in a language other than English, it will be translated to assess suitability. </w:t>
      </w:r>
    </w:p>
    <w:p w14:paraId="5949B7FE" w14:textId="70665BFA" w:rsidR="00610DA1" w:rsidRPr="00251FEE" w:rsidRDefault="00355941" w:rsidP="009F4E62">
      <w:pPr>
        <w:pStyle w:val="NormalWeb"/>
        <w:numPr>
          <w:ilvl w:val="0"/>
          <w:numId w:val="1"/>
        </w:numPr>
        <w:spacing w:before="0" w:beforeAutospacing="0" w:after="0" w:afterAutospacing="0" w:line="480" w:lineRule="auto"/>
        <w:textAlignment w:val="baseline"/>
        <w:rPr>
          <w:color w:val="000000"/>
        </w:rPr>
      </w:pPr>
      <w:r w:rsidRPr="009F4E62">
        <w:t xml:space="preserve">Myasthenia gravis is diagnosed </w:t>
      </w:r>
      <w:r w:rsidR="00610DA1" w:rsidRPr="009F4E62">
        <w:t xml:space="preserve">based on compatible clinical features </w:t>
      </w:r>
      <w:r w:rsidR="00251FEE" w:rsidRPr="009F4E62">
        <w:t xml:space="preserve">(i.e. </w:t>
      </w:r>
      <w:r w:rsidR="00251FEE" w:rsidRPr="009F4E62">
        <w:rPr>
          <w:color w:val="000000"/>
          <w:shd w:val="clear" w:color="auto" w:fill="FFFFFF"/>
        </w:rPr>
        <w:t>fluctuating</w:t>
      </w:r>
      <w:r w:rsidR="00251FEE" w:rsidRPr="00251FEE">
        <w:rPr>
          <w:color w:val="000000"/>
          <w:shd w:val="clear" w:color="auto" w:fill="FFFFFF"/>
        </w:rPr>
        <w:t xml:space="preserve"> fatigability and weakness affecting ocular, bulbar and proximal</w:t>
      </w:r>
      <w:r w:rsidR="00251FEE">
        <w:rPr>
          <w:color w:val="000000"/>
          <w:shd w:val="clear" w:color="auto" w:fill="FFFFFF"/>
        </w:rPr>
        <w:t xml:space="preserve"> </w:t>
      </w:r>
      <w:r w:rsidR="00251FEE" w:rsidRPr="00251FEE">
        <w:rPr>
          <w:color w:val="000000"/>
          <w:shd w:val="clear" w:color="auto" w:fill="FFFFFF"/>
        </w:rPr>
        <w:t>limb skeletal muscle groups</w:t>
      </w:r>
      <w:r w:rsidR="00251FEE">
        <w:rPr>
          <w:color w:val="000000"/>
        </w:rPr>
        <w:t xml:space="preserve">) </w:t>
      </w:r>
      <w:r w:rsidR="00610DA1" w:rsidRPr="00610DA1">
        <w:t xml:space="preserve">together with </w:t>
      </w:r>
      <w:r w:rsidR="00251FEE">
        <w:t>one</w:t>
      </w:r>
      <w:r w:rsidR="00610DA1" w:rsidRPr="00610DA1">
        <w:t xml:space="preserve"> or more of the following criteria:</w:t>
      </w:r>
    </w:p>
    <w:p w14:paraId="4F1301E2" w14:textId="160CFBAC" w:rsidR="00355941" w:rsidRDefault="00355941" w:rsidP="00E85982">
      <w:pPr>
        <w:pStyle w:val="NormalWeb"/>
        <w:numPr>
          <w:ilvl w:val="1"/>
          <w:numId w:val="2"/>
        </w:numPr>
        <w:spacing w:before="0" w:beforeAutospacing="0" w:after="0" w:afterAutospacing="0" w:line="480" w:lineRule="auto"/>
        <w:textAlignment w:val="baseline"/>
        <w:rPr>
          <w:color w:val="000000"/>
        </w:rPr>
      </w:pPr>
      <w:r w:rsidRPr="00610DA1">
        <w:rPr>
          <w:color w:val="000000"/>
        </w:rPr>
        <w:t xml:space="preserve">Serum anti-AChR antibody levels </w:t>
      </w:r>
      <m:oMath>
        <m:r>
          <w:rPr>
            <w:rFonts w:ascii="Cambria Math" w:hAnsi="Cambria Math"/>
            <w:color w:val="000000"/>
          </w:rPr>
          <m:t>≥</m:t>
        </m:r>
      </m:oMath>
      <w:r w:rsidRPr="00610DA1">
        <w:rPr>
          <w:color w:val="000000"/>
        </w:rPr>
        <w:t xml:space="preserve">0.4 nmol/L </w:t>
      </w:r>
    </w:p>
    <w:p w14:paraId="0C945218" w14:textId="0B1FA48B" w:rsidR="00C25252" w:rsidRDefault="00C25252" w:rsidP="00C25252">
      <w:pPr>
        <w:pStyle w:val="NormalWeb"/>
        <w:numPr>
          <w:ilvl w:val="1"/>
          <w:numId w:val="2"/>
        </w:numPr>
        <w:spacing w:before="0" w:beforeAutospacing="0" w:after="0" w:afterAutospacing="0" w:line="480" w:lineRule="auto"/>
        <w:textAlignment w:val="baseline"/>
        <w:rPr>
          <w:color w:val="000000"/>
        </w:rPr>
      </w:pPr>
      <w:r w:rsidRPr="00355941">
        <w:rPr>
          <w:color w:val="000000"/>
        </w:rPr>
        <w:t xml:space="preserve">Serum anti-MuSK antibody levels </w:t>
      </w:r>
      <m:oMath>
        <m:r>
          <w:rPr>
            <w:rFonts w:ascii="Cambria Math" w:hAnsi="Cambria Math"/>
            <w:color w:val="000000"/>
          </w:rPr>
          <m:t>≥</m:t>
        </m:r>
      </m:oMath>
      <w:r w:rsidRPr="00355941">
        <w:rPr>
          <w:color w:val="000000"/>
        </w:rPr>
        <w:t>0.</w:t>
      </w:r>
      <w:r>
        <w:rPr>
          <w:color w:val="000000"/>
        </w:rPr>
        <w:t>5</w:t>
      </w:r>
      <w:r w:rsidRPr="00355941">
        <w:rPr>
          <w:color w:val="000000"/>
        </w:rPr>
        <w:t xml:space="preserve"> nmol/L </w:t>
      </w:r>
    </w:p>
    <w:p w14:paraId="2D82B8AE" w14:textId="57F81EAB" w:rsidR="00C25252" w:rsidRPr="00610DA1" w:rsidRDefault="00C25252" w:rsidP="00E85982">
      <w:pPr>
        <w:pStyle w:val="NormalWeb"/>
        <w:numPr>
          <w:ilvl w:val="1"/>
          <w:numId w:val="2"/>
        </w:numPr>
        <w:spacing w:before="0" w:beforeAutospacing="0" w:after="0" w:afterAutospacing="0" w:line="480" w:lineRule="auto"/>
        <w:textAlignment w:val="baseline"/>
        <w:rPr>
          <w:color w:val="000000"/>
        </w:rPr>
      </w:pPr>
      <w:r>
        <w:rPr>
          <w:color w:val="000000"/>
        </w:rPr>
        <w:t>ELISA or cell-based assay (CBA) confirmation of anti-AChR or anti-MuSK antibodies</w:t>
      </w:r>
    </w:p>
    <w:p w14:paraId="54781C80" w14:textId="4799B758" w:rsidR="005A0172" w:rsidRDefault="00610DA1" w:rsidP="005A0172">
      <w:pPr>
        <w:pStyle w:val="NormalWeb"/>
        <w:numPr>
          <w:ilvl w:val="1"/>
          <w:numId w:val="2"/>
        </w:numPr>
        <w:spacing w:before="0" w:beforeAutospacing="0" w:after="0" w:afterAutospacing="0" w:line="480" w:lineRule="auto"/>
        <w:textAlignment w:val="baseline"/>
        <w:rPr>
          <w:color w:val="000000"/>
        </w:rPr>
      </w:pPr>
      <w:r w:rsidRPr="00610DA1">
        <w:t>Electrophysiological study findings compatible with a postsynaptic neuromuscular junction disorder (repetitive stimulation, single-fiber electromyography, or both)</w:t>
      </w:r>
    </w:p>
    <w:p w14:paraId="0CDC7023" w14:textId="54CC5C80" w:rsidR="00A77DF3" w:rsidRPr="00EC2060" w:rsidRDefault="001D50D7" w:rsidP="00EC2060">
      <w:pPr>
        <w:pStyle w:val="NormalWeb"/>
        <w:numPr>
          <w:ilvl w:val="0"/>
          <w:numId w:val="2"/>
        </w:numPr>
        <w:spacing w:before="0" w:beforeAutospacing="0" w:after="0" w:afterAutospacing="0" w:line="480" w:lineRule="auto"/>
        <w:textAlignment w:val="baseline"/>
        <w:rPr>
          <w:color w:val="000000"/>
        </w:rPr>
      </w:pPr>
      <w:r w:rsidRPr="00EC2060">
        <w:rPr>
          <w:color w:val="000000"/>
        </w:rPr>
        <w:t xml:space="preserve">The study describes an infection that precedes the diagnosis of MG or is detected upon MG diagnosis. </w:t>
      </w:r>
      <w:r w:rsidR="005A0172">
        <w:rPr>
          <w:color w:val="000000"/>
        </w:rPr>
        <w:t xml:space="preserve">Studies that describe infections where the onset is unclear in relation to MG will be considered, if they otherwise satisfy the remaining inclusion criteria.  </w:t>
      </w:r>
    </w:p>
    <w:p w14:paraId="0DA0A124" w14:textId="77777777" w:rsidR="008658C6" w:rsidRDefault="00941A5A" w:rsidP="008658C6">
      <w:pPr>
        <w:pStyle w:val="NormalWeb"/>
        <w:spacing w:line="480" w:lineRule="auto"/>
        <w:textAlignment w:val="baseline"/>
        <w:rPr>
          <w:color w:val="000000"/>
          <w:u w:val="single"/>
        </w:rPr>
      </w:pPr>
      <w:r>
        <w:rPr>
          <w:color w:val="000000"/>
          <w:u w:val="single"/>
        </w:rPr>
        <w:t>Refined s</w:t>
      </w:r>
      <w:r w:rsidRPr="00941A5A">
        <w:rPr>
          <w:color w:val="000000"/>
          <w:u w:val="single"/>
        </w:rPr>
        <w:t xml:space="preserve">earches </w:t>
      </w:r>
      <w:r w:rsidR="009142F3">
        <w:rPr>
          <w:color w:val="000000"/>
          <w:u w:val="single"/>
        </w:rPr>
        <w:t xml:space="preserve">conducted </w:t>
      </w:r>
      <w:r w:rsidRPr="00941A5A">
        <w:rPr>
          <w:color w:val="000000"/>
          <w:u w:val="single"/>
        </w:rPr>
        <w:t>in PubMed</w:t>
      </w:r>
      <w:r>
        <w:rPr>
          <w:color w:val="000000"/>
          <w:u w:val="single"/>
        </w:rPr>
        <w:t xml:space="preserve">: </w:t>
      </w:r>
    </w:p>
    <w:p w14:paraId="723CC370" w14:textId="4A7339A9" w:rsidR="009142F3" w:rsidRPr="008658C6" w:rsidRDefault="00081CF5" w:rsidP="008658C6">
      <w:pPr>
        <w:pStyle w:val="NormalWeb"/>
        <w:spacing w:line="480" w:lineRule="auto"/>
        <w:textAlignment w:val="baseline"/>
        <w:rPr>
          <w:color w:val="000000"/>
          <w:u w:val="single"/>
        </w:rPr>
      </w:pPr>
      <w:r w:rsidRPr="00AE1256">
        <w:t xml:space="preserve">((myasthenia gravis[MeSH Terms]) OR (myasthenia gravis)) AND ((pathogen[MeSH Terms]) OR (pathogen)OR (infectio*) OR (infectio*[MeSH Terms])) AND ((virus) OR (virus[MeSH </w:t>
      </w:r>
      <w:r w:rsidRPr="00AE1256">
        <w:lastRenderedPageBreak/>
        <w:t>Terms]) OR (viral) OR (virus[MeSH Terms]) OR ((bacteria) OR (bacteria[MeSH Terms]) OR (bacterial) OR (bacterial[MeSH Terms])) OR ((parasite) OR (parasite[MeSH Terms]) OR (parasitic)) OR (parasitic[MeSH Terms]) OR (fungus) OR (fungus [MeSH Terms]) OR (fungal) OR (fungal[MeSH Terms]) OR (archaea) OR (archaea[MeSH Terms]) OR (protozoa) OR (protozoa[MeSH Terms]) OR (algae) OR (algae[MeSH Terms] OR (prion) OR (prion[MeSH Terms])))</w:t>
      </w:r>
    </w:p>
    <w:p w14:paraId="1867A36D" w14:textId="49498D27" w:rsidR="00677D16" w:rsidRDefault="00677D16" w:rsidP="00677D16">
      <w:pPr>
        <w:pStyle w:val="NormalWeb"/>
        <w:spacing w:line="480" w:lineRule="auto"/>
        <w:textAlignment w:val="baseline"/>
        <w:rPr>
          <w:b/>
          <w:bCs/>
          <w:color w:val="000000"/>
          <w:lang w:val="en-US"/>
        </w:rPr>
      </w:pPr>
      <w:r w:rsidRPr="00677D16">
        <w:rPr>
          <w:b/>
          <w:bCs/>
          <w:color w:val="000000"/>
          <w:lang w:val="en-US"/>
        </w:rPr>
        <w:t>Integrated Metric of Evidence</w:t>
      </w:r>
      <w:r w:rsidR="00C407F6">
        <w:rPr>
          <w:b/>
          <w:bCs/>
          <w:color w:val="000000"/>
          <w:lang w:val="en-US"/>
        </w:rPr>
        <w:t xml:space="preserve"> Calculation and Score Derivations</w:t>
      </w:r>
    </w:p>
    <w:p w14:paraId="6FA72457" w14:textId="6C488949" w:rsidR="001025A1" w:rsidRDefault="00677D16" w:rsidP="001025A1">
      <w:pPr>
        <w:pStyle w:val="NormalWeb"/>
        <w:spacing w:line="480" w:lineRule="auto"/>
        <w:jc w:val="both"/>
      </w:pPr>
      <w:r w:rsidRPr="001025A1">
        <w:rPr>
          <w:color w:val="000000"/>
          <w:lang w:val="en-US"/>
        </w:rPr>
        <w:t>For each infectio</w:t>
      </w:r>
      <w:r w:rsidR="00300343" w:rsidRPr="001025A1">
        <w:rPr>
          <w:color w:val="000000"/>
          <w:lang w:val="en-US"/>
        </w:rPr>
        <w:t xml:space="preserve">us disease identified in a paper, an integrated metric of evidence (IME) will be computed as follows: </w:t>
      </w:r>
      <w:r w:rsidR="00300343" w:rsidRPr="009142F3">
        <w:t>IME = 2D + Q + C + 2L + I + N</w:t>
      </w:r>
      <w:r w:rsidR="001025A1" w:rsidRPr="009142F3">
        <w:t>;</w:t>
      </w:r>
      <w:r w:rsidR="001025A1" w:rsidRPr="001025A1">
        <w:t xml:space="preserve"> where study design (D) and quality (Q), confidence of </w:t>
      </w:r>
      <w:r w:rsidR="00356D73">
        <w:t>infectious disease</w:t>
      </w:r>
      <w:r w:rsidR="001025A1" w:rsidRPr="001025A1">
        <w:t xml:space="preserve"> diagnosis (C), likelihood of a causal link between </w:t>
      </w:r>
      <w:r w:rsidR="001025A1">
        <w:t>pathogen</w:t>
      </w:r>
      <w:r w:rsidR="002B39FB">
        <w:t xml:space="preserve"> and</w:t>
      </w:r>
      <w:r w:rsidR="001025A1" w:rsidRPr="001025A1">
        <w:t xml:space="preserve"> </w:t>
      </w:r>
      <w:r w:rsidR="001025A1">
        <w:t xml:space="preserve">MG </w:t>
      </w:r>
      <w:r w:rsidR="001025A1" w:rsidRPr="001025A1">
        <w:t xml:space="preserve">(L), confidence of </w:t>
      </w:r>
      <w:r w:rsidR="001025A1">
        <w:t xml:space="preserve">MG </w:t>
      </w:r>
      <w:r w:rsidR="001025A1" w:rsidRPr="001025A1">
        <w:t xml:space="preserve">diagnosis (I), and the number of patients with a given </w:t>
      </w:r>
      <w:r w:rsidR="001025A1">
        <w:t xml:space="preserve">infection </w:t>
      </w:r>
      <w:r w:rsidR="001025A1" w:rsidRPr="001025A1">
        <w:t>(N</w:t>
      </w:r>
      <w:r w:rsidR="001025A1">
        <w:t xml:space="preserve">) will be assessed. </w:t>
      </w:r>
      <w:r w:rsidR="001025A1" w:rsidRPr="001025A1">
        <w:t xml:space="preserve"> </w:t>
      </w:r>
      <w:r w:rsidR="003A7564">
        <w:t xml:space="preserve">A maximum normalized score of 1 will be assigned for each value, yielding a total maximum score of 8. </w:t>
      </w:r>
    </w:p>
    <w:p w14:paraId="0CAE0957" w14:textId="540E0F09" w:rsidR="00C52850" w:rsidRDefault="00C52850" w:rsidP="00300343">
      <w:pPr>
        <w:pStyle w:val="NormalWeb"/>
        <w:spacing w:line="480" w:lineRule="auto"/>
      </w:pPr>
      <w:r>
        <w:t xml:space="preserve">Papers identifying patients infected with &gt;1 </w:t>
      </w:r>
      <w:r w:rsidR="00C407F6">
        <w:t xml:space="preserve">pathogen </w:t>
      </w:r>
      <w:r>
        <w:t xml:space="preserve">will not be assigned an IME score. </w:t>
      </w:r>
    </w:p>
    <w:p w14:paraId="113CD1EB" w14:textId="3C9F9804" w:rsidR="00C52850" w:rsidRDefault="00C52850" w:rsidP="00C407F6">
      <w:pPr>
        <w:pStyle w:val="NormalWeb"/>
        <w:spacing w:line="480" w:lineRule="auto"/>
        <w:jc w:val="both"/>
      </w:pPr>
      <w:r>
        <w:t xml:space="preserve">An IME value of 0 will be applied when a study suggests against a causal relationship between the infectious agent and MG </w:t>
      </w:r>
    </w:p>
    <w:p w14:paraId="030666D4" w14:textId="3E433B68" w:rsidR="00C407F6" w:rsidRDefault="00C407F6" w:rsidP="00C407F6">
      <w:pPr>
        <w:pStyle w:val="NormalWeb"/>
        <w:spacing w:line="480" w:lineRule="auto"/>
        <w:jc w:val="both"/>
      </w:pPr>
      <w:r w:rsidRPr="00C407F6">
        <w:rPr>
          <w:b/>
          <w:bCs/>
        </w:rPr>
        <w:t>D score</w:t>
      </w:r>
      <w:r>
        <w:rPr>
          <w:b/>
          <w:bCs/>
        </w:rPr>
        <w:t xml:space="preserve">: </w:t>
      </w:r>
      <w:r w:rsidR="00300343">
        <w:t>A score D, from 1</w:t>
      </w:r>
      <w:r w:rsidR="007E0403">
        <w:t xml:space="preserve"> (</w:t>
      </w:r>
      <w:r w:rsidR="00300343">
        <w:t>lowest</w:t>
      </w:r>
      <w:r w:rsidR="007E0403">
        <w:t>)</w:t>
      </w:r>
      <w:r w:rsidR="00300343">
        <w:t xml:space="preserve"> to </w:t>
      </w:r>
      <w:r w:rsidR="00030BF9">
        <w:t>6</w:t>
      </w:r>
      <w:r w:rsidR="007E0403">
        <w:t xml:space="preserve"> (highest)</w:t>
      </w:r>
      <w:r w:rsidR="00300343">
        <w:t xml:space="preserve"> will be given based on </w:t>
      </w:r>
      <w:r w:rsidR="00030BF9">
        <w:t xml:space="preserve">study design. </w:t>
      </w:r>
      <w:r w:rsidRPr="00C407F6">
        <w:t>A “'Retrospective case series or case report” w</w:t>
      </w:r>
      <w:r>
        <w:t xml:space="preserve">ill be </w:t>
      </w:r>
      <w:r w:rsidRPr="00C407F6">
        <w:t xml:space="preserve">assigned </w:t>
      </w:r>
      <w:r w:rsidR="00030BF9">
        <w:t>1</w:t>
      </w:r>
      <w:r w:rsidRPr="00C407F6">
        <w:t xml:space="preserve"> point; a “Cross-sectional study” w</w:t>
      </w:r>
      <w:r>
        <w:t>ill be</w:t>
      </w:r>
      <w:r w:rsidRPr="00C407F6">
        <w:t xml:space="preserve"> given </w:t>
      </w:r>
      <w:r w:rsidR="00030BF9">
        <w:t>2</w:t>
      </w:r>
      <w:r w:rsidRPr="00C407F6">
        <w:t xml:space="preserve"> points; a “Retrospective cohort or case-control study” w</w:t>
      </w:r>
      <w:r>
        <w:t>ill be</w:t>
      </w:r>
      <w:r w:rsidRPr="00C407F6">
        <w:t xml:space="preserve"> assigned </w:t>
      </w:r>
      <w:r w:rsidR="00030BF9">
        <w:t>3</w:t>
      </w:r>
      <w:r w:rsidRPr="00C407F6">
        <w:t xml:space="preserve"> points; both “Prospective cohort study” </w:t>
      </w:r>
      <w:r w:rsidR="0072115F">
        <w:t xml:space="preserve">and </w:t>
      </w:r>
      <w:r w:rsidR="0072115F" w:rsidRPr="00C407F6">
        <w:t xml:space="preserve">“Prospective case-control study” </w:t>
      </w:r>
      <w:r w:rsidRPr="00C407F6">
        <w:t>w</w:t>
      </w:r>
      <w:r>
        <w:t xml:space="preserve">ill be </w:t>
      </w:r>
      <w:r w:rsidRPr="00C407F6">
        <w:t xml:space="preserve">given </w:t>
      </w:r>
      <w:r w:rsidR="00030BF9">
        <w:t>4</w:t>
      </w:r>
      <w:r w:rsidRPr="00C407F6">
        <w:t xml:space="preserve"> points; an “'Unblinded randomized or non-randomized control trial or experiment” </w:t>
      </w:r>
      <w:r>
        <w:t xml:space="preserve">will be assigned </w:t>
      </w:r>
      <w:r w:rsidR="00402B33">
        <w:t>a</w:t>
      </w:r>
      <w:r>
        <w:t xml:space="preserve"> score </w:t>
      </w:r>
      <w:r>
        <w:lastRenderedPageBreak/>
        <w:t xml:space="preserve">of </w:t>
      </w:r>
      <w:r w:rsidR="00030BF9">
        <w:t>5</w:t>
      </w:r>
      <w:r>
        <w:t>.</w:t>
      </w:r>
      <w:r w:rsidR="00402B33">
        <w:t xml:space="preserve"> </w:t>
      </w:r>
      <w:r w:rsidR="00402B33" w:rsidRPr="00C407F6">
        <w:t>'</w:t>
      </w:r>
      <w:r w:rsidR="00402B33">
        <w:t>B</w:t>
      </w:r>
      <w:r w:rsidR="00402B33" w:rsidRPr="00C407F6">
        <w:t xml:space="preserve">linded randomized control trial or experiment” </w:t>
      </w:r>
      <w:r w:rsidR="00402B33">
        <w:t xml:space="preserve">will be assigned the highest score of </w:t>
      </w:r>
      <w:r w:rsidR="00030BF9">
        <w:t>6</w:t>
      </w:r>
      <w:r w:rsidR="00402B33">
        <w:t>.</w:t>
      </w:r>
      <w:r w:rsidR="0092673D">
        <w:t xml:space="preserve"> </w:t>
      </w:r>
      <w:r w:rsidR="0005567F">
        <w:t xml:space="preserve">A normalized D score will be derived by dividing the assigned score by </w:t>
      </w:r>
      <w:r w:rsidR="00030BF9">
        <w:t>6</w:t>
      </w:r>
      <w:r w:rsidR="0005567F">
        <w:t xml:space="preserve">. </w:t>
      </w:r>
    </w:p>
    <w:tbl>
      <w:tblPr>
        <w:tblStyle w:val="TableGrid"/>
        <w:tblW w:w="0" w:type="auto"/>
        <w:jc w:val="center"/>
        <w:tblLook w:val="04A0" w:firstRow="1" w:lastRow="0" w:firstColumn="1" w:lastColumn="0" w:noHBand="0" w:noVBand="1"/>
      </w:tblPr>
      <w:tblGrid>
        <w:gridCol w:w="3405"/>
        <w:gridCol w:w="5810"/>
      </w:tblGrid>
      <w:tr w:rsidR="00EE6A8B" w14:paraId="543BDFCF" w14:textId="77777777" w:rsidTr="00EE6A8B">
        <w:trPr>
          <w:jc w:val="center"/>
        </w:trPr>
        <w:tc>
          <w:tcPr>
            <w:tcW w:w="3405" w:type="dxa"/>
            <w:shd w:val="clear" w:color="auto" w:fill="D0CECE" w:themeFill="background2" w:themeFillShade="E6"/>
            <w:vAlign w:val="center"/>
          </w:tcPr>
          <w:p w14:paraId="5FF3CFFE" w14:textId="77777777" w:rsidR="00EE6A8B" w:rsidRPr="00EE6A8B" w:rsidRDefault="00EE6A8B" w:rsidP="00EE6A8B">
            <w:pPr>
              <w:spacing w:line="276" w:lineRule="auto"/>
              <w:jc w:val="center"/>
              <w:rPr>
                <w:b/>
                <w:bCs/>
              </w:rPr>
            </w:pPr>
            <w:r w:rsidRPr="00EE6A8B">
              <w:rPr>
                <w:b/>
                <w:bCs/>
              </w:rPr>
              <w:t>Answer</w:t>
            </w:r>
          </w:p>
        </w:tc>
        <w:tc>
          <w:tcPr>
            <w:tcW w:w="5810" w:type="dxa"/>
            <w:shd w:val="clear" w:color="auto" w:fill="D0CECE" w:themeFill="background2" w:themeFillShade="E6"/>
            <w:vAlign w:val="center"/>
          </w:tcPr>
          <w:p w14:paraId="277F285B" w14:textId="77777777" w:rsidR="00EE6A8B" w:rsidRPr="00EE6A8B" w:rsidRDefault="00EE6A8B" w:rsidP="00EE6A8B">
            <w:pPr>
              <w:spacing w:line="276" w:lineRule="auto"/>
              <w:jc w:val="center"/>
              <w:rPr>
                <w:b/>
                <w:bCs/>
              </w:rPr>
            </w:pPr>
            <w:r w:rsidRPr="00EE6A8B">
              <w:rPr>
                <w:b/>
                <w:bCs/>
              </w:rPr>
              <w:t>Description</w:t>
            </w:r>
          </w:p>
        </w:tc>
      </w:tr>
      <w:tr w:rsidR="00EE6A8B" w14:paraId="34B6F771" w14:textId="77777777" w:rsidTr="00EE6A8B">
        <w:trPr>
          <w:jc w:val="center"/>
        </w:trPr>
        <w:tc>
          <w:tcPr>
            <w:tcW w:w="3405" w:type="dxa"/>
            <w:vAlign w:val="center"/>
          </w:tcPr>
          <w:p w14:paraId="6E103156" w14:textId="3ABC0467" w:rsidR="00EE6A8B" w:rsidRPr="00EE6A8B" w:rsidRDefault="00EE6A8B" w:rsidP="00EE6A8B">
            <w:pPr>
              <w:spacing w:line="276" w:lineRule="auto"/>
              <w:jc w:val="center"/>
            </w:pPr>
            <w:r w:rsidRPr="00EE6A8B">
              <w:t>Blinded randomized control trial or experiment (prospective)</w:t>
            </w:r>
          </w:p>
        </w:tc>
        <w:tc>
          <w:tcPr>
            <w:tcW w:w="5810" w:type="dxa"/>
            <w:vAlign w:val="center"/>
          </w:tcPr>
          <w:p w14:paraId="7E419325" w14:textId="5A3F5F85" w:rsidR="00EE6A8B" w:rsidRPr="00EE6A8B" w:rsidRDefault="00EE6A8B" w:rsidP="00EE6A8B">
            <w:pPr>
              <w:spacing w:line="276" w:lineRule="auto"/>
              <w:jc w:val="center"/>
            </w:pPr>
            <w:r w:rsidRPr="00EE6A8B">
              <w:t>A blinded randomized control trial (RCT) is one in which cases are allocated at random to receive one of several clinical interventions. One of these interventions is the standard of comparison or control. The control may be a standard practice, a placebo, or no intervention at all. RCTs seek to measure and compare the outcomes after the participants receive the interventions. Since the outcomes are measured, RCTs are quantitative studies. In sum, RCTs are quantitative, comparative, controlled experiments (i.e. prospective in nature) in which investigators study two or more interventions in a series of individuals who receive them in random order.</w:t>
            </w:r>
          </w:p>
        </w:tc>
      </w:tr>
      <w:tr w:rsidR="00EE6A8B" w14:paraId="2052FB54" w14:textId="77777777" w:rsidTr="00EE6A8B">
        <w:trPr>
          <w:jc w:val="center"/>
        </w:trPr>
        <w:tc>
          <w:tcPr>
            <w:tcW w:w="3405" w:type="dxa"/>
            <w:vAlign w:val="center"/>
          </w:tcPr>
          <w:p w14:paraId="76435523" w14:textId="7454D78E" w:rsidR="00EE6A8B" w:rsidRPr="00EE6A8B" w:rsidRDefault="00EE6A8B" w:rsidP="00EE6A8B">
            <w:pPr>
              <w:spacing w:line="276" w:lineRule="auto"/>
              <w:jc w:val="center"/>
            </w:pPr>
            <w:r w:rsidRPr="00EE6A8B">
              <w:t>Unblinded, or unrandomized, control trial or experiment (prospective)</w:t>
            </w:r>
          </w:p>
        </w:tc>
        <w:tc>
          <w:tcPr>
            <w:tcW w:w="5810" w:type="dxa"/>
            <w:vAlign w:val="center"/>
          </w:tcPr>
          <w:p w14:paraId="10261727" w14:textId="1C02502A" w:rsidR="00EE6A8B" w:rsidRPr="00EE6A8B" w:rsidRDefault="00EE6A8B" w:rsidP="00EE6A8B">
            <w:pPr>
              <w:spacing w:line="276" w:lineRule="auto"/>
              <w:jc w:val="center"/>
            </w:pPr>
            <w:r w:rsidRPr="00EE6A8B">
              <w:t>As above, but not blinded - i.e. the investigators know which is the experimental and which is the control group.</w:t>
            </w:r>
          </w:p>
        </w:tc>
      </w:tr>
      <w:tr w:rsidR="00EE6A8B" w14:paraId="62E2C9EF" w14:textId="77777777" w:rsidTr="00EE6A8B">
        <w:trPr>
          <w:jc w:val="center"/>
        </w:trPr>
        <w:tc>
          <w:tcPr>
            <w:tcW w:w="3405" w:type="dxa"/>
            <w:vAlign w:val="center"/>
          </w:tcPr>
          <w:p w14:paraId="20421CCA" w14:textId="5AF00251" w:rsidR="00EE6A8B" w:rsidRPr="00EE6A8B" w:rsidRDefault="00EE6A8B" w:rsidP="00EE6A8B">
            <w:pPr>
              <w:spacing w:line="276" w:lineRule="auto"/>
              <w:jc w:val="center"/>
            </w:pPr>
            <w:r w:rsidRPr="00EE6A8B">
              <w:t>Prospective</w:t>
            </w:r>
            <w:r w:rsidR="00A67F41">
              <w:t xml:space="preserve"> cohort or</w:t>
            </w:r>
            <w:r w:rsidRPr="00EE6A8B">
              <w:t xml:space="preserve"> case-control study</w:t>
            </w:r>
          </w:p>
        </w:tc>
        <w:tc>
          <w:tcPr>
            <w:tcW w:w="5810" w:type="dxa"/>
            <w:vAlign w:val="center"/>
          </w:tcPr>
          <w:p w14:paraId="23573040" w14:textId="4C405BDD" w:rsidR="00EE6A8B" w:rsidRPr="00EE6A8B" w:rsidRDefault="00EE6A8B" w:rsidP="00EE6A8B">
            <w:pPr>
              <w:spacing w:line="276" w:lineRule="auto"/>
              <w:jc w:val="center"/>
            </w:pPr>
            <w:r w:rsidRPr="00EE6A8B">
              <w:t xml:space="preserve">A cohort study is a quasi-experiment in the form of a longitudinal study (generally a type of observational study). In a cohort study there is a passive follow-up of a group of animals and documentation of relevant characteristics or events related to this group; note that inclusion of information on survival defines a cohort study for our purposes. A cohort study involves an analysis of risk factors and follows a group of animals that do not have the disease, using correlations to determine the absolute risk of developing disease. Cohort studies are largely about the life histories of segments of populations, and the individual animals within these segments. A cohort is a group of animals sharing a common characteristic or experience within a defined period. The comparison group may be the general population from which the cohort is drawn, or it may be another cohort of animals thought to have experienced little or no exposure to the factor under investigation, but otherwise similar. Alternatively, subgroups within the cohort may be compared with each other. Cohort studies </w:t>
            </w:r>
            <w:r w:rsidRPr="00EE6A8B">
              <w:lastRenderedPageBreak/>
              <w:t>may be conducted prospectively, or retrospectively from archived records.</w:t>
            </w:r>
          </w:p>
        </w:tc>
      </w:tr>
      <w:tr w:rsidR="00EE6A8B" w14:paraId="77E67934" w14:textId="77777777" w:rsidTr="00EE6A8B">
        <w:trPr>
          <w:jc w:val="center"/>
        </w:trPr>
        <w:tc>
          <w:tcPr>
            <w:tcW w:w="3405" w:type="dxa"/>
            <w:vAlign w:val="center"/>
          </w:tcPr>
          <w:p w14:paraId="234DCA66" w14:textId="16CA0E6C" w:rsidR="00EE6A8B" w:rsidRPr="00EE6A8B" w:rsidRDefault="00EE6A8B" w:rsidP="00EE6A8B">
            <w:pPr>
              <w:spacing w:line="276" w:lineRule="auto"/>
              <w:jc w:val="center"/>
            </w:pPr>
            <w:r w:rsidRPr="00EE6A8B">
              <w:lastRenderedPageBreak/>
              <w:t>Retrospective cohort or case-control study</w:t>
            </w:r>
          </w:p>
        </w:tc>
        <w:tc>
          <w:tcPr>
            <w:tcW w:w="5810" w:type="dxa"/>
            <w:vAlign w:val="center"/>
          </w:tcPr>
          <w:p w14:paraId="7A5A5E74" w14:textId="667FE358" w:rsidR="00EE6A8B" w:rsidRPr="00EE6A8B" w:rsidRDefault="00EE6A8B" w:rsidP="00EE6A8B">
            <w:pPr>
              <w:spacing w:line="276" w:lineRule="auto"/>
              <w:jc w:val="center"/>
            </w:pPr>
            <w:r w:rsidRPr="00EE6A8B">
              <w:t>See above: the study is a cohort or case-control study, but based upon archived records</w:t>
            </w:r>
          </w:p>
        </w:tc>
      </w:tr>
      <w:tr w:rsidR="00EE6A8B" w14:paraId="16F52AF2" w14:textId="77777777" w:rsidTr="00EE6A8B">
        <w:trPr>
          <w:jc w:val="center"/>
        </w:trPr>
        <w:tc>
          <w:tcPr>
            <w:tcW w:w="3405" w:type="dxa"/>
            <w:vAlign w:val="center"/>
          </w:tcPr>
          <w:p w14:paraId="680A4E1F" w14:textId="77777777" w:rsidR="00EE6A8B" w:rsidRPr="00EE6A8B" w:rsidRDefault="00EE6A8B" w:rsidP="00EE6A8B">
            <w:pPr>
              <w:spacing w:line="276" w:lineRule="auto"/>
              <w:jc w:val="center"/>
            </w:pPr>
            <w:r w:rsidRPr="00EE6A8B">
              <w:t>Cross-sectional study</w:t>
            </w:r>
          </w:p>
          <w:p w14:paraId="1CCCA620" w14:textId="77777777" w:rsidR="00EE6A8B" w:rsidRPr="00EE6A8B" w:rsidRDefault="00EE6A8B" w:rsidP="00EE6A8B">
            <w:pPr>
              <w:spacing w:line="276" w:lineRule="auto"/>
              <w:jc w:val="center"/>
            </w:pPr>
          </w:p>
        </w:tc>
        <w:tc>
          <w:tcPr>
            <w:tcW w:w="5810" w:type="dxa"/>
            <w:vAlign w:val="center"/>
          </w:tcPr>
          <w:p w14:paraId="720DD018" w14:textId="5C11125D" w:rsidR="00EE6A8B" w:rsidRPr="00EE6A8B" w:rsidRDefault="00EE6A8B" w:rsidP="00EE6A8B">
            <w:pPr>
              <w:spacing w:line="276" w:lineRule="auto"/>
              <w:jc w:val="center"/>
            </w:pPr>
            <w:r w:rsidRPr="00EE6A8B">
              <w:t>A cross-sectional study is a type of observational study that involves the analysis of data collected from a population, or a representative subset, at ONE specific point in time — that is, cross-sectional data. Cross-sectional studies differ from case-control studies in that they aim to provide data on the entire population under study, whereas case-control studies typically include only individuals with a specific characteristic, comparing them with a sample, often a tiny minority, of the rest of the population. Cross-sectional studies are descriptive studies (neither longitudinal nor experimental). Unlike case-control studies, they can be used to describe not only the odds ratio, but also absolute risks and relative risks from prevalences. They may be used to describe some feature of the population, such as prevalence of an illness, or they may support inferences of cause and effect. At one point in time the subjects are assessed to determine whether they were exposed to the relevant factor and whether they have the outcome of interest. Some of the subjects will not have been exposed nor have the outcome of interest. This clearly distinguishes this type of study from the other observational studies (cohort and case-control), in which reference to either exposure and/or outcome is made.</w:t>
            </w:r>
          </w:p>
        </w:tc>
      </w:tr>
      <w:tr w:rsidR="00EE6A8B" w14:paraId="14D2E4B4" w14:textId="77777777" w:rsidTr="00EE6A8B">
        <w:trPr>
          <w:jc w:val="center"/>
        </w:trPr>
        <w:tc>
          <w:tcPr>
            <w:tcW w:w="3405" w:type="dxa"/>
            <w:vAlign w:val="center"/>
          </w:tcPr>
          <w:p w14:paraId="510CB177" w14:textId="0680F9DF" w:rsidR="00EE6A8B" w:rsidRPr="00EE6A8B" w:rsidRDefault="00EE6A8B" w:rsidP="00EE6A8B">
            <w:pPr>
              <w:spacing w:line="276" w:lineRule="auto"/>
              <w:jc w:val="center"/>
            </w:pPr>
            <w:r w:rsidRPr="00EE6A8B">
              <w:t>Retrospective case series or case report</w:t>
            </w:r>
          </w:p>
        </w:tc>
        <w:tc>
          <w:tcPr>
            <w:tcW w:w="5810" w:type="dxa"/>
            <w:vAlign w:val="center"/>
          </w:tcPr>
          <w:p w14:paraId="6F0102BC" w14:textId="15FA54E7" w:rsidR="00EE6A8B" w:rsidRPr="00EE6A8B" w:rsidRDefault="00EE6A8B" w:rsidP="00EE6A8B">
            <w:pPr>
              <w:spacing w:line="276" w:lineRule="auto"/>
              <w:jc w:val="center"/>
            </w:pPr>
            <w:r w:rsidRPr="00EE6A8B">
              <w:t xml:space="preserve">A case series tracks subjects with a known exposure, such as animals that have received a similar treatment, or examines their medical records for exposure and outcome. Case series may be consecutive or non-consecutive, depending on whether all cases presenting to the reporting authors over a time period were included, or only a selection. Case series have a descriptive study design: unlike studies that employ an analytical design (e.g. case-control or cohort studies, or RCTs), case series do not involve hypothesis testing to look for evidence of cause and effect, but may be used to speculate on such associations. Case series are especially vulnerable to </w:t>
            </w:r>
            <w:r w:rsidRPr="00EE6A8B">
              <w:lastRenderedPageBreak/>
              <w:t>selection bias: only the presence of a comparator group, which is not a feature of case-series studies, will allow a valid estimate of true treatment effect. Case reports provide information on only a single case.</w:t>
            </w:r>
          </w:p>
        </w:tc>
      </w:tr>
    </w:tbl>
    <w:p w14:paraId="360D9517" w14:textId="344AD39B" w:rsidR="00BF5598" w:rsidRDefault="00C407F6" w:rsidP="00BF5598">
      <w:pPr>
        <w:pStyle w:val="NormalWeb"/>
        <w:spacing w:line="480" w:lineRule="auto"/>
      </w:pPr>
      <w:r w:rsidRPr="00C407F6">
        <w:rPr>
          <w:b/>
          <w:bCs/>
        </w:rPr>
        <w:lastRenderedPageBreak/>
        <w:t>Q Score</w:t>
      </w:r>
      <w:r>
        <w:t xml:space="preserve">: </w:t>
      </w:r>
      <w:r w:rsidR="00D810B9">
        <w:t xml:space="preserve">Quality of the articles will be assessed based on the following questions: </w:t>
      </w:r>
    </w:p>
    <w:p w14:paraId="2338FA9C" w14:textId="77777777" w:rsidR="00BF5598" w:rsidRDefault="00BF5598" w:rsidP="00BF5598">
      <w:pPr>
        <w:pStyle w:val="NormalWeb"/>
        <w:numPr>
          <w:ilvl w:val="0"/>
          <w:numId w:val="5"/>
        </w:numPr>
        <w:spacing w:line="480" w:lineRule="auto"/>
      </w:pPr>
      <w:r w:rsidRPr="00BF5598">
        <w:rPr>
          <w:u w:val="single"/>
        </w:rPr>
        <w:t>Q1</w:t>
      </w:r>
      <w:r>
        <w:t>: Is (are) the study hypothesis (hypotheses) that an infectious disease induces (or is associated with) MG clearly stated, OR is the question that an infectious disease induces (or is associated with) MG clearly answered by study design?</w:t>
      </w:r>
    </w:p>
    <w:p w14:paraId="0836660D" w14:textId="03F231AE" w:rsidR="00BF5598" w:rsidRDefault="00BF5598" w:rsidP="00BF5598">
      <w:pPr>
        <w:pStyle w:val="NormalWeb"/>
        <w:numPr>
          <w:ilvl w:val="0"/>
          <w:numId w:val="5"/>
        </w:numPr>
        <w:spacing w:line="480" w:lineRule="auto"/>
      </w:pPr>
      <w:r w:rsidRPr="00BF5598">
        <w:rPr>
          <w:u w:val="single"/>
        </w:rPr>
        <w:t>Q2</w:t>
      </w:r>
      <w:r>
        <w:t xml:space="preserve">: Is (are) the specific aim(s)/objective(s) of the study clearly stated AND does at least one aim/objective include a means to identify whether an infectious disease induces (or is associated with) MG? </w:t>
      </w:r>
    </w:p>
    <w:p w14:paraId="7D689D59" w14:textId="4D1FD208" w:rsidR="00BF5598" w:rsidRDefault="00BF5598" w:rsidP="00BF5598">
      <w:pPr>
        <w:pStyle w:val="NormalWeb"/>
        <w:numPr>
          <w:ilvl w:val="0"/>
          <w:numId w:val="5"/>
        </w:numPr>
        <w:spacing w:line="480" w:lineRule="auto"/>
      </w:pPr>
      <w:r>
        <w:rPr>
          <w:u w:val="single"/>
        </w:rPr>
        <w:t>Q3</w:t>
      </w:r>
      <w:r w:rsidRPr="00BF5598">
        <w:t>:</w:t>
      </w:r>
      <w:r>
        <w:t xml:space="preserve"> Does the study involve multiple hospitals, clinics, and/or research institutions? </w:t>
      </w:r>
    </w:p>
    <w:p w14:paraId="277CBFFC" w14:textId="4364652F" w:rsidR="00BF5598" w:rsidRDefault="0019163F" w:rsidP="00BF5598">
      <w:pPr>
        <w:pStyle w:val="NormalWeb"/>
        <w:numPr>
          <w:ilvl w:val="0"/>
          <w:numId w:val="5"/>
        </w:numPr>
        <w:spacing w:line="480" w:lineRule="auto"/>
      </w:pPr>
      <w:r w:rsidRPr="0019163F">
        <w:rPr>
          <w:u w:val="single"/>
        </w:rPr>
        <w:t>Q4</w:t>
      </w:r>
      <w:r>
        <w:t>: Does the study include clear inclusion/exclusion criteria?</w:t>
      </w:r>
    </w:p>
    <w:p w14:paraId="7D8A8DD1" w14:textId="2CD62D38" w:rsidR="0019163F" w:rsidRDefault="0019163F" w:rsidP="00BF5598">
      <w:pPr>
        <w:pStyle w:val="NormalWeb"/>
        <w:numPr>
          <w:ilvl w:val="0"/>
          <w:numId w:val="5"/>
        </w:numPr>
        <w:spacing w:line="480" w:lineRule="auto"/>
      </w:pPr>
      <w:r>
        <w:rPr>
          <w:u w:val="single"/>
        </w:rPr>
        <w:t>Q5</w:t>
      </w:r>
      <w:r w:rsidRPr="0019163F">
        <w:t>:</w:t>
      </w:r>
      <w:r>
        <w:t xml:space="preserve"> </w:t>
      </w:r>
      <w:r w:rsidR="00D36A57">
        <w:t>Are</w:t>
      </w:r>
      <w:r>
        <w:t xml:space="preserve"> there data on the cases screened and excluded from the study? </w:t>
      </w:r>
    </w:p>
    <w:p w14:paraId="7CF58145" w14:textId="77C807E8" w:rsidR="0019163F" w:rsidRDefault="0019163F" w:rsidP="00BF5598">
      <w:pPr>
        <w:pStyle w:val="NormalWeb"/>
        <w:numPr>
          <w:ilvl w:val="0"/>
          <w:numId w:val="5"/>
        </w:numPr>
        <w:spacing w:line="480" w:lineRule="auto"/>
      </w:pPr>
      <w:r>
        <w:rPr>
          <w:u w:val="single"/>
        </w:rPr>
        <w:t>Q6</w:t>
      </w:r>
      <w:r w:rsidRPr="0019163F">
        <w:t>:</w:t>
      </w:r>
      <w:r>
        <w:t xml:space="preserve"> Are the search terms/keywords described? </w:t>
      </w:r>
    </w:p>
    <w:p w14:paraId="400BC498" w14:textId="15D8481C" w:rsidR="0019163F" w:rsidRDefault="0019163F" w:rsidP="00BF5598">
      <w:pPr>
        <w:pStyle w:val="NormalWeb"/>
        <w:numPr>
          <w:ilvl w:val="0"/>
          <w:numId w:val="5"/>
        </w:numPr>
        <w:spacing w:line="480" w:lineRule="auto"/>
      </w:pPr>
      <w:r>
        <w:rPr>
          <w:u w:val="single"/>
        </w:rPr>
        <w:t>Q7</w:t>
      </w:r>
      <w:r w:rsidRPr="0019163F">
        <w:t>:</w:t>
      </w:r>
      <w:r>
        <w:t xml:space="preserve"> Does the study describe multiple different infectious diseases? </w:t>
      </w:r>
    </w:p>
    <w:p w14:paraId="4D824390" w14:textId="529D7091" w:rsidR="00BF5598" w:rsidRDefault="0019163F" w:rsidP="00300343">
      <w:pPr>
        <w:pStyle w:val="NormalWeb"/>
        <w:numPr>
          <w:ilvl w:val="0"/>
          <w:numId w:val="5"/>
        </w:numPr>
        <w:spacing w:line="480" w:lineRule="auto"/>
      </w:pPr>
      <w:r>
        <w:rPr>
          <w:u w:val="single"/>
        </w:rPr>
        <w:t>Q8</w:t>
      </w:r>
      <w:r w:rsidRPr="0019163F">
        <w:t>:</w:t>
      </w:r>
      <w:r>
        <w:t xml:space="preserve"> </w:t>
      </w:r>
      <w:r w:rsidR="00EC2060" w:rsidRPr="00EC2060">
        <w:t>Is clinical status clearly defined in relation to infection?</w:t>
      </w:r>
    </w:p>
    <w:p w14:paraId="01C6025F" w14:textId="1EE0BA35" w:rsidR="0019163F" w:rsidRDefault="0019163F" w:rsidP="00300343">
      <w:pPr>
        <w:pStyle w:val="NormalWeb"/>
        <w:numPr>
          <w:ilvl w:val="0"/>
          <w:numId w:val="5"/>
        </w:numPr>
        <w:spacing w:line="480" w:lineRule="auto"/>
      </w:pPr>
      <w:r>
        <w:rPr>
          <w:u w:val="single"/>
        </w:rPr>
        <w:t>Q9</w:t>
      </w:r>
      <w:r w:rsidRPr="0019163F">
        <w:t>:</w:t>
      </w:r>
      <w:r>
        <w:t xml:space="preserve"> Are the results clearl</w:t>
      </w:r>
      <w:r w:rsidR="00EC2060">
        <w:t xml:space="preserve">y and objectively presented? </w:t>
      </w:r>
    </w:p>
    <w:p w14:paraId="6DB9A780" w14:textId="0BC35179" w:rsidR="0019163F" w:rsidRDefault="0019163F" w:rsidP="00300343">
      <w:pPr>
        <w:pStyle w:val="NormalWeb"/>
        <w:numPr>
          <w:ilvl w:val="0"/>
          <w:numId w:val="5"/>
        </w:numPr>
        <w:spacing w:line="480" w:lineRule="auto"/>
      </w:pPr>
      <w:r>
        <w:rPr>
          <w:u w:val="single"/>
        </w:rPr>
        <w:t>Q10</w:t>
      </w:r>
      <w:r w:rsidRPr="0019163F">
        <w:t>:</w:t>
      </w:r>
      <w:r>
        <w:t xml:space="preserve"> Are appropriate statistical tests used? </w:t>
      </w:r>
      <w:r w:rsidR="00A970B5">
        <w:t>(</w:t>
      </w:r>
      <w:r w:rsidR="00402B33">
        <w:t>Is data analysis included and are the a</w:t>
      </w:r>
      <w:r w:rsidR="00A970B5">
        <w:t>ppropriate statistical tests are implemented for the study design that do not bias the results)</w:t>
      </w:r>
      <w:r w:rsidR="005B5209">
        <w:t xml:space="preserve"> </w:t>
      </w:r>
    </w:p>
    <w:p w14:paraId="76867F6E" w14:textId="4275BDEE" w:rsidR="0019163F" w:rsidRDefault="0019163F" w:rsidP="00300343">
      <w:pPr>
        <w:pStyle w:val="NormalWeb"/>
        <w:numPr>
          <w:ilvl w:val="0"/>
          <w:numId w:val="5"/>
        </w:numPr>
        <w:spacing w:line="480" w:lineRule="auto"/>
      </w:pPr>
      <w:r>
        <w:rPr>
          <w:u w:val="single"/>
        </w:rPr>
        <w:t>Q11</w:t>
      </w:r>
      <w:r w:rsidRPr="0019163F">
        <w:t>:</w:t>
      </w:r>
      <w:r>
        <w:t xml:space="preserve"> Is the measure of variability reported? </w:t>
      </w:r>
    </w:p>
    <w:p w14:paraId="3A042762" w14:textId="22465EC9" w:rsidR="0019163F" w:rsidRDefault="0019163F" w:rsidP="00300343">
      <w:pPr>
        <w:pStyle w:val="NormalWeb"/>
        <w:numPr>
          <w:ilvl w:val="0"/>
          <w:numId w:val="5"/>
        </w:numPr>
        <w:spacing w:line="480" w:lineRule="auto"/>
      </w:pPr>
      <w:r>
        <w:rPr>
          <w:u w:val="single"/>
        </w:rPr>
        <w:t>Q12</w:t>
      </w:r>
      <w:r w:rsidRPr="0019163F">
        <w:t>:</w:t>
      </w:r>
      <w:r>
        <w:t xml:space="preserve"> Is the conclusion supported by the reported results? </w:t>
      </w:r>
    </w:p>
    <w:p w14:paraId="00AF1845" w14:textId="34B66284" w:rsidR="0019163F" w:rsidRDefault="0019163F" w:rsidP="00D810B9">
      <w:pPr>
        <w:pStyle w:val="NormalWeb"/>
        <w:numPr>
          <w:ilvl w:val="0"/>
          <w:numId w:val="5"/>
        </w:numPr>
        <w:spacing w:line="480" w:lineRule="auto"/>
        <w:jc w:val="both"/>
      </w:pPr>
      <w:r>
        <w:rPr>
          <w:u w:val="single"/>
        </w:rPr>
        <w:t>Q13</w:t>
      </w:r>
      <w:r w:rsidRPr="0019163F">
        <w:t>:</w:t>
      </w:r>
      <w:r>
        <w:t xml:space="preserve"> Is there a clear conflict of interest</w:t>
      </w:r>
      <w:r w:rsidR="00F70446">
        <w:t>/disclosure</w:t>
      </w:r>
      <w:r>
        <w:t xml:space="preserve"> statement? </w:t>
      </w:r>
    </w:p>
    <w:p w14:paraId="3B67B57F" w14:textId="4EBA406B" w:rsidR="00803294" w:rsidRDefault="00D810B9" w:rsidP="00803294">
      <w:pPr>
        <w:spacing w:line="480" w:lineRule="auto"/>
        <w:jc w:val="both"/>
      </w:pPr>
      <w:r>
        <w:lastRenderedPageBreak/>
        <w:t>Answers to Q1-Q6 and Q8-Q13 will be “No/Absent/Unclear/NA” (assigned 0 points), “Partially reported/suggested” (assigned 1 point) or “Yes” (assigned 2 points). For Q7, 2 points will be “All cases are of one type or if diseases of disparate nature were analyzed in separate homogenous groups”, 1 point w</w:t>
      </w:r>
      <w:r w:rsidR="003906A3">
        <w:t>ill be</w:t>
      </w:r>
      <w:r>
        <w:t xml:space="preserve"> “Stratification is suggested but details are not explicitly stated” and 0 points w</w:t>
      </w:r>
      <w:r w:rsidR="003906A3">
        <w:t>ill be</w:t>
      </w:r>
      <w:r>
        <w:t xml:space="preserve"> “All other references to disease heterogeneity”.</w:t>
      </w:r>
      <w:r w:rsidR="00803294">
        <w:t xml:space="preserve"> </w:t>
      </w:r>
    </w:p>
    <w:p w14:paraId="2EC6E629" w14:textId="57A7206E" w:rsidR="00D810B9" w:rsidRDefault="00803294" w:rsidP="00803294">
      <w:pPr>
        <w:spacing w:line="480" w:lineRule="auto"/>
      </w:pPr>
      <w:r>
        <w:t>A weighted sum of these 13 questions will be computed based on the following equation: 2*Q1+2*Q2+Q3+Q4+Q5+Q6+2*Q7+2*Q8+3*Q9+3*Q10+2*Q11+3*Q12+Q13. A normalized Q score will be calculated by dividing the assigned score by 4</w:t>
      </w:r>
      <w:r w:rsidR="00D86B14">
        <w:t>8</w:t>
      </w:r>
      <w:r>
        <w:t xml:space="preserve">. </w:t>
      </w:r>
    </w:p>
    <w:p w14:paraId="7BD13B6C" w14:textId="2AD4C806" w:rsidR="00BB0F8F" w:rsidRDefault="00C407F6" w:rsidP="00300343">
      <w:pPr>
        <w:pStyle w:val="NormalWeb"/>
        <w:spacing w:line="480" w:lineRule="auto"/>
      </w:pPr>
      <w:r w:rsidRPr="00C407F6">
        <w:rPr>
          <w:b/>
          <w:bCs/>
        </w:rPr>
        <w:t>C Score</w:t>
      </w:r>
      <w:r>
        <w:t xml:space="preserve">: </w:t>
      </w:r>
      <w:r w:rsidR="0005567F">
        <w:t>C scores will address the confidence of infectious disease diagnosis. “Direct organism detection (culture, cytology, PCR)” will be assigned a score of 3, “Serological detection of exposure” will be given a score of 2, and “</w:t>
      </w:r>
      <w:r w:rsidR="009B7E5C">
        <w:t>A</w:t>
      </w:r>
      <w:r w:rsidR="0005567F">
        <w:t>ll other sign</w:t>
      </w:r>
      <w:r w:rsidR="009B7E5C">
        <w:t>s</w:t>
      </w:r>
      <w:r w:rsidR="0005567F">
        <w:t xml:space="preserve"> of infection” will be assigned a score of 1. A normalized C score will be calculated by dividing the assigned score by 3.</w:t>
      </w:r>
      <w:r w:rsidR="00402B33">
        <w:t xml:space="preserve"> If multiple methods are used to confirm infection, the least rigorous method used included in the study will represent the allotted score.</w:t>
      </w:r>
    </w:p>
    <w:tbl>
      <w:tblPr>
        <w:tblStyle w:val="TableGrid"/>
        <w:tblW w:w="0" w:type="auto"/>
        <w:jc w:val="center"/>
        <w:tblLook w:val="04A0" w:firstRow="1" w:lastRow="0" w:firstColumn="1" w:lastColumn="0" w:noHBand="0" w:noVBand="1"/>
      </w:tblPr>
      <w:tblGrid>
        <w:gridCol w:w="3116"/>
        <w:gridCol w:w="6093"/>
      </w:tblGrid>
      <w:tr w:rsidR="00A970B5" w14:paraId="1773DDDE" w14:textId="371247CD" w:rsidTr="00EE6A8B">
        <w:trPr>
          <w:jc w:val="center"/>
        </w:trPr>
        <w:tc>
          <w:tcPr>
            <w:tcW w:w="3116" w:type="dxa"/>
            <w:shd w:val="clear" w:color="auto" w:fill="D0CECE" w:themeFill="background2" w:themeFillShade="E6"/>
            <w:vAlign w:val="center"/>
          </w:tcPr>
          <w:p w14:paraId="4B273443" w14:textId="77777777" w:rsidR="00A970B5" w:rsidRDefault="00A970B5" w:rsidP="00EE6A8B">
            <w:pPr>
              <w:pStyle w:val="NormalWeb"/>
              <w:spacing w:line="276" w:lineRule="auto"/>
              <w:jc w:val="center"/>
            </w:pPr>
            <w:r>
              <w:t>Answer</w:t>
            </w:r>
          </w:p>
        </w:tc>
        <w:tc>
          <w:tcPr>
            <w:tcW w:w="6093" w:type="dxa"/>
            <w:shd w:val="clear" w:color="auto" w:fill="D0CECE" w:themeFill="background2" w:themeFillShade="E6"/>
            <w:vAlign w:val="center"/>
          </w:tcPr>
          <w:p w14:paraId="3A0CC87B" w14:textId="77777777" w:rsidR="00A970B5" w:rsidRDefault="00A970B5" w:rsidP="00EE6A8B">
            <w:pPr>
              <w:pStyle w:val="NormalWeb"/>
              <w:spacing w:line="276" w:lineRule="auto"/>
              <w:jc w:val="center"/>
            </w:pPr>
            <w:r>
              <w:t>Description</w:t>
            </w:r>
          </w:p>
        </w:tc>
      </w:tr>
      <w:tr w:rsidR="00A970B5" w14:paraId="30919BBB" w14:textId="25ED7CC8" w:rsidTr="00EE6A8B">
        <w:trPr>
          <w:jc w:val="center"/>
        </w:trPr>
        <w:tc>
          <w:tcPr>
            <w:tcW w:w="3116" w:type="dxa"/>
            <w:vAlign w:val="center"/>
          </w:tcPr>
          <w:p w14:paraId="5313568E" w14:textId="69233B97" w:rsidR="00A970B5" w:rsidRDefault="00A970B5" w:rsidP="00EE6A8B">
            <w:pPr>
              <w:pStyle w:val="NormalWeb"/>
              <w:spacing w:line="276" w:lineRule="auto"/>
              <w:jc w:val="center"/>
            </w:pPr>
            <w:r>
              <w:t>Direct organism detection (culture, microscopy, PCR)</w:t>
            </w:r>
          </w:p>
        </w:tc>
        <w:tc>
          <w:tcPr>
            <w:tcW w:w="6093" w:type="dxa"/>
            <w:vAlign w:val="center"/>
          </w:tcPr>
          <w:p w14:paraId="27EC5550" w14:textId="19E6103D" w:rsidR="00A970B5" w:rsidRDefault="00EC2060" w:rsidP="00EE6A8B">
            <w:pPr>
              <w:pStyle w:val="NormalWeb"/>
              <w:spacing w:line="276" w:lineRule="auto"/>
              <w:jc w:val="center"/>
            </w:pPr>
            <w:r>
              <w:t>Direct detection of organism through culture and/or microscopy, identification of pathogen specific RNA/DNA,</w:t>
            </w:r>
            <w:r w:rsidR="00D76810">
              <w:t xml:space="preserve"> or identification of pathogen specific proteins</w:t>
            </w:r>
          </w:p>
        </w:tc>
      </w:tr>
      <w:tr w:rsidR="00A970B5" w14:paraId="30017EDF" w14:textId="70225641" w:rsidTr="00EE6A8B">
        <w:trPr>
          <w:jc w:val="center"/>
        </w:trPr>
        <w:tc>
          <w:tcPr>
            <w:tcW w:w="3116" w:type="dxa"/>
            <w:vAlign w:val="center"/>
          </w:tcPr>
          <w:p w14:paraId="5D101B37" w14:textId="0F2C0A89" w:rsidR="00A970B5" w:rsidRDefault="00A970B5" w:rsidP="00EE6A8B">
            <w:pPr>
              <w:pStyle w:val="NormalWeb"/>
              <w:spacing w:line="276" w:lineRule="auto"/>
              <w:jc w:val="center"/>
            </w:pPr>
            <w:r>
              <w:t>Serological detection of exposure</w:t>
            </w:r>
          </w:p>
        </w:tc>
        <w:tc>
          <w:tcPr>
            <w:tcW w:w="6093" w:type="dxa"/>
            <w:vAlign w:val="center"/>
          </w:tcPr>
          <w:p w14:paraId="4DF0F55B" w14:textId="2A09A58A" w:rsidR="00A970B5" w:rsidRDefault="00A970B5" w:rsidP="00EE6A8B">
            <w:pPr>
              <w:pStyle w:val="NormalWeb"/>
              <w:spacing w:line="276" w:lineRule="auto"/>
              <w:jc w:val="center"/>
            </w:pPr>
            <w:r>
              <w:t>Identification of antigen specific antibodies</w:t>
            </w:r>
          </w:p>
        </w:tc>
      </w:tr>
      <w:tr w:rsidR="00A970B5" w14:paraId="280273BB" w14:textId="5C69E6B7" w:rsidTr="00EE6A8B">
        <w:trPr>
          <w:jc w:val="center"/>
        </w:trPr>
        <w:tc>
          <w:tcPr>
            <w:tcW w:w="3116" w:type="dxa"/>
            <w:vAlign w:val="center"/>
          </w:tcPr>
          <w:p w14:paraId="446D108C" w14:textId="79ECF01C" w:rsidR="00A970B5" w:rsidRDefault="00A970B5" w:rsidP="00EE6A8B">
            <w:pPr>
              <w:pStyle w:val="NormalWeb"/>
              <w:spacing w:line="276" w:lineRule="auto"/>
              <w:jc w:val="center"/>
            </w:pPr>
            <w:r>
              <w:t>All other signs of infection</w:t>
            </w:r>
          </w:p>
        </w:tc>
        <w:tc>
          <w:tcPr>
            <w:tcW w:w="6093" w:type="dxa"/>
            <w:vAlign w:val="center"/>
          </w:tcPr>
          <w:p w14:paraId="2720950A" w14:textId="2E94C092" w:rsidR="00A970B5" w:rsidRDefault="00A970B5" w:rsidP="00EE6A8B">
            <w:pPr>
              <w:pStyle w:val="NormalWeb"/>
              <w:spacing w:line="276" w:lineRule="auto"/>
              <w:jc w:val="center"/>
            </w:pPr>
            <w:r>
              <w:t>In the absence of aforementioned diagnostic evidence but infection is still suggested/noted</w:t>
            </w:r>
            <w:r w:rsidR="005A0172">
              <w:t xml:space="preserve"> OR the diagnosis is not clear</w:t>
            </w:r>
          </w:p>
        </w:tc>
      </w:tr>
    </w:tbl>
    <w:p w14:paraId="02F9B84B" w14:textId="5647DBFC" w:rsidR="00EE6A8B" w:rsidRDefault="00C407F6" w:rsidP="003A7564">
      <w:pPr>
        <w:pStyle w:val="NormalWeb"/>
        <w:spacing w:line="480" w:lineRule="auto"/>
      </w:pPr>
      <w:r w:rsidRPr="0005567F">
        <w:rPr>
          <w:b/>
          <w:bCs/>
        </w:rPr>
        <w:t xml:space="preserve">L Score: </w:t>
      </w:r>
      <w:r w:rsidR="0005567F">
        <w:t xml:space="preserve">L scores will address the </w:t>
      </w:r>
      <w:r w:rsidR="003A7564">
        <w:t>causal link between infection and MG. “No/</w:t>
      </w:r>
      <w:r w:rsidR="006E2E5E">
        <w:t>A</w:t>
      </w:r>
      <w:r w:rsidR="003A7564">
        <w:t>bsent/</w:t>
      </w:r>
      <w:r w:rsidR="006E2E5E">
        <w:t>U</w:t>
      </w:r>
      <w:r w:rsidR="003A7564">
        <w:t xml:space="preserve">nclear/NA” causal link will be assigned a score of </w:t>
      </w:r>
      <w:r w:rsidR="000A6CB3">
        <w:t>0</w:t>
      </w:r>
      <w:r w:rsidR="003A7564">
        <w:t>, a “</w:t>
      </w:r>
      <w:r w:rsidR="000A6CB3">
        <w:t>Su</w:t>
      </w:r>
      <w:r w:rsidR="002A5533">
        <w:t>ggestive</w:t>
      </w:r>
      <w:r w:rsidR="003A7564">
        <w:t xml:space="preserve">” causal link will be assigned a score of </w:t>
      </w:r>
      <w:r w:rsidR="000A6CB3">
        <w:t>1</w:t>
      </w:r>
      <w:r w:rsidR="003A7564">
        <w:t xml:space="preserve">, </w:t>
      </w:r>
      <w:r w:rsidR="000A6CB3">
        <w:t>“Su</w:t>
      </w:r>
      <w:r w:rsidR="002A5533">
        <w:t>pportive</w:t>
      </w:r>
      <w:r w:rsidR="000A6CB3">
        <w:t xml:space="preserve">” will be assigned a score of 2, </w:t>
      </w:r>
      <w:r w:rsidR="003A7564">
        <w:t>and a “</w:t>
      </w:r>
      <w:r w:rsidR="006E2E5E">
        <w:t>Y</w:t>
      </w:r>
      <w:r w:rsidR="003A7564">
        <w:t>es/</w:t>
      </w:r>
      <w:r w:rsidR="006E2E5E">
        <w:t>C</w:t>
      </w:r>
      <w:r w:rsidR="003A7564">
        <w:t xml:space="preserve">onfirmed” </w:t>
      </w:r>
      <w:r w:rsidR="003A7564">
        <w:lastRenderedPageBreak/>
        <w:t>causal link will be assigned a score of 3. A normalized</w:t>
      </w:r>
      <w:r w:rsidR="00BF5598">
        <w:t xml:space="preserve"> </w:t>
      </w:r>
      <w:r w:rsidR="003A7564">
        <w:t>L score will be calculated by dividing the assigned score by 3</w:t>
      </w:r>
    </w:p>
    <w:tbl>
      <w:tblPr>
        <w:tblStyle w:val="TableGrid"/>
        <w:tblW w:w="0" w:type="auto"/>
        <w:jc w:val="center"/>
        <w:tblLook w:val="04A0" w:firstRow="1" w:lastRow="0" w:firstColumn="1" w:lastColumn="0" w:noHBand="0" w:noVBand="1"/>
      </w:tblPr>
      <w:tblGrid>
        <w:gridCol w:w="3116"/>
        <w:gridCol w:w="6093"/>
      </w:tblGrid>
      <w:tr w:rsidR="00EE6A8B" w14:paraId="01FF0FB7" w14:textId="77777777" w:rsidTr="00EE6A8B">
        <w:trPr>
          <w:jc w:val="center"/>
        </w:trPr>
        <w:tc>
          <w:tcPr>
            <w:tcW w:w="3116" w:type="dxa"/>
            <w:shd w:val="clear" w:color="auto" w:fill="D0CECE" w:themeFill="background2" w:themeFillShade="E6"/>
            <w:vAlign w:val="center"/>
          </w:tcPr>
          <w:p w14:paraId="15AA1F9A" w14:textId="77777777" w:rsidR="00EE6A8B" w:rsidRDefault="00EE6A8B" w:rsidP="00EE6A8B">
            <w:pPr>
              <w:pStyle w:val="NormalWeb"/>
              <w:spacing w:line="276" w:lineRule="auto"/>
              <w:jc w:val="center"/>
            </w:pPr>
            <w:r>
              <w:t>Answer</w:t>
            </w:r>
          </w:p>
        </w:tc>
        <w:tc>
          <w:tcPr>
            <w:tcW w:w="6093" w:type="dxa"/>
            <w:shd w:val="clear" w:color="auto" w:fill="D0CECE" w:themeFill="background2" w:themeFillShade="E6"/>
            <w:vAlign w:val="center"/>
          </w:tcPr>
          <w:p w14:paraId="3A8B0301" w14:textId="77777777" w:rsidR="00EE6A8B" w:rsidRDefault="00EE6A8B" w:rsidP="00EE6A8B">
            <w:pPr>
              <w:pStyle w:val="NormalWeb"/>
              <w:spacing w:line="276" w:lineRule="auto"/>
              <w:jc w:val="center"/>
            </w:pPr>
            <w:r>
              <w:t>Description</w:t>
            </w:r>
          </w:p>
        </w:tc>
      </w:tr>
      <w:tr w:rsidR="00EE6A8B" w14:paraId="70561257" w14:textId="77777777" w:rsidTr="00EE6A8B">
        <w:trPr>
          <w:jc w:val="center"/>
        </w:trPr>
        <w:tc>
          <w:tcPr>
            <w:tcW w:w="3116" w:type="dxa"/>
            <w:vAlign w:val="center"/>
          </w:tcPr>
          <w:p w14:paraId="310A847F" w14:textId="67297BC9" w:rsidR="00EE6A8B" w:rsidRDefault="00EE6A8B" w:rsidP="00EE6A8B">
            <w:pPr>
              <w:pStyle w:val="NormalWeb"/>
              <w:spacing w:line="276" w:lineRule="auto"/>
              <w:jc w:val="center"/>
            </w:pPr>
            <w:r>
              <w:t>Yes</w:t>
            </w:r>
          </w:p>
        </w:tc>
        <w:tc>
          <w:tcPr>
            <w:tcW w:w="6093" w:type="dxa"/>
            <w:vAlign w:val="center"/>
          </w:tcPr>
          <w:p w14:paraId="7B89CBA2" w14:textId="74B68A57" w:rsidR="00EE6A8B" w:rsidRPr="00EE6A8B" w:rsidRDefault="00EE6A8B" w:rsidP="00EE6A8B">
            <w:pPr>
              <w:spacing w:line="276" w:lineRule="auto"/>
              <w:jc w:val="center"/>
              <w:rPr>
                <w:color w:val="000000"/>
              </w:rPr>
            </w:pPr>
            <w:r w:rsidRPr="00EE6A8B">
              <w:rPr>
                <w:color w:val="000000"/>
              </w:rPr>
              <w:t>Prospective experimental evidence of causality, which is likely to include mechanistic dissection of immunopathogenesis</w:t>
            </w:r>
          </w:p>
        </w:tc>
      </w:tr>
      <w:tr w:rsidR="00EE6A8B" w14:paraId="6D4CF4E3" w14:textId="77777777" w:rsidTr="00EE6A8B">
        <w:trPr>
          <w:jc w:val="center"/>
        </w:trPr>
        <w:tc>
          <w:tcPr>
            <w:tcW w:w="3116" w:type="dxa"/>
            <w:vAlign w:val="center"/>
          </w:tcPr>
          <w:p w14:paraId="310A83A0" w14:textId="20462427" w:rsidR="00EE6A8B" w:rsidRDefault="007F7D54" w:rsidP="00EE6A8B">
            <w:pPr>
              <w:pStyle w:val="NormalWeb"/>
              <w:spacing w:line="276" w:lineRule="auto"/>
              <w:jc w:val="center"/>
            </w:pPr>
            <w:r>
              <w:t>Supportive</w:t>
            </w:r>
          </w:p>
        </w:tc>
        <w:tc>
          <w:tcPr>
            <w:tcW w:w="6093" w:type="dxa"/>
            <w:vAlign w:val="center"/>
          </w:tcPr>
          <w:p w14:paraId="7B6859E1" w14:textId="409C8EED" w:rsidR="00EE6A8B" w:rsidRPr="00EE6A8B" w:rsidRDefault="00CD6BB8" w:rsidP="00EE6A8B">
            <w:pPr>
              <w:pStyle w:val="NormalWeb"/>
              <w:spacing w:line="276" w:lineRule="auto"/>
              <w:jc w:val="center"/>
            </w:pPr>
            <w:r w:rsidRPr="00CD6BB8">
              <w:t>Treatment of infection leads to clinical improvement or remission of MG OR demonstration of  immunopathogenic mechanism(s) without prospective experimental interrogation</w:t>
            </w:r>
            <w:r w:rsidR="007F7D54" w:rsidRPr="00EE6A8B">
              <w:t xml:space="preserve"> </w:t>
            </w:r>
          </w:p>
        </w:tc>
      </w:tr>
      <w:tr w:rsidR="000A6CB3" w14:paraId="5F26485C" w14:textId="77777777" w:rsidTr="00EE6A8B">
        <w:trPr>
          <w:jc w:val="center"/>
        </w:trPr>
        <w:tc>
          <w:tcPr>
            <w:tcW w:w="3116" w:type="dxa"/>
            <w:vAlign w:val="center"/>
          </w:tcPr>
          <w:p w14:paraId="192B70A3" w14:textId="7C38C8E0" w:rsidR="000A6CB3" w:rsidRDefault="000A6CB3" w:rsidP="00EE6A8B">
            <w:pPr>
              <w:pStyle w:val="NormalWeb"/>
              <w:spacing w:line="276" w:lineRule="auto"/>
              <w:jc w:val="center"/>
            </w:pPr>
            <w:r>
              <w:t>Su</w:t>
            </w:r>
            <w:r w:rsidR="007F7D54">
              <w:t>ggestive</w:t>
            </w:r>
          </w:p>
        </w:tc>
        <w:tc>
          <w:tcPr>
            <w:tcW w:w="6093" w:type="dxa"/>
            <w:vAlign w:val="center"/>
          </w:tcPr>
          <w:p w14:paraId="328CD078" w14:textId="57A5E889" w:rsidR="000A6CB3" w:rsidRPr="00EE6A8B" w:rsidRDefault="007F7D54" w:rsidP="00EE6A8B">
            <w:pPr>
              <w:pStyle w:val="NormalWeb"/>
              <w:spacing w:line="276" w:lineRule="auto"/>
              <w:jc w:val="center"/>
            </w:pPr>
            <w:r w:rsidRPr="007F7D54">
              <w:t>Epidemiological or other inferential (e.g. transcriptomic, immunohistochemical) data</w:t>
            </w:r>
          </w:p>
        </w:tc>
      </w:tr>
      <w:tr w:rsidR="00EE6A8B" w14:paraId="5B4CE6DF" w14:textId="77777777" w:rsidTr="00EE6A8B">
        <w:trPr>
          <w:jc w:val="center"/>
        </w:trPr>
        <w:tc>
          <w:tcPr>
            <w:tcW w:w="3116" w:type="dxa"/>
            <w:vAlign w:val="center"/>
          </w:tcPr>
          <w:p w14:paraId="3C5B94E3" w14:textId="3D2EB70D" w:rsidR="00EE6A8B" w:rsidRDefault="00EE6A8B" w:rsidP="00EE6A8B">
            <w:pPr>
              <w:pStyle w:val="NormalWeb"/>
              <w:spacing w:line="276" w:lineRule="auto"/>
              <w:jc w:val="center"/>
            </w:pPr>
            <w:r>
              <w:t>No/absent/unclear/NA</w:t>
            </w:r>
          </w:p>
        </w:tc>
        <w:tc>
          <w:tcPr>
            <w:tcW w:w="6093" w:type="dxa"/>
            <w:vAlign w:val="center"/>
          </w:tcPr>
          <w:p w14:paraId="206B9C03" w14:textId="7C91E303" w:rsidR="00EE6A8B" w:rsidRPr="00EE6A8B" w:rsidRDefault="00EE6A8B" w:rsidP="00EE6A8B">
            <w:pPr>
              <w:pStyle w:val="NormalWeb"/>
              <w:spacing w:line="276" w:lineRule="auto"/>
              <w:jc w:val="center"/>
            </w:pPr>
            <w:r w:rsidRPr="00EE6A8B">
              <w:t>All other observations</w:t>
            </w:r>
          </w:p>
        </w:tc>
      </w:tr>
    </w:tbl>
    <w:p w14:paraId="448DA0A9" w14:textId="400A6014" w:rsidR="006F2686" w:rsidRDefault="00C407F6" w:rsidP="003A7564">
      <w:pPr>
        <w:pStyle w:val="NormalWeb"/>
        <w:spacing w:line="480" w:lineRule="auto"/>
      </w:pPr>
      <w:r w:rsidRPr="00AF3DB1">
        <w:rPr>
          <w:b/>
          <w:bCs/>
        </w:rPr>
        <w:t>I Score:</w:t>
      </w:r>
      <w:r w:rsidRPr="0005567F">
        <w:rPr>
          <w:b/>
          <w:bCs/>
        </w:rPr>
        <w:t xml:space="preserve"> </w:t>
      </w:r>
      <w:r w:rsidR="003A7564">
        <w:t>I scores will address the confidence of MG diagnosis. “Supportive” will be given 1 point, “Diagnostic”</w:t>
      </w:r>
      <w:r w:rsidR="003E4FA5">
        <w:t xml:space="preserve"> (serological)</w:t>
      </w:r>
      <w:r w:rsidR="003A7564">
        <w:t xml:space="preserve"> will be given 2 points and “Mechanistic study” will be given 3 points. A normalized I score will be calculated by dividing the assigned score by 3.</w:t>
      </w:r>
    </w:p>
    <w:tbl>
      <w:tblPr>
        <w:tblStyle w:val="TableGrid"/>
        <w:tblW w:w="0" w:type="auto"/>
        <w:tblLook w:val="04A0" w:firstRow="1" w:lastRow="0" w:firstColumn="1" w:lastColumn="0" w:noHBand="0" w:noVBand="1"/>
      </w:tblPr>
      <w:tblGrid>
        <w:gridCol w:w="3116"/>
        <w:gridCol w:w="3117"/>
        <w:gridCol w:w="3117"/>
      </w:tblGrid>
      <w:tr w:rsidR="006D5140" w14:paraId="4F47D28F" w14:textId="77777777" w:rsidTr="006D5140">
        <w:trPr>
          <w:trHeight w:val="141"/>
        </w:trPr>
        <w:tc>
          <w:tcPr>
            <w:tcW w:w="3116" w:type="dxa"/>
            <w:shd w:val="clear" w:color="auto" w:fill="D0CECE" w:themeFill="background2" w:themeFillShade="E6"/>
            <w:vAlign w:val="center"/>
          </w:tcPr>
          <w:p w14:paraId="0096209B" w14:textId="410EC4D6" w:rsidR="006D5140" w:rsidRDefault="006D5140" w:rsidP="006D5140">
            <w:pPr>
              <w:pStyle w:val="NormalWeb"/>
              <w:spacing w:line="276" w:lineRule="auto"/>
              <w:jc w:val="center"/>
            </w:pPr>
            <w:r>
              <w:t>Answer</w:t>
            </w:r>
          </w:p>
        </w:tc>
        <w:tc>
          <w:tcPr>
            <w:tcW w:w="3117" w:type="dxa"/>
            <w:shd w:val="clear" w:color="auto" w:fill="D0CECE" w:themeFill="background2" w:themeFillShade="E6"/>
            <w:vAlign w:val="center"/>
          </w:tcPr>
          <w:p w14:paraId="1A6D8133" w14:textId="722625DA" w:rsidR="006D5140" w:rsidRDefault="006D5140" w:rsidP="006D5140">
            <w:pPr>
              <w:pStyle w:val="NormalWeb"/>
              <w:spacing w:line="276" w:lineRule="auto"/>
              <w:jc w:val="center"/>
            </w:pPr>
            <w:r>
              <w:t>Description</w:t>
            </w:r>
          </w:p>
        </w:tc>
        <w:tc>
          <w:tcPr>
            <w:tcW w:w="3117" w:type="dxa"/>
            <w:shd w:val="clear" w:color="auto" w:fill="D0CECE" w:themeFill="background2" w:themeFillShade="E6"/>
            <w:vAlign w:val="center"/>
          </w:tcPr>
          <w:p w14:paraId="76023F6B" w14:textId="73E466A4" w:rsidR="006D5140" w:rsidRDefault="006D5140" w:rsidP="006D5140">
            <w:pPr>
              <w:pStyle w:val="NormalWeb"/>
              <w:spacing w:line="276" w:lineRule="auto"/>
              <w:jc w:val="center"/>
            </w:pPr>
            <w:r>
              <w:t>Search Term</w:t>
            </w:r>
          </w:p>
        </w:tc>
      </w:tr>
      <w:tr w:rsidR="006D5140" w14:paraId="11EBB260" w14:textId="77777777" w:rsidTr="006D5140">
        <w:tc>
          <w:tcPr>
            <w:tcW w:w="3116" w:type="dxa"/>
            <w:vAlign w:val="center"/>
          </w:tcPr>
          <w:p w14:paraId="1165A2BA" w14:textId="6963B422" w:rsidR="006D5140" w:rsidRDefault="006D5140" w:rsidP="006D5140">
            <w:pPr>
              <w:pStyle w:val="NormalWeb"/>
              <w:spacing w:line="276" w:lineRule="auto"/>
              <w:jc w:val="center"/>
            </w:pPr>
            <w:r>
              <w:t>Supportive</w:t>
            </w:r>
          </w:p>
        </w:tc>
        <w:tc>
          <w:tcPr>
            <w:tcW w:w="3117" w:type="dxa"/>
            <w:vAlign w:val="center"/>
          </w:tcPr>
          <w:p w14:paraId="032066D5" w14:textId="7214AE97" w:rsidR="006D5140" w:rsidRDefault="006D5140" w:rsidP="006D5140">
            <w:pPr>
              <w:pStyle w:val="NormalWeb"/>
              <w:spacing w:line="276" w:lineRule="auto"/>
              <w:jc w:val="center"/>
            </w:pPr>
            <w:r>
              <w:t>All other references of MG with a lack of serological evidence</w:t>
            </w:r>
            <w:r w:rsidR="005A0172">
              <w:t xml:space="preserve"> OR diagnosis is not clear</w:t>
            </w:r>
          </w:p>
        </w:tc>
        <w:tc>
          <w:tcPr>
            <w:tcW w:w="3117" w:type="dxa"/>
            <w:vAlign w:val="center"/>
          </w:tcPr>
          <w:p w14:paraId="0D15A1C5" w14:textId="0EBE9E9A" w:rsidR="006D5140" w:rsidRDefault="00B802B1" w:rsidP="006D5140">
            <w:pPr>
              <w:pStyle w:val="NormalWeb"/>
              <w:spacing w:line="276" w:lineRule="auto"/>
              <w:jc w:val="center"/>
            </w:pPr>
            <w:r>
              <w:t>“Electrophysiology” OR “Electromyogram” OR “repetitive nerve stimulation”</w:t>
            </w:r>
          </w:p>
        </w:tc>
      </w:tr>
      <w:tr w:rsidR="006D5140" w14:paraId="53FC9318" w14:textId="77777777" w:rsidTr="006D5140">
        <w:tc>
          <w:tcPr>
            <w:tcW w:w="3116" w:type="dxa"/>
            <w:vAlign w:val="center"/>
          </w:tcPr>
          <w:p w14:paraId="1A26D300" w14:textId="02BF094B" w:rsidR="006D5140" w:rsidRDefault="006D5140" w:rsidP="006D5140">
            <w:pPr>
              <w:pStyle w:val="NormalWeb"/>
              <w:spacing w:line="276" w:lineRule="auto"/>
              <w:jc w:val="center"/>
            </w:pPr>
            <w:r>
              <w:t>Diagnostic</w:t>
            </w:r>
          </w:p>
        </w:tc>
        <w:tc>
          <w:tcPr>
            <w:tcW w:w="3117" w:type="dxa"/>
            <w:vAlign w:val="center"/>
          </w:tcPr>
          <w:p w14:paraId="5E797230" w14:textId="002D6805" w:rsidR="006D5140" w:rsidRDefault="006D5140" w:rsidP="006D5140">
            <w:pPr>
              <w:pStyle w:val="NormalWeb"/>
              <w:spacing w:line="276" w:lineRule="auto"/>
              <w:jc w:val="center"/>
            </w:pPr>
            <w:r>
              <w:t>Positive serological identification of anti-AChR antibodies or anti-MuSK antibodies (titer or ELISA)</w:t>
            </w:r>
          </w:p>
        </w:tc>
        <w:tc>
          <w:tcPr>
            <w:tcW w:w="3117" w:type="dxa"/>
            <w:vAlign w:val="center"/>
          </w:tcPr>
          <w:p w14:paraId="741E930F" w14:textId="6D6B6645" w:rsidR="006D5140" w:rsidRDefault="00B802B1" w:rsidP="006D5140">
            <w:pPr>
              <w:pStyle w:val="NormalWeb"/>
              <w:spacing w:line="276" w:lineRule="auto"/>
              <w:jc w:val="center"/>
            </w:pPr>
            <w:r>
              <w:t>“AChR antibod*” OR “</w:t>
            </w:r>
            <w:r w:rsidR="001869A5">
              <w:t>Acetylcholine receptor antibod*” OR “Muscle specific tyrosine kinase receptor antibod*” OR “MuSK antibod*”</w:t>
            </w:r>
          </w:p>
        </w:tc>
      </w:tr>
      <w:tr w:rsidR="006D5140" w14:paraId="6DA29B35" w14:textId="77777777" w:rsidTr="006D5140">
        <w:tc>
          <w:tcPr>
            <w:tcW w:w="3116" w:type="dxa"/>
            <w:vAlign w:val="center"/>
          </w:tcPr>
          <w:p w14:paraId="1BA3E83F" w14:textId="543AF54B" w:rsidR="006D5140" w:rsidRDefault="006D5140" w:rsidP="006D5140">
            <w:pPr>
              <w:pStyle w:val="NormalWeb"/>
              <w:spacing w:line="276" w:lineRule="auto"/>
              <w:jc w:val="center"/>
            </w:pPr>
            <w:r>
              <w:t>Mechanistic Study</w:t>
            </w:r>
          </w:p>
        </w:tc>
        <w:tc>
          <w:tcPr>
            <w:tcW w:w="3117" w:type="dxa"/>
            <w:vAlign w:val="center"/>
          </w:tcPr>
          <w:p w14:paraId="7A117B45" w14:textId="4565F731" w:rsidR="006D5140" w:rsidRDefault="006D5140" w:rsidP="006D5140">
            <w:pPr>
              <w:pStyle w:val="NormalWeb"/>
              <w:spacing w:line="276" w:lineRule="auto"/>
              <w:jc w:val="center"/>
            </w:pPr>
            <w:r>
              <w:t>Induction of experimental a</w:t>
            </w:r>
            <w:r w:rsidR="001869A5">
              <w:t>utoimmune</w:t>
            </w:r>
            <w:r>
              <w:t xml:space="preserve"> myasthenia gravis (EAMG) </w:t>
            </w:r>
          </w:p>
        </w:tc>
        <w:tc>
          <w:tcPr>
            <w:tcW w:w="3117" w:type="dxa"/>
            <w:vAlign w:val="center"/>
          </w:tcPr>
          <w:p w14:paraId="0BB303BA" w14:textId="754B21AD" w:rsidR="006D5140" w:rsidRDefault="001869A5" w:rsidP="006D5140">
            <w:pPr>
              <w:pStyle w:val="NormalWeb"/>
              <w:spacing w:line="276" w:lineRule="auto"/>
              <w:jc w:val="center"/>
            </w:pPr>
            <w:r>
              <w:t xml:space="preserve">(“Experimental autoimmune myasthenia gravis” OR “EAMG”) AND ((“Mouse” OR “Mice”) OR (“Rat”) </w:t>
            </w:r>
          </w:p>
        </w:tc>
      </w:tr>
    </w:tbl>
    <w:p w14:paraId="4FDD71F1" w14:textId="1CF95B58" w:rsidR="00E85982" w:rsidRPr="006F2686" w:rsidRDefault="00C407F6" w:rsidP="006F2686">
      <w:pPr>
        <w:pStyle w:val="NormalWeb"/>
        <w:spacing w:line="480" w:lineRule="auto"/>
      </w:pPr>
      <w:r w:rsidRPr="0005567F">
        <w:rPr>
          <w:b/>
          <w:bCs/>
        </w:rPr>
        <w:lastRenderedPageBreak/>
        <w:t xml:space="preserve">N Score: </w:t>
      </w:r>
      <w:r w:rsidR="003A7564">
        <w:t xml:space="preserve">N score will be given based on the number of patients with the given infectious disease, where 1 point will be </w:t>
      </w:r>
      <w:r w:rsidR="00BF5598">
        <w:t xml:space="preserve">assigned for 1 patient, 2 points for 2-5 patients, 3 points for 6-10 patients, 4 points for 11-20 patients, 5 points for 21-50 patients, and 6 points for </w:t>
      </w:r>
      <m:oMath>
        <m:r>
          <w:rPr>
            <w:rFonts w:ascii="Cambria Math" w:hAnsi="Cambria Math"/>
          </w:rPr>
          <m:t>≥</m:t>
        </m:r>
      </m:oMath>
      <w:r w:rsidR="00BF5598">
        <w:t xml:space="preserve"> 51patients. A normalized N score will be calculated by dividing the assigned score by 6</w:t>
      </w:r>
      <w:r w:rsidR="00941A5A">
        <w:t>.</w:t>
      </w:r>
    </w:p>
    <w:sectPr w:rsidR="00E85982" w:rsidRPr="006F2686" w:rsidSect="00B325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5808"/>
    <w:multiLevelType w:val="hybridMultilevel"/>
    <w:tmpl w:val="F5960D1C"/>
    <w:lvl w:ilvl="0" w:tplc="14682EE2">
      <w:start w:val="20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A727D"/>
    <w:multiLevelType w:val="multilevel"/>
    <w:tmpl w:val="67FA5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3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B00FF"/>
    <w:multiLevelType w:val="hybridMultilevel"/>
    <w:tmpl w:val="EA12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866AC"/>
    <w:multiLevelType w:val="hybridMultilevel"/>
    <w:tmpl w:val="5FC0B156"/>
    <w:lvl w:ilvl="0" w:tplc="A82E9F7A">
      <w:start w:val="1"/>
      <w:numFmt w:val="bullet"/>
      <w:lvlText w:val="•"/>
      <w:lvlJc w:val="left"/>
      <w:pPr>
        <w:tabs>
          <w:tab w:val="num" w:pos="720"/>
        </w:tabs>
        <w:ind w:left="720" w:hanging="360"/>
      </w:pPr>
      <w:rPr>
        <w:rFonts w:ascii="Arial" w:hAnsi="Arial" w:hint="default"/>
      </w:rPr>
    </w:lvl>
    <w:lvl w:ilvl="1" w:tplc="8250BF4E" w:tentative="1">
      <w:start w:val="1"/>
      <w:numFmt w:val="bullet"/>
      <w:lvlText w:val="•"/>
      <w:lvlJc w:val="left"/>
      <w:pPr>
        <w:tabs>
          <w:tab w:val="num" w:pos="1440"/>
        </w:tabs>
        <w:ind w:left="1440" w:hanging="360"/>
      </w:pPr>
      <w:rPr>
        <w:rFonts w:ascii="Arial" w:hAnsi="Arial" w:hint="default"/>
      </w:rPr>
    </w:lvl>
    <w:lvl w:ilvl="2" w:tplc="B4ACD0A4" w:tentative="1">
      <w:start w:val="1"/>
      <w:numFmt w:val="bullet"/>
      <w:lvlText w:val="•"/>
      <w:lvlJc w:val="left"/>
      <w:pPr>
        <w:tabs>
          <w:tab w:val="num" w:pos="2160"/>
        </w:tabs>
        <w:ind w:left="2160" w:hanging="360"/>
      </w:pPr>
      <w:rPr>
        <w:rFonts w:ascii="Arial" w:hAnsi="Arial" w:hint="default"/>
      </w:rPr>
    </w:lvl>
    <w:lvl w:ilvl="3" w:tplc="D2EAE268" w:tentative="1">
      <w:start w:val="1"/>
      <w:numFmt w:val="bullet"/>
      <w:lvlText w:val="•"/>
      <w:lvlJc w:val="left"/>
      <w:pPr>
        <w:tabs>
          <w:tab w:val="num" w:pos="2880"/>
        </w:tabs>
        <w:ind w:left="2880" w:hanging="360"/>
      </w:pPr>
      <w:rPr>
        <w:rFonts w:ascii="Arial" w:hAnsi="Arial" w:hint="default"/>
      </w:rPr>
    </w:lvl>
    <w:lvl w:ilvl="4" w:tplc="35905738" w:tentative="1">
      <w:start w:val="1"/>
      <w:numFmt w:val="bullet"/>
      <w:lvlText w:val="•"/>
      <w:lvlJc w:val="left"/>
      <w:pPr>
        <w:tabs>
          <w:tab w:val="num" w:pos="3600"/>
        </w:tabs>
        <w:ind w:left="3600" w:hanging="360"/>
      </w:pPr>
      <w:rPr>
        <w:rFonts w:ascii="Arial" w:hAnsi="Arial" w:hint="default"/>
      </w:rPr>
    </w:lvl>
    <w:lvl w:ilvl="5" w:tplc="5A642D3E" w:tentative="1">
      <w:start w:val="1"/>
      <w:numFmt w:val="bullet"/>
      <w:lvlText w:val="•"/>
      <w:lvlJc w:val="left"/>
      <w:pPr>
        <w:tabs>
          <w:tab w:val="num" w:pos="4320"/>
        </w:tabs>
        <w:ind w:left="4320" w:hanging="360"/>
      </w:pPr>
      <w:rPr>
        <w:rFonts w:ascii="Arial" w:hAnsi="Arial" w:hint="default"/>
      </w:rPr>
    </w:lvl>
    <w:lvl w:ilvl="6" w:tplc="1C36CD3A" w:tentative="1">
      <w:start w:val="1"/>
      <w:numFmt w:val="bullet"/>
      <w:lvlText w:val="•"/>
      <w:lvlJc w:val="left"/>
      <w:pPr>
        <w:tabs>
          <w:tab w:val="num" w:pos="5040"/>
        </w:tabs>
        <w:ind w:left="5040" w:hanging="360"/>
      </w:pPr>
      <w:rPr>
        <w:rFonts w:ascii="Arial" w:hAnsi="Arial" w:hint="default"/>
      </w:rPr>
    </w:lvl>
    <w:lvl w:ilvl="7" w:tplc="A9243E1E" w:tentative="1">
      <w:start w:val="1"/>
      <w:numFmt w:val="bullet"/>
      <w:lvlText w:val="•"/>
      <w:lvlJc w:val="left"/>
      <w:pPr>
        <w:tabs>
          <w:tab w:val="num" w:pos="5760"/>
        </w:tabs>
        <w:ind w:left="5760" w:hanging="360"/>
      </w:pPr>
      <w:rPr>
        <w:rFonts w:ascii="Arial" w:hAnsi="Arial" w:hint="default"/>
      </w:rPr>
    </w:lvl>
    <w:lvl w:ilvl="8" w:tplc="8B6AD9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2B6554"/>
    <w:multiLevelType w:val="hybridMultilevel"/>
    <w:tmpl w:val="44A0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75835"/>
    <w:multiLevelType w:val="hybridMultilevel"/>
    <w:tmpl w:val="8C64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85D6D"/>
    <w:multiLevelType w:val="hybridMultilevel"/>
    <w:tmpl w:val="DAA69DEE"/>
    <w:lvl w:ilvl="0" w:tplc="360A7DB8">
      <w:start w:val="1"/>
      <w:numFmt w:val="bullet"/>
      <w:lvlText w:val="•"/>
      <w:lvlJc w:val="left"/>
      <w:pPr>
        <w:tabs>
          <w:tab w:val="num" w:pos="720"/>
        </w:tabs>
        <w:ind w:left="720" w:hanging="360"/>
      </w:pPr>
      <w:rPr>
        <w:rFonts w:ascii="Arial" w:hAnsi="Arial" w:hint="default"/>
      </w:rPr>
    </w:lvl>
    <w:lvl w:ilvl="1" w:tplc="7700CC0C">
      <w:start w:val="1"/>
      <w:numFmt w:val="bullet"/>
      <w:lvlText w:val="•"/>
      <w:lvlJc w:val="left"/>
      <w:pPr>
        <w:tabs>
          <w:tab w:val="num" w:pos="1440"/>
        </w:tabs>
        <w:ind w:left="1440" w:hanging="360"/>
      </w:pPr>
      <w:rPr>
        <w:rFonts w:ascii="Arial" w:hAnsi="Arial" w:hint="default"/>
      </w:rPr>
    </w:lvl>
    <w:lvl w:ilvl="2" w:tplc="7DEC256A" w:tentative="1">
      <w:start w:val="1"/>
      <w:numFmt w:val="bullet"/>
      <w:lvlText w:val="•"/>
      <w:lvlJc w:val="left"/>
      <w:pPr>
        <w:tabs>
          <w:tab w:val="num" w:pos="2160"/>
        </w:tabs>
        <w:ind w:left="2160" w:hanging="360"/>
      </w:pPr>
      <w:rPr>
        <w:rFonts w:ascii="Arial" w:hAnsi="Arial" w:hint="default"/>
      </w:rPr>
    </w:lvl>
    <w:lvl w:ilvl="3" w:tplc="9DCC4186" w:tentative="1">
      <w:start w:val="1"/>
      <w:numFmt w:val="bullet"/>
      <w:lvlText w:val="•"/>
      <w:lvlJc w:val="left"/>
      <w:pPr>
        <w:tabs>
          <w:tab w:val="num" w:pos="2880"/>
        </w:tabs>
        <w:ind w:left="2880" w:hanging="360"/>
      </w:pPr>
      <w:rPr>
        <w:rFonts w:ascii="Arial" w:hAnsi="Arial" w:hint="default"/>
      </w:rPr>
    </w:lvl>
    <w:lvl w:ilvl="4" w:tplc="03BCC24C" w:tentative="1">
      <w:start w:val="1"/>
      <w:numFmt w:val="bullet"/>
      <w:lvlText w:val="•"/>
      <w:lvlJc w:val="left"/>
      <w:pPr>
        <w:tabs>
          <w:tab w:val="num" w:pos="3600"/>
        </w:tabs>
        <w:ind w:left="3600" w:hanging="360"/>
      </w:pPr>
      <w:rPr>
        <w:rFonts w:ascii="Arial" w:hAnsi="Arial" w:hint="default"/>
      </w:rPr>
    </w:lvl>
    <w:lvl w:ilvl="5" w:tplc="7C2C0A16" w:tentative="1">
      <w:start w:val="1"/>
      <w:numFmt w:val="bullet"/>
      <w:lvlText w:val="•"/>
      <w:lvlJc w:val="left"/>
      <w:pPr>
        <w:tabs>
          <w:tab w:val="num" w:pos="4320"/>
        </w:tabs>
        <w:ind w:left="4320" w:hanging="360"/>
      </w:pPr>
      <w:rPr>
        <w:rFonts w:ascii="Arial" w:hAnsi="Arial" w:hint="default"/>
      </w:rPr>
    </w:lvl>
    <w:lvl w:ilvl="6" w:tplc="2AF69DD0" w:tentative="1">
      <w:start w:val="1"/>
      <w:numFmt w:val="bullet"/>
      <w:lvlText w:val="•"/>
      <w:lvlJc w:val="left"/>
      <w:pPr>
        <w:tabs>
          <w:tab w:val="num" w:pos="5040"/>
        </w:tabs>
        <w:ind w:left="5040" w:hanging="360"/>
      </w:pPr>
      <w:rPr>
        <w:rFonts w:ascii="Arial" w:hAnsi="Arial" w:hint="default"/>
      </w:rPr>
    </w:lvl>
    <w:lvl w:ilvl="7" w:tplc="DAB4B7DA" w:tentative="1">
      <w:start w:val="1"/>
      <w:numFmt w:val="bullet"/>
      <w:lvlText w:val="•"/>
      <w:lvlJc w:val="left"/>
      <w:pPr>
        <w:tabs>
          <w:tab w:val="num" w:pos="5760"/>
        </w:tabs>
        <w:ind w:left="5760" w:hanging="360"/>
      </w:pPr>
      <w:rPr>
        <w:rFonts w:ascii="Arial" w:hAnsi="Arial" w:hint="default"/>
      </w:rPr>
    </w:lvl>
    <w:lvl w:ilvl="8" w:tplc="D2EAF4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2"/>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41"/>
    <w:rsid w:val="00030BF9"/>
    <w:rsid w:val="00043AA2"/>
    <w:rsid w:val="00045507"/>
    <w:rsid w:val="00052DFA"/>
    <w:rsid w:val="0005567F"/>
    <w:rsid w:val="00076D64"/>
    <w:rsid w:val="00081CF5"/>
    <w:rsid w:val="000A6CB3"/>
    <w:rsid w:val="001025A1"/>
    <w:rsid w:val="00104720"/>
    <w:rsid w:val="001209BA"/>
    <w:rsid w:val="00127C37"/>
    <w:rsid w:val="00145C94"/>
    <w:rsid w:val="00165E67"/>
    <w:rsid w:val="001869A5"/>
    <w:rsid w:val="0019163F"/>
    <w:rsid w:val="00196B75"/>
    <w:rsid w:val="001C3BED"/>
    <w:rsid w:val="001D4864"/>
    <w:rsid w:val="001D4984"/>
    <w:rsid w:val="001D50D7"/>
    <w:rsid w:val="001D6543"/>
    <w:rsid w:val="002122FD"/>
    <w:rsid w:val="00251C75"/>
    <w:rsid w:val="00251FEE"/>
    <w:rsid w:val="002A5533"/>
    <w:rsid w:val="002A5CFD"/>
    <w:rsid w:val="002B39FB"/>
    <w:rsid w:val="002C001B"/>
    <w:rsid w:val="002D26AA"/>
    <w:rsid w:val="002D3BB0"/>
    <w:rsid w:val="00300343"/>
    <w:rsid w:val="003050ED"/>
    <w:rsid w:val="0031572A"/>
    <w:rsid w:val="00320C4D"/>
    <w:rsid w:val="00327BE9"/>
    <w:rsid w:val="00341715"/>
    <w:rsid w:val="00350733"/>
    <w:rsid w:val="00355941"/>
    <w:rsid w:val="00356D73"/>
    <w:rsid w:val="00375C5C"/>
    <w:rsid w:val="0038058D"/>
    <w:rsid w:val="003906A3"/>
    <w:rsid w:val="003A00EF"/>
    <w:rsid w:val="003A7564"/>
    <w:rsid w:val="003B2C8A"/>
    <w:rsid w:val="003C199C"/>
    <w:rsid w:val="003C3ACB"/>
    <w:rsid w:val="003C5945"/>
    <w:rsid w:val="003E4FA5"/>
    <w:rsid w:val="00402B33"/>
    <w:rsid w:val="004455F9"/>
    <w:rsid w:val="004C0E35"/>
    <w:rsid w:val="004D741A"/>
    <w:rsid w:val="005278D7"/>
    <w:rsid w:val="0053555C"/>
    <w:rsid w:val="00563D03"/>
    <w:rsid w:val="005858FA"/>
    <w:rsid w:val="00595E73"/>
    <w:rsid w:val="005A0172"/>
    <w:rsid w:val="005B295D"/>
    <w:rsid w:val="005B5209"/>
    <w:rsid w:val="005C545F"/>
    <w:rsid w:val="005E125C"/>
    <w:rsid w:val="005F64F2"/>
    <w:rsid w:val="00602960"/>
    <w:rsid w:val="00610DA1"/>
    <w:rsid w:val="006121F3"/>
    <w:rsid w:val="00642079"/>
    <w:rsid w:val="00677D16"/>
    <w:rsid w:val="006823A5"/>
    <w:rsid w:val="00691145"/>
    <w:rsid w:val="006915B7"/>
    <w:rsid w:val="006961BA"/>
    <w:rsid w:val="006C6E8F"/>
    <w:rsid w:val="006D5140"/>
    <w:rsid w:val="006D779A"/>
    <w:rsid w:val="006E2E5E"/>
    <w:rsid w:val="006E768B"/>
    <w:rsid w:val="006F2686"/>
    <w:rsid w:val="0071674C"/>
    <w:rsid w:val="0072115F"/>
    <w:rsid w:val="00741106"/>
    <w:rsid w:val="00745E9C"/>
    <w:rsid w:val="00780A6B"/>
    <w:rsid w:val="007B0CFD"/>
    <w:rsid w:val="007C745B"/>
    <w:rsid w:val="007D07EE"/>
    <w:rsid w:val="007D38F1"/>
    <w:rsid w:val="007E0403"/>
    <w:rsid w:val="007E134B"/>
    <w:rsid w:val="007F1DD3"/>
    <w:rsid w:val="007F7D54"/>
    <w:rsid w:val="00803294"/>
    <w:rsid w:val="008070EA"/>
    <w:rsid w:val="00810F61"/>
    <w:rsid w:val="0082667E"/>
    <w:rsid w:val="00843E5C"/>
    <w:rsid w:val="00847689"/>
    <w:rsid w:val="00851886"/>
    <w:rsid w:val="008658C6"/>
    <w:rsid w:val="008C30C1"/>
    <w:rsid w:val="008D65C5"/>
    <w:rsid w:val="008F1DB7"/>
    <w:rsid w:val="008F6E9D"/>
    <w:rsid w:val="009142F3"/>
    <w:rsid w:val="0092673D"/>
    <w:rsid w:val="00941A5A"/>
    <w:rsid w:val="009474A2"/>
    <w:rsid w:val="00952068"/>
    <w:rsid w:val="00957ADE"/>
    <w:rsid w:val="00964F25"/>
    <w:rsid w:val="00975BBD"/>
    <w:rsid w:val="009B3AB2"/>
    <w:rsid w:val="009B50F4"/>
    <w:rsid w:val="009B7E5C"/>
    <w:rsid w:val="009F4E62"/>
    <w:rsid w:val="00A07C21"/>
    <w:rsid w:val="00A44388"/>
    <w:rsid w:val="00A44FDA"/>
    <w:rsid w:val="00A67F41"/>
    <w:rsid w:val="00A77DF3"/>
    <w:rsid w:val="00A80239"/>
    <w:rsid w:val="00A96477"/>
    <w:rsid w:val="00A970B5"/>
    <w:rsid w:val="00AF225F"/>
    <w:rsid w:val="00AF3DB1"/>
    <w:rsid w:val="00B1534E"/>
    <w:rsid w:val="00B1736F"/>
    <w:rsid w:val="00B325D4"/>
    <w:rsid w:val="00B75189"/>
    <w:rsid w:val="00B802B1"/>
    <w:rsid w:val="00B83FE7"/>
    <w:rsid w:val="00B8596A"/>
    <w:rsid w:val="00BA13F9"/>
    <w:rsid w:val="00BA18B7"/>
    <w:rsid w:val="00BA6306"/>
    <w:rsid w:val="00BB0F8F"/>
    <w:rsid w:val="00BB6DA2"/>
    <w:rsid w:val="00BF5598"/>
    <w:rsid w:val="00C16814"/>
    <w:rsid w:val="00C25252"/>
    <w:rsid w:val="00C2678A"/>
    <w:rsid w:val="00C407F6"/>
    <w:rsid w:val="00C52850"/>
    <w:rsid w:val="00C67A0E"/>
    <w:rsid w:val="00C716FA"/>
    <w:rsid w:val="00CB189B"/>
    <w:rsid w:val="00CD6BB8"/>
    <w:rsid w:val="00CD6CD3"/>
    <w:rsid w:val="00CE39DB"/>
    <w:rsid w:val="00CE667E"/>
    <w:rsid w:val="00CF67FF"/>
    <w:rsid w:val="00D127E2"/>
    <w:rsid w:val="00D24959"/>
    <w:rsid w:val="00D26321"/>
    <w:rsid w:val="00D36A57"/>
    <w:rsid w:val="00D76810"/>
    <w:rsid w:val="00D810B9"/>
    <w:rsid w:val="00D86B14"/>
    <w:rsid w:val="00D87BE8"/>
    <w:rsid w:val="00D96B1B"/>
    <w:rsid w:val="00DD7E8E"/>
    <w:rsid w:val="00E06732"/>
    <w:rsid w:val="00E11AAF"/>
    <w:rsid w:val="00E730E4"/>
    <w:rsid w:val="00E85982"/>
    <w:rsid w:val="00EB651B"/>
    <w:rsid w:val="00EC2060"/>
    <w:rsid w:val="00EE6A8B"/>
    <w:rsid w:val="00F04521"/>
    <w:rsid w:val="00F24DDA"/>
    <w:rsid w:val="00F428CA"/>
    <w:rsid w:val="00F566F7"/>
    <w:rsid w:val="00F70446"/>
    <w:rsid w:val="00F713E8"/>
    <w:rsid w:val="00FC2BC7"/>
    <w:rsid w:val="00FE767A"/>
    <w:rsid w:val="00FF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270B"/>
  <w14:defaultImageDpi w14:val="32767"/>
  <w15:chartTrackingRefBased/>
  <w15:docId w15:val="{FAE2E625-563D-D748-81FC-860084D9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6A8B"/>
    <w:rPr>
      <w:rFonts w:eastAsia="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941"/>
    <w:pPr>
      <w:spacing w:before="100" w:beforeAutospacing="1" w:after="100" w:afterAutospacing="1"/>
    </w:pPr>
  </w:style>
  <w:style w:type="character" w:styleId="PlaceholderText">
    <w:name w:val="Placeholder Text"/>
    <w:basedOn w:val="DefaultParagraphFont"/>
    <w:uiPriority w:val="99"/>
    <w:semiHidden/>
    <w:rsid w:val="00964F25"/>
    <w:rPr>
      <w:color w:val="808080"/>
    </w:rPr>
  </w:style>
  <w:style w:type="paragraph" w:styleId="ListParagraph">
    <w:name w:val="List Paragraph"/>
    <w:basedOn w:val="Normal"/>
    <w:uiPriority w:val="34"/>
    <w:qFormat/>
    <w:rsid w:val="00610DA1"/>
    <w:pPr>
      <w:ind w:left="720"/>
      <w:contextualSpacing/>
    </w:pPr>
  </w:style>
  <w:style w:type="table" w:styleId="TableGrid">
    <w:name w:val="Table Grid"/>
    <w:basedOn w:val="TableNormal"/>
    <w:uiPriority w:val="39"/>
    <w:rsid w:val="006D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4524">
      <w:bodyDiv w:val="1"/>
      <w:marLeft w:val="0"/>
      <w:marRight w:val="0"/>
      <w:marTop w:val="0"/>
      <w:marBottom w:val="0"/>
      <w:divBdr>
        <w:top w:val="none" w:sz="0" w:space="0" w:color="auto"/>
        <w:left w:val="none" w:sz="0" w:space="0" w:color="auto"/>
        <w:bottom w:val="none" w:sz="0" w:space="0" w:color="auto"/>
        <w:right w:val="none" w:sz="0" w:space="0" w:color="auto"/>
      </w:divBdr>
    </w:div>
    <w:div w:id="126162919">
      <w:bodyDiv w:val="1"/>
      <w:marLeft w:val="0"/>
      <w:marRight w:val="0"/>
      <w:marTop w:val="0"/>
      <w:marBottom w:val="0"/>
      <w:divBdr>
        <w:top w:val="none" w:sz="0" w:space="0" w:color="auto"/>
        <w:left w:val="none" w:sz="0" w:space="0" w:color="auto"/>
        <w:bottom w:val="none" w:sz="0" w:space="0" w:color="auto"/>
        <w:right w:val="none" w:sz="0" w:space="0" w:color="auto"/>
      </w:divBdr>
    </w:div>
    <w:div w:id="144010078">
      <w:bodyDiv w:val="1"/>
      <w:marLeft w:val="0"/>
      <w:marRight w:val="0"/>
      <w:marTop w:val="0"/>
      <w:marBottom w:val="0"/>
      <w:divBdr>
        <w:top w:val="none" w:sz="0" w:space="0" w:color="auto"/>
        <w:left w:val="none" w:sz="0" w:space="0" w:color="auto"/>
        <w:bottom w:val="none" w:sz="0" w:space="0" w:color="auto"/>
        <w:right w:val="none" w:sz="0" w:space="0" w:color="auto"/>
      </w:divBdr>
    </w:div>
    <w:div w:id="149098959">
      <w:bodyDiv w:val="1"/>
      <w:marLeft w:val="0"/>
      <w:marRight w:val="0"/>
      <w:marTop w:val="0"/>
      <w:marBottom w:val="0"/>
      <w:divBdr>
        <w:top w:val="none" w:sz="0" w:space="0" w:color="auto"/>
        <w:left w:val="none" w:sz="0" w:space="0" w:color="auto"/>
        <w:bottom w:val="none" w:sz="0" w:space="0" w:color="auto"/>
        <w:right w:val="none" w:sz="0" w:space="0" w:color="auto"/>
      </w:divBdr>
    </w:div>
    <w:div w:id="152529093">
      <w:bodyDiv w:val="1"/>
      <w:marLeft w:val="0"/>
      <w:marRight w:val="0"/>
      <w:marTop w:val="0"/>
      <w:marBottom w:val="0"/>
      <w:divBdr>
        <w:top w:val="none" w:sz="0" w:space="0" w:color="auto"/>
        <w:left w:val="none" w:sz="0" w:space="0" w:color="auto"/>
        <w:bottom w:val="none" w:sz="0" w:space="0" w:color="auto"/>
        <w:right w:val="none" w:sz="0" w:space="0" w:color="auto"/>
      </w:divBdr>
      <w:divsChild>
        <w:div w:id="1181427560">
          <w:marLeft w:val="360"/>
          <w:marRight w:val="0"/>
          <w:marTop w:val="200"/>
          <w:marBottom w:val="0"/>
          <w:divBdr>
            <w:top w:val="none" w:sz="0" w:space="0" w:color="auto"/>
            <w:left w:val="none" w:sz="0" w:space="0" w:color="auto"/>
            <w:bottom w:val="none" w:sz="0" w:space="0" w:color="auto"/>
            <w:right w:val="none" w:sz="0" w:space="0" w:color="auto"/>
          </w:divBdr>
        </w:div>
        <w:div w:id="1437165932">
          <w:marLeft w:val="360"/>
          <w:marRight w:val="0"/>
          <w:marTop w:val="200"/>
          <w:marBottom w:val="0"/>
          <w:divBdr>
            <w:top w:val="none" w:sz="0" w:space="0" w:color="auto"/>
            <w:left w:val="none" w:sz="0" w:space="0" w:color="auto"/>
            <w:bottom w:val="none" w:sz="0" w:space="0" w:color="auto"/>
            <w:right w:val="none" w:sz="0" w:space="0" w:color="auto"/>
          </w:divBdr>
        </w:div>
      </w:divsChild>
    </w:div>
    <w:div w:id="152529699">
      <w:bodyDiv w:val="1"/>
      <w:marLeft w:val="0"/>
      <w:marRight w:val="0"/>
      <w:marTop w:val="0"/>
      <w:marBottom w:val="0"/>
      <w:divBdr>
        <w:top w:val="none" w:sz="0" w:space="0" w:color="auto"/>
        <w:left w:val="none" w:sz="0" w:space="0" w:color="auto"/>
        <w:bottom w:val="none" w:sz="0" w:space="0" w:color="auto"/>
        <w:right w:val="none" w:sz="0" w:space="0" w:color="auto"/>
      </w:divBdr>
      <w:divsChild>
        <w:div w:id="1775199880">
          <w:marLeft w:val="1080"/>
          <w:marRight w:val="0"/>
          <w:marTop w:val="100"/>
          <w:marBottom w:val="0"/>
          <w:divBdr>
            <w:top w:val="none" w:sz="0" w:space="0" w:color="auto"/>
            <w:left w:val="none" w:sz="0" w:space="0" w:color="auto"/>
            <w:bottom w:val="none" w:sz="0" w:space="0" w:color="auto"/>
            <w:right w:val="none" w:sz="0" w:space="0" w:color="auto"/>
          </w:divBdr>
        </w:div>
        <w:div w:id="330957527">
          <w:marLeft w:val="1080"/>
          <w:marRight w:val="0"/>
          <w:marTop w:val="100"/>
          <w:marBottom w:val="0"/>
          <w:divBdr>
            <w:top w:val="none" w:sz="0" w:space="0" w:color="auto"/>
            <w:left w:val="none" w:sz="0" w:space="0" w:color="auto"/>
            <w:bottom w:val="none" w:sz="0" w:space="0" w:color="auto"/>
            <w:right w:val="none" w:sz="0" w:space="0" w:color="auto"/>
          </w:divBdr>
        </w:div>
        <w:div w:id="769353008">
          <w:marLeft w:val="1080"/>
          <w:marRight w:val="0"/>
          <w:marTop w:val="100"/>
          <w:marBottom w:val="0"/>
          <w:divBdr>
            <w:top w:val="none" w:sz="0" w:space="0" w:color="auto"/>
            <w:left w:val="none" w:sz="0" w:space="0" w:color="auto"/>
            <w:bottom w:val="none" w:sz="0" w:space="0" w:color="auto"/>
            <w:right w:val="none" w:sz="0" w:space="0" w:color="auto"/>
          </w:divBdr>
        </w:div>
      </w:divsChild>
    </w:div>
    <w:div w:id="200823336">
      <w:bodyDiv w:val="1"/>
      <w:marLeft w:val="0"/>
      <w:marRight w:val="0"/>
      <w:marTop w:val="0"/>
      <w:marBottom w:val="0"/>
      <w:divBdr>
        <w:top w:val="none" w:sz="0" w:space="0" w:color="auto"/>
        <w:left w:val="none" w:sz="0" w:space="0" w:color="auto"/>
        <w:bottom w:val="none" w:sz="0" w:space="0" w:color="auto"/>
        <w:right w:val="none" w:sz="0" w:space="0" w:color="auto"/>
      </w:divBdr>
    </w:div>
    <w:div w:id="245195458">
      <w:bodyDiv w:val="1"/>
      <w:marLeft w:val="0"/>
      <w:marRight w:val="0"/>
      <w:marTop w:val="0"/>
      <w:marBottom w:val="0"/>
      <w:divBdr>
        <w:top w:val="none" w:sz="0" w:space="0" w:color="auto"/>
        <w:left w:val="none" w:sz="0" w:space="0" w:color="auto"/>
        <w:bottom w:val="none" w:sz="0" w:space="0" w:color="auto"/>
        <w:right w:val="none" w:sz="0" w:space="0" w:color="auto"/>
      </w:divBdr>
    </w:div>
    <w:div w:id="252472938">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6541247">
      <w:bodyDiv w:val="1"/>
      <w:marLeft w:val="0"/>
      <w:marRight w:val="0"/>
      <w:marTop w:val="0"/>
      <w:marBottom w:val="0"/>
      <w:divBdr>
        <w:top w:val="none" w:sz="0" w:space="0" w:color="auto"/>
        <w:left w:val="none" w:sz="0" w:space="0" w:color="auto"/>
        <w:bottom w:val="none" w:sz="0" w:space="0" w:color="auto"/>
        <w:right w:val="none" w:sz="0" w:space="0" w:color="auto"/>
      </w:divBdr>
    </w:div>
    <w:div w:id="370426203">
      <w:bodyDiv w:val="1"/>
      <w:marLeft w:val="0"/>
      <w:marRight w:val="0"/>
      <w:marTop w:val="0"/>
      <w:marBottom w:val="0"/>
      <w:divBdr>
        <w:top w:val="none" w:sz="0" w:space="0" w:color="auto"/>
        <w:left w:val="none" w:sz="0" w:space="0" w:color="auto"/>
        <w:bottom w:val="none" w:sz="0" w:space="0" w:color="auto"/>
        <w:right w:val="none" w:sz="0" w:space="0" w:color="auto"/>
      </w:divBdr>
    </w:div>
    <w:div w:id="439879309">
      <w:bodyDiv w:val="1"/>
      <w:marLeft w:val="0"/>
      <w:marRight w:val="0"/>
      <w:marTop w:val="0"/>
      <w:marBottom w:val="0"/>
      <w:divBdr>
        <w:top w:val="none" w:sz="0" w:space="0" w:color="auto"/>
        <w:left w:val="none" w:sz="0" w:space="0" w:color="auto"/>
        <w:bottom w:val="none" w:sz="0" w:space="0" w:color="auto"/>
        <w:right w:val="none" w:sz="0" w:space="0" w:color="auto"/>
      </w:divBdr>
    </w:div>
    <w:div w:id="494876803">
      <w:bodyDiv w:val="1"/>
      <w:marLeft w:val="0"/>
      <w:marRight w:val="0"/>
      <w:marTop w:val="0"/>
      <w:marBottom w:val="0"/>
      <w:divBdr>
        <w:top w:val="none" w:sz="0" w:space="0" w:color="auto"/>
        <w:left w:val="none" w:sz="0" w:space="0" w:color="auto"/>
        <w:bottom w:val="none" w:sz="0" w:space="0" w:color="auto"/>
        <w:right w:val="none" w:sz="0" w:space="0" w:color="auto"/>
      </w:divBdr>
    </w:div>
    <w:div w:id="501552193">
      <w:bodyDiv w:val="1"/>
      <w:marLeft w:val="0"/>
      <w:marRight w:val="0"/>
      <w:marTop w:val="0"/>
      <w:marBottom w:val="0"/>
      <w:divBdr>
        <w:top w:val="none" w:sz="0" w:space="0" w:color="auto"/>
        <w:left w:val="none" w:sz="0" w:space="0" w:color="auto"/>
        <w:bottom w:val="none" w:sz="0" w:space="0" w:color="auto"/>
        <w:right w:val="none" w:sz="0" w:space="0" w:color="auto"/>
      </w:divBdr>
    </w:div>
    <w:div w:id="543250077">
      <w:bodyDiv w:val="1"/>
      <w:marLeft w:val="0"/>
      <w:marRight w:val="0"/>
      <w:marTop w:val="0"/>
      <w:marBottom w:val="0"/>
      <w:divBdr>
        <w:top w:val="none" w:sz="0" w:space="0" w:color="auto"/>
        <w:left w:val="none" w:sz="0" w:space="0" w:color="auto"/>
        <w:bottom w:val="none" w:sz="0" w:space="0" w:color="auto"/>
        <w:right w:val="none" w:sz="0" w:space="0" w:color="auto"/>
      </w:divBdr>
    </w:div>
    <w:div w:id="562914560">
      <w:bodyDiv w:val="1"/>
      <w:marLeft w:val="0"/>
      <w:marRight w:val="0"/>
      <w:marTop w:val="0"/>
      <w:marBottom w:val="0"/>
      <w:divBdr>
        <w:top w:val="none" w:sz="0" w:space="0" w:color="auto"/>
        <w:left w:val="none" w:sz="0" w:space="0" w:color="auto"/>
        <w:bottom w:val="none" w:sz="0" w:space="0" w:color="auto"/>
        <w:right w:val="none" w:sz="0" w:space="0" w:color="auto"/>
      </w:divBdr>
    </w:div>
    <w:div w:id="568001332">
      <w:bodyDiv w:val="1"/>
      <w:marLeft w:val="0"/>
      <w:marRight w:val="0"/>
      <w:marTop w:val="0"/>
      <w:marBottom w:val="0"/>
      <w:divBdr>
        <w:top w:val="none" w:sz="0" w:space="0" w:color="auto"/>
        <w:left w:val="none" w:sz="0" w:space="0" w:color="auto"/>
        <w:bottom w:val="none" w:sz="0" w:space="0" w:color="auto"/>
        <w:right w:val="none" w:sz="0" w:space="0" w:color="auto"/>
      </w:divBdr>
    </w:div>
    <w:div w:id="616647100">
      <w:bodyDiv w:val="1"/>
      <w:marLeft w:val="0"/>
      <w:marRight w:val="0"/>
      <w:marTop w:val="0"/>
      <w:marBottom w:val="0"/>
      <w:divBdr>
        <w:top w:val="none" w:sz="0" w:space="0" w:color="auto"/>
        <w:left w:val="none" w:sz="0" w:space="0" w:color="auto"/>
        <w:bottom w:val="none" w:sz="0" w:space="0" w:color="auto"/>
        <w:right w:val="none" w:sz="0" w:space="0" w:color="auto"/>
      </w:divBdr>
    </w:div>
    <w:div w:id="647124706">
      <w:bodyDiv w:val="1"/>
      <w:marLeft w:val="0"/>
      <w:marRight w:val="0"/>
      <w:marTop w:val="0"/>
      <w:marBottom w:val="0"/>
      <w:divBdr>
        <w:top w:val="none" w:sz="0" w:space="0" w:color="auto"/>
        <w:left w:val="none" w:sz="0" w:space="0" w:color="auto"/>
        <w:bottom w:val="none" w:sz="0" w:space="0" w:color="auto"/>
        <w:right w:val="none" w:sz="0" w:space="0" w:color="auto"/>
      </w:divBdr>
    </w:div>
    <w:div w:id="709451906">
      <w:bodyDiv w:val="1"/>
      <w:marLeft w:val="0"/>
      <w:marRight w:val="0"/>
      <w:marTop w:val="0"/>
      <w:marBottom w:val="0"/>
      <w:divBdr>
        <w:top w:val="none" w:sz="0" w:space="0" w:color="auto"/>
        <w:left w:val="none" w:sz="0" w:space="0" w:color="auto"/>
        <w:bottom w:val="none" w:sz="0" w:space="0" w:color="auto"/>
        <w:right w:val="none" w:sz="0" w:space="0" w:color="auto"/>
      </w:divBdr>
    </w:div>
    <w:div w:id="728069807">
      <w:bodyDiv w:val="1"/>
      <w:marLeft w:val="0"/>
      <w:marRight w:val="0"/>
      <w:marTop w:val="0"/>
      <w:marBottom w:val="0"/>
      <w:divBdr>
        <w:top w:val="none" w:sz="0" w:space="0" w:color="auto"/>
        <w:left w:val="none" w:sz="0" w:space="0" w:color="auto"/>
        <w:bottom w:val="none" w:sz="0" w:space="0" w:color="auto"/>
        <w:right w:val="none" w:sz="0" w:space="0" w:color="auto"/>
      </w:divBdr>
    </w:div>
    <w:div w:id="737291700">
      <w:bodyDiv w:val="1"/>
      <w:marLeft w:val="0"/>
      <w:marRight w:val="0"/>
      <w:marTop w:val="0"/>
      <w:marBottom w:val="0"/>
      <w:divBdr>
        <w:top w:val="none" w:sz="0" w:space="0" w:color="auto"/>
        <w:left w:val="none" w:sz="0" w:space="0" w:color="auto"/>
        <w:bottom w:val="none" w:sz="0" w:space="0" w:color="auto"/>
        <w:right w:val="none" w:sz="0" w:space="0" w:color="auto"/>
      </w:divBdr>
    </w:div>
    <w:div w:id="756250711">
      <w:bodyDiv w:val="1"/>
      <w:marLeft w:val="0"/>
      <w:marRight w:val="0"/>
      <w:marTop w:val="0"/>
      <w:marBottom w:val="0"/>
      <w:divBdr>
        <w:top w:val="none" w:sz="0" w:space="0" w:color="auto"/>
        <w:left w:val="none" w:sz="0" w:space="0" w:color="auto"/>
        <w:bottom w:val="none" w:sz="0" w:space="0" w:color="auto"/>
        <w:right w:val="none" w:sz="0" w:space="0" w:color="auto"/>
      </w:divBdr>
    </w:div>
    <w:div w:id="798843881">
      <w:bodyDiv w:val="1"/>
      <w:marLeft w:val="0"/>
      <w:marRight w:val="0"/>
      <w:marTop w:val="0"/>
      <w:marBottom w:val="0"/>
      <w:divBdr>
        <w:top w:val="none" w:sz="0" w:space="0" w:color="auto"/>
        <w:left w:val="none" w:sz="0" w:space="0" w:color="auto"/>
        <w:bottom w:val="none" w:sz="0" w:space="0" w:color="auto"/>
        <w:right w:val="none" w:sz="0" w:space="0" w:color="auto"/>
      </w:divBdr>
    </w:div>
    <w:div w:id="803347160">
      <w:bodyDiv w:val="1"/>
      <w:marLeft w:val="0"/>
      <w:marRight w:val="0"/>
      <w:marTop w:val="0"/>
      <w:marBottom w:val="0"/>
      <w:divBdr>
        <w:top w:val="none" w:sz="0" w:space="0" w:color="auto"/>
        <w:left w:val="none" w:sz="0" w:space="0" w:color="auto"/>
        <w:bottom w:val="none" w:sz="0" w:space="0" w:color="auto"/>
        <w:right w:val="none" w:sz="0" w:space="0" w:color="auto"/>
      </w:divBdr>
    </w:div>
    <w:div w:id="818302244">
      <w:bodyDiv w:val="1"/>
      <w:marLeft w:val="0"/>
      <w:marRight w:val="0"/>
      <w:marTop w:val="0"/>
      <w:marBottom w:val="0"/>
      <w:divBdr>
        <w:top w:val="none" w:sz="0" w:space="0" w:color="auto"/>
        <w:left w:val="none" w:sz="0" w:space="0" w:color="auto"/>
        <w:bottom w:val="none" w:sz="0" w:space="0" w:color="auto"/>
        <w:right w:val="none" w:sz="0" w:space="0" w:color="auto"/>
      </w:divBdr>
    </w:div>
    <w:div w:id="907157385">
      <w:bodyDiv w:val="1"/>
      <w:marLeft w:val="0"/>
      <w:marRight w:val="0"/>
      <w:marTop w:val="0"/>
      <w:marBottom w:val="0"/>
      <w:divBdr>
        <w:top w:val="none" w:sz="0" w:space="0" w:color="auto"/>
        <w:left w:val="none" w:sz="0" w:space="0" w:color="auto"/>
        <w:bottom w:val="none" w:sz="0" w:space="0" w:color="auto"/>
        <w:right w:val="none" w:sz="0" w:space="0" w:color="auto"/>
      </w:divBdr>
    </w:div>
    <w:div w:id="1015306163">
      <w:bodyDiv w:val="1"/>
      <w:marLeft w:val="0"/>
      <w:marRight w:val="0"/>
      <w:marTop w:val="0"/>
      <w:marBottom w:val="0"/>
      <w:divBdr>
        <w:top w:val="none" w:sz="0" w:space="0" w:color="auto"/>
        <w:left w:val="none" w:sz="0" w:space="0" w:color="auto"/>
        <w:bottom w:val="none" w:sz="0" w:space="0" w:color="auto"/>
        <w:right w:val="none" w:sz="0" w:space="0" w:color="auto"/>
      </w:divBdr>
      <w:divsChild>
        <w:div w:id="1132864206">
          <w:marLeft w:val="0"/>
          <w:marRight w:val="0"/>
          <w:marTop w:val="0"/>
          <w:marBottom w:val="0"/>
          <w:divBdr>
            <w:top w:val="none" w:sz="0" w:space="0" w:color="auto"/>
            <w:left w:val="none" w:sz="0" w:space="0" w:color="auto"/>
            <w:bottom w:val="none" w:sz="0" w:space="0" w:color="auto"/>
            <w:right w:val="none" w:sz="0" w:space="0" w:color="auto"/>
          </w:divBdr>
          <w:divsChild>
            <w:div w:id="1150831193">
              <w:marLeft w:val="0"/>
              <w:marRight w:val="0"/>
              <w:marTop w:val="0"/>
              <w:marBottom w:val="0"/>
              <w:divBdr>
                <w:top w:val="none" w:sz="0" w:space="0" w:color="auto"/>
                <w:left w:val="none" w:sz="0" w:space="0" w:color="auto"/>
                <w:bottom w:val="none" w:sz="0" w:space="0" w:color="auto"/>
                <w:right w:val="none" w:sz="0" w:space="0" w:color="auto"/>
              </w:divBdr>
              <w:divsChild>
                <w:div w:id="8790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9411">
      <w:bodyDiv w:val="1"/>
      <w:marLeft w:val="0"/>
      <w:marRight w:val="0"/>
      <w:marTop w:val="0"/>
      <w:marBottom w:val="0"/>
      <w:divBdr>
        <w:top w:val="none" w:sz="0" w:space="0" w:color="auto"/>
        <w:left w:val="none" w:sz="0" w:space="0" w:color="auto"/>
        <w:bottom w:val="none" w:sz="0" w:space="0" w:color="auto"/>
        <w:right w:val="none" w:sz="0" w:space="0" w:color="auto"/>
      </w:divBdr>
    </w:div>
    <w:div w:id="1222062487">
      <w:bodyDiv w:val="1"/>
      <w:marLeft w:val="0"/>
      <w:marRight w:val="0"/>
      <w:marTop w:val="0"/>
      <w:marBottom w:val="0"/>
      <w:divBdr>
        <w:top w:val="none" w:sz="0" w:space="0" w:color="auto"/>
        <w:left w:val="none" w:sz="0" w:space="0" w:color="auto"/>
        <w:bottom w:val="none" w:sz="0" w:space="0" w:color="auto"/>
        <w:right w:val="none" w:sz="0" w:space="0" w:color="auto"/>
      </w:divBdr>
    </w:div>
    <w:div w:id="1242721119">
      <w:bodyDiv w:val="1"/>
      <w:marLeft w:val="0"/>
      <w:marRight w:val="0"/>
      <w:marTop w:val="0"/>
      <w:marBottom w:val="0"/>
      <w:divBdr>
        <w:top w:val="none" w:sz="0" w:space="0" w:color="auto"/>
        <w:left w:val="none" w:sz="0" w:space="0" w:color="auto"/>
        <w:bottom w:val="none" w:sz="0" w:space="0" w:color="auto"/>
        <w:right w:val="none" w:sz="0" w:space="0" w:color="auto"/>
      </w:divBdr>
    </w:div>
    <w:div w:id="1350453034">
      <w:bodyDiv w:val="1"/>
      <w:marLeft w:val="0"/>
      <w:marRight w:val="0"/>
      <w:marTop w:val="0"/>
      <w:marBottom w:val="0"/>
      <w:divBdr>
        <w:top w:val="none" w:sz="0" w:space="0" w:color="auto"/>
        <w:left w:val="none" w:sz="0" w:space="0" w:color="auto"/>
        <w:bottom w:val="none" w:sz="0" w:space="0" w:color="auto"/>
        <w:right w:val="none" w:sz="0" w:space="0" w:color="auto"/>
      </w:divBdr>
    </w:div>
    <w:div w:id="1393581698">
      <w:bodyDiv w:val="1"/>
      <w:marLeft w:val="0"/>
      <w:marRight w:val="0"/>
      <w:marTop w:val="0"/>
      <w:marBottom w:val="0"/>
      <w:divBdr>
        <w:top w:val="none" w:sz="0" w:space="0" w:color="auto"/>
        <w:left w:val="none" w:sz="0" w:space="0" w:color="auto"/>
        <w:bottom w:val="none" w:sz="0" w:space="0" w:color="auto"/>
        <w:right w:val="none" w:sz="0" w:space="0" w:color="auto"/>
      </w:divBdr>
    </w:div>
    <w:div w:id="1435400640">
      <w:bodyDiv w:val="1"/>
      <w:marLeft w:val="0"/>
      <w:marRight w:val="0"/>
      <w:marTop w:val="0"/>
      <w:marBottom w:val="0"/>
      <w:divBdr>
        <w:top w:val="none" w:sz="0" w:space="0" w:color="auto"/>
        <w:left w:val="none" w:sz="0" w:space="0" w:color="auto"/>
        <w:bottom w:val="none" w:sz="0" w:space="0" w:color="auto"/>
        <w:right w:val="none" w:sz="0" w:space="0" w:color="auto"/>
      </w:divBdr>
    </w:div>
    <w:div w:id="1510103635">
      <w:bodyDiv w:val="1"/>
      <w:marLeft w:val="0"/>
      <w:marRight w:val="0"/>
      <w:marTop w:val="0"/>
      <w:marBottom w:val="0"/>
      <w:divBdr>
        <w:top w:val="none" w:sz="0" w:space="0" w:color="auto"/>
        <w:left w:val="none" w:sz="0" w:space="0" w:color="auto"/>
        <w:bottom w:val="none" w:sz="0" w:space="0" w:color="auto"/>
        <w:right w:val="none" w:sz="0" w:space="0" w:color="auto"/>
      </w:divBdr>
      <w:divsChild>
        <w:div w:id="205067268">
          <w:marLeft w:val="0"/>
          <w:marRight w:val="0"/>
          <w:marTop w:val="0"/>
          <w:marBottom w:val="0"/>
          <w:divBdr>
            <w:top w:val="none" w:sz="0" w:space="0" w:color="auto"/>
            <w:left w:val="none" w:sz="0" w:space="0" w:color="auto"/>
            <w:bottom w:val="none" w:sz="0" w:space="0" w:color="auto"/>
            <w:right w:val="none" w:sz="0" w:space="0" w:color="auto"/>
          </w:divBdr>
          <w:divsChild>
            <w:div w:id="1640264786">
              <w:marLeft w:val="0"/>
              <w:marRight w:val="0"/>
              <w:marTop w:val="0"/>
              <w:marBottom w:val="0"/>
              <w:divBdr>
                <w:top w:val="none" w:sz="0" w:space="0" w:color="auto"/>
                <w:left w:val="none" w:sz="0" w:space="0" w:color="auto"/>
                <w:bottom w:val="none" w:sz="0" w:space="0" w:color="auto"/>
                <w:right w:val="none" w:sz="0" w:space="0" w:color="auto"/>
              </w:divBdr>
              <w:divsChild>
                <w:div w:id="10274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4195">
      <w:bodyDiv w:val="1"/>
      <w:marLeft w:val="0"/>
      <w:marRight w:val="0"/>
      <w:marTop w:val="0"/>
      <w:marBottom w:val="0"/>
      <w:divBdr>
        <w:top w:val="none" w:sz="0" w:space="0" w:color="auto"/>
        <w:left w:val="none" w:sz="0" w:space="0" w:color="auto"/>
        <w:bottom w:val="none" w:sz="0" w:space="0" w:color="auto"/>
        <w:right w:val="none" w:sz="0" w:space="0" w:color="auto"/>
      </w:divBdr>
    </w:div>
    <w:div w:id="1584953437">
      <w:bodyDiv w:val="1"/>
      <w:marLeft w:val="0"/>
      <w:marRight w:val="0"/>
      <w:marTop w:val="0"/>
      <w:marBottom w:val="0"/>
      <w:divBdr>
        <w:top w:val="none" w:sz="0" w:space="0" w:color="auto"/>
        <w:left w:val="none" w:sz="0" w:space="0" w:color="auto"/>
        <w:bottom w:val="none" w:sz="0" w:space="0" w:color="auto"/>
        <w:right w:val="none" w:sz="0" w:space="0" w:color="auto"/>
      </w:divBdr>
    </w:div>
    <w:div w:id="1642806716">
      <w:bodyDiv w:val="1"/>
      <w:marLeft w:val="0"/>
      <w:marRight w:val="0"/>
      <w:marTop w:val="0"/>
      <w:marBottom w:val="0"/>
      <w:divBdr>
        <w:top w:val="none" w:sz="0" w:space="0" w:color="auto"/>
        <w:left w:val="none" w:sz="0" w:space="0" w:color="auto"/>
        <w:bottom w:val="none" w:sz="0" w:space="0" w:color="auto"/>
        <w:right w:val="none" w:sz="0" w:space="0" w:color="auto"/>
      </w:divBdr>
    </w:div>
    <w:div w:id="1696536417">
      <w:bodyDiv w:val="1"/>
      <w:marLeft w:val="0"/>
      <w:marRight w:val="0"/>
      <w:marTop w:val="0"/>
      <w:marBottom w:val="0"/>
      <w:divBdr>
        <w:top w:val="none" w:sz="0" w:space="0" w:color="auto"/>
        <w:left w:val="none" w:sz="0" w:space="0" w:color="auto"/>
        <w:bottom w:val="none" w:sz="0" w:space="0" w:color="auto"/>
        <w:right w:val="none" w:sz="0" w:space="0" w:color="auto"/>
      </w:divBdr>
    </w:div>
    <w:div w:id="1732575487">
      <w:bodyDiv w:val="1"/>
      <w:marLeft w:val="0"/>
      <w:marRight w:val="0"/>
      <w:marTop w:val="0"/>
      <w:marBottom w:val="0"/>
      <w:divBdr>
        <w:top w:val="none" w:sz="0" w:space="0" w:color="auto"/>
        <w:left w:val="none" w:sz="0" w:space="0" w:color="auto"/>
        <w:bottom w:val="none" w:sz="0" w:space="0" w:color="auto"/>
        <w:right w:val="none" w:sz="0" w:space="0" w:color="auto"/>
      </w:divBdr>
    </w:div>
    <w:div w:id="1755543638">
      <w:bodyDiv w:val="1"/>
      <w:marLeft w:val="0"/>
      <w:marRight w:val="0"/>
      <w:marTop w:val="0"/>
      <w:marBottom w:val="0"/>
      <w:divBdr>
        <w:top w:val="none" w:sz="0" w:space="0" w:color="auto"/>
        <w:left w:val="none" w:sz="0" w:space="0" w:color="auto"/>
        <w:bottom w:val="none" w:sz="0" w:space="0" w:color="auto"/>
        <w:right w:val="none" w:sz="0" w:space="0" w:color="auto"/>
      </w:divBdr>
    </w:div>
    <w:div w:id="1764304198">
      <w:bodyDiv w:val="1"/>
      <w:marLeft w:val="0"/>
      <w:marRight w:val="0"/>
      <w:marTop w:val="0"/>
      <w:marBottom w:val="0"/>
      <w:divBdr>
        <w:top w:val="none" w:sz="0" w:space="0" w:color="auto"/>
        <w:left w:val="none" w:sz="0" w:space="0" w:color="auto"/>
        <w:bottom w:val="none" w:sz="0" w:space="0" w:color="auto"/>
        <w:right w:val="none" w:sz="0" w:space="0" w:color="auto"/>
      </w:divBdr>
    </w:div>
    <w:div w:id="1899508324">
      <w:bodyDiv w:val="1"/>
      <w:marLeft w:val="0"/>
      <w:marRight w:val="0"/>
      <w:marTop w:val="0"/>
      <w:marBottom w:val="0"/>
      <w:divBdr>
        <w:top w:val="none" w:sz="0" w:space="0" w:color="auto"/>
        <w:left w:val="none" w:sz="0" w:space="0" w:color="auto"/>
        <w:bottom w:val="none" w:sz="0" w:space="0" w:color="auto"/>
        <w:right w:val="none" w:sz="0" w:space="0" w:color="auto"/>
      </w:divBdr>
    </w:div>
    <w:div w:id="1909922464">
      <w:bodyDiv w:val="1"/>
      <w:marLeft w:val="0"/>
      <w:marRight w:val="0"/>
      <w:marTop w:val="0"/>
      <w:marBottom w:val="0"/>
      <w:divBdr>
        <w:top w:val="none" w:sz="0" w:space="0" w:color="auto"/>
        <w:left w:val="none" w:sz="0" w:space="0" w:color="auto"/>
        <w:bottom w:val="none" w:sz="0" w:space="0" w:color="auto"/>
        <w:right w:val="none" w:sz="0" w:space="0" w:color="auto"/>
      </w:divBdr>
    </w:div>
    <w:div w:id="1912736369">
      <w:bodyDiv w:val="1"/>
      <w:marLeft w:val="0"/>
      <w:marRight w:val="0"/>
      <w:marTop w:val="0"/>
      <w:marBottom w:val="0"/>
      <w:divBdr>
        <w:top w:val="none" w:sz="0" w:space="0" w:color="auto"/>
        <w:left w:val="none" w:sz="0" w:space="0" w:color="auto"/>
        <w:bottom w:val="none" w:sz="0" w:space="0" w:color="auto"/>
        <w:right w:val="none" w:sz="0" w:space="0" w:color="auto"/>
      </w:divBdr>
    </w:div>
    <w:div w:id="1914586027">
      <w:bodyDiv w:val="1"/>
      <w:marLeft w:val="0"/>
      <w:marRight w:val="0"/>
      <w:marTop w:val="0"/>
      <w:marBottom w:val="0"/>
      <w:divBdr>
        <w:top w:val="none" w:sz="0" w:space="0" w:color="auto"/>
        <w:left w:val="none" w:sz="0" w:space="0" w:color="auto"/>
        <w:bottom w:val="none" w:sz="0" w:space="0" w:color="auto"/>
        <w:right w:val="none" w:sz="0" w:space="0" w:color="auto"/>
      </w:divBdr>
      <w:divsChild>
        <w:div w:id="439028058">
          <w:marLeft w:val="1080"/>
          <w:marRight w:val="0"/>
          <w:marTop w:val="100"/>
          <w:marBottom w:val="0"/>
          <w:divBdr>
            <w:top w:val="none" w:sz="0" w:space="0" w:color="auto"/>
            <w:left w:val="none" w:sz="0" w:space="0" w:color="auto"/>
            <w:bottom w:val="none" w:sz="0" w:space="0" w:color="auto"/>
            <w:right w:val="none" w:sz="0" w:space="0" w:color="auto"/>
          </w:divBdr>
        </w:div>
        <w:div w:id="135951769">
          <w:marLeft w:val="1080"/>
          <w:marRight w:val="0"/>
          <w:marTop w:val="100"/>
          <w:marBottom w:val="0"/>
          <w:divBdr>
            <w:top w:val="none" w:sz="0" w:space="0" w:color="auto"/>
            <w:left w:val="none" w:sz="0" w:space="0" w:color="auto"/>
            <w:bottom w:val="none" w:sz="0" w:space="0" w:color="auto"/>
            <w:right w:val="none" w:sz="0" w:space="0" w:color="auto"/>
          </w:divBdr>
        </w:div>
        <w:div w:id="1760321649">
          <w:marLeft w:val="1080"/>
          <w:marRight w:val="0"/>
          <w:marTop w:val="100"/>
          <w:marBottom w:val="0"/>
          <w:divBdr>
            <w:top w:val="none" w:sz="0" w:space="0" w:color="auto"/>
            <w:left w:val="none" w:sz="0" w:space="0" w:color="auto"/>
            <w:bottom w:val="none" w:sz="0" w:space="0" w:color="auto"/>
            <w:right w:val="none" w:sz="0" w:space="0" w:color="auto"/>
          </w:divBdr>
        </w:div>
      </w:divsChild>
    </w:div>
    <w:div w:id="1917477268">
      <w:bodyDiv w:val="1"/>
      <w:marLeft w:val="0"/>
      <w:marRight w:val="0"/>
      <w:marTop w:val="0"/>
      <w:marBottom w:val="0"/>
      <w:divBdr>
        <w:top w:val="none" w:sz="0" w:space="0" w:color="auto"/>
        <w:left w:val="none" w:sz="0" w:space="0" w:color="auto"/>
        <w:bottom w:val="none" w:sz="0" w:space="0" w:color="auto"/>
        <w:right w:val="none" w:sz="0" w:space="0" w:color="auto"/>
      </w:divBdr>
    </w:div>
    <w:div w:id="1940136896">
      <w:bodyDiv w:val="1"/>
      <w:marLeft w:val="0"/>
      <w:marRight w:val="0"/>
      <w:marTop w:val="0"/>
      <w:marBottom w:val="0"/>
      <w:divBdr>
        <w:top w:val="none" w:sz="0" w:space="0" w:color="auto"/>
        <w:left w:val="none" w:sz="0" w:space="0" w:color="auto"/>
        <w:bottom w:val="none" w:sz="0" w:space="0" w:color="auto"/>
        <w:right w:val="none" w:sz="0" w:space="0" w:color="auto"/>
      </w:divBdr>
    </w:div>
    <w:div w:id="1958558060">
      <w:bodyDiv w:val="1"/>
      <w:marLeft w:val="0"/>
      <w:marRight w:val="0"/>
      <w:marTop w:val="0"/>
      <w:marBottom w:val="0"/>
      <w:divBdr>
        <w:top w:val="none" w:sz="0" w:space="0" w:color="auto"/>
        <w:left w:val="none" w:sz="0" w:space="0" w:color="auto"/>
        <w:bottom w:val="none" w:sz="0" w:space="0" w:color="auto"/>
        <w:right w:val="none" w:sz="0" w:space="0" w:color="auto"/>
      </w:divBdr>
    </w:div>
    <w:div w:id="1964655008">
      <w:bodyDiv w:val="1"/>
      <w:marLeft w:val="0"/>
      <w:marRight w:val="0"/>
      <w:marTop w:val="0"/>
      <w:marBottom w:val="0"/>
      <w:divBdr>
        <w:top w:val="none" w:sz="0" w:space="0" w:color="auto"/>
        <w:left w:val="none" w:sz="0" w:space="0" w:color="auto"/>
        <w:bottom w:val="none" w:sz="0" w:space="0" w:color="auto"/>
        <w:right w:val="none" w:sz="0" w:space="0" w:color="auto"/>
      </w:divBdr>
    </w:div>
    <w:div w:id="2025671947">
      <w:bodyDiv w:val="1"/>
      <w:marLeft w:val="0"/>
      <w:marRight w:val="0"/>
      <w:marTop w:val="0"/>
      <w:marBottom w:val="0"/>
      <w:divBdr>
        <w:top w:val="none" w:sz="0" w:space="0" w:color="auto"/>
        <w:left w:val="none" w:sz="0" w:space="0" w:color="auto"/>
        <w:bottom w:val="none" w:sz="0" w:space="0" w:color="auto"/>
        <w:right w:val="none" w:sz="0" w:space="0" w:color="auto"/>
      </w:divBdr>
    </w:div>
    <w:div w:id="21226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77E260-FF73-204D-B569-7918A7CA67A0}">
  <we:reference id="8c1c3d44-57e9-40d7-86e4-4adf61fea1dd" version="1.0.0.1" store="EXCatalog" storeType="EXCatalog"/>
  <we:alternateReferences>
    <we:reference id="WA104380122" version="1.0.0.1" store="en-US" storeType="OMEX"/>
  </we:alternateReferences>
  <we:properties>
    <we:property name="contentControlsValues" value="&quot;{\&quot;cit:1040316582\&quot;:\&quot;&lt;sup&gt;1&lt;/sup&gt;\&quot;,\&quot;cit:1241218940\&quot;:\&quot;&lt;p style='line-height: 1;'&gt;1. A. A. Leis, G. Szatmary, M. A. Ross, D. S. Stokic, West nile virus infection and myasthenia gravis. &lt;i&gt;Muscle Nerve.&lt;/i&gt;&lt;b&gt; 49&lt;/b&gt;, 26-29 (2014).&lt;/p&gt;\\n&lt;p style='line-height: 1;'&gt;2. G. D. Shelton, M. D. Willard, G. H. Cardinet, J. Lindstrom, Acquired myasthenia gravis. Selective involvement of esophageal, pharyngeal, and facial muscles. &lt;i&gt;J. Vet. Intern. Med.&lt;/i&gt;&lt;b&gt; 4&lt;/b&gt;, 281-284 (1990).&lt;/p&gt;\\n&lt;p style='line-height: 1;'&gt;3. D. W. Hague, H. D. Humphries, M. A. Mitchell, G. D. Shelton, Risk Factors and Outcomes in Cats with Acquired Myasthenia Gravis (2001-2012). &lt;i&gt;Journal of Veterinary Internal Medicine.&lt;/i&gt;&lt;b&gt; 29&lt;/b&gt;, 1307-1312 (2015).&lt;/p&gt;\\n&lt;p style='line-height: 1;'&gt;4. T. Kuntzer, A. Carota, J. Novy, M. Cavassini, R. A. Du Pasquier, Rituximab is successful in an HIV-positive patient with MuSK myasthenia gravis. &lt;i&gt;Neurology.&lt;/i&gt;&lt;b&gt; 76&lt;/b&gt;, 757-758 (2011).&lt;/p&gt;\\n\&quot;,\&quot;cit:_1722272574\&quot;:\&quot;&lt;sup&gt;1&lt;/sup&gt;\&quot;,\&quot;cit:853084104\&quot;:\&quot;&lt;i&gt;(4)&lt;/i&gt;\&quot;,\&quot;cit:_1326129820\&quot;:\&quot;&lt;i&gt;(1)&lt;/i&gt;\&quot;,\&quot;cit:_18081292\&quot;:\&quot;&lt;i&gt;(2)&lt;/i&gt;\&quot;,\&quot;cit:1400644073\&quot;:\&quot;&lt;i&gt;(3)&lt;/i&gt;\&quot;}&quot;"/>
    <we:property name="RCMUserId" value="&quot;user:5ec7ea1ce4b071a1252ac414&quot;"/>
    <we:property name="RCMSubscriberId" value="&quot;0&quot;"/>
    <we:property name="citationStyle" value="&quot;{\&quot;id\&quot;:\&quot;6\&quot;,\&quot;styleType\&quot;:\&quot;refworks\&quot;,\&quot;name\&quot;:\&quot;Science\&quot;,\&quot;isInstitutional\&quot;:false,\&quot;citeStyle\&quot;:\&quot;INTEXT_ONLY\&quot;,\&quot;isSorted\&quot;:false,\&quot;usesNumbers\&quot;:true,\&quot;$$hashKey\&quot;:\&quot;object:2606\&quot;}&quot;"/>
    <we:property name="documentProjectId" value="&quot;\&quot;ap:5ec7ea1ce4b071a1252ac415\&quot;&quot;"/>
    <we:property name="biblioId" value="1241218940"/>
    <we:property name="optionsValues" value="&quot;{\&quot;doc:5ec7ec2be4b08ada3ed8b95e&amp;1040316582\&quot;:{\&quot;id\&quot;:\&quot;doc:5ec7ec2be4b08ada3ed8b95e\&quot;,\&quot;projectId\&quot;:\&quot;ap:5ec7ea1ce4b071a1252ac415\&quot;,\&quot;pageReplace\&quot;:\&quot;\&quot;,\&quot;author\&quot;:true,\&quot;year\&quot;:true,\&quot;prefix\&quot;:\&quot;\&quot;,\&quot;suffix\&quot;:\&quot;\&quot;},\&quot;doc:5ec7ec2be4b08ada3ed8b95e&amp;-1722272574\&quot;:{\&quot;id\&quot;:\&quot;doc:5ec7ec2be4b08ada3ed8b95e\&quot;,\&quot;projectId\&quot;:\&quot;ap:5ec7ea1ce4b071a1252ac415\&quot;,\&quot;pageReplace\&quot;:\&quot;\&quot;,\&quot;author\&quot;:true,\&quot;year\&quot;:true,\&quot;prefix\&quot;:\&quot;\&quot;,\&quot;suffix\&quot;:\&quot;\&quot;},\&quot;doc:5ec7ec2be4b08ada3ed8b95e&amp;853084104\&quot;:{\&quot;id\&quot;:\&quot;doc:5ec7ec2be4b08ada3ed8b95e\&quot;,\&quot;projectId\&quot;:\&quot;ap:5ec7ea1ce4b071a1252ac415\&quot;,\&quot;pageReplace\&quot;:\&quot;\&quot;,\&quot;author\&quot;:true,\&quot;year\&quot;:true,\&quot;prefix\&quot;:\&quot;\&quot;,\&quot;suffix\&quot;:\&quot;\&quot;},\&quot;doc:5ec7f630e4b0e58d635ca5d9&amp;-1326129820\&quot;:{\&quot;id\&quot;:\&quot;doc:5ec7f630e4b0e58d635ca5d9\&quot;,\&quot;projectId\&quot;:\&quot;ap:5ec7ea1ce4b071a1252ac415\&quot;,\&quot;pageReplace\&quot;:\&quot;\&quot;,\&quot;author\&quot;:true,\&quot;year\&quot;:true,\&quot;prefix\&quot;:\&quot;\&quot;,\&quot;suffix\&quot;:\&quot;\&quot;},\&quot;doc:5ec80663e4b08ada3ed8d73d&amp;-18081292\&quot;:{\&quot;id\&quot;:\&quot;doc:5ec80663e4b08ada3ed8d73d\&quot;,\&quot;projectId\&quot;:\&quot;ap:5ec7ea1ce4b071a1252ac415\&quot;,\&quot;pageReplace\&quot;:\&quot;\&quot;,\&quot;author\&quot;:true,\&quot;year\&quot;:true,\&quot;prefix\&quot;:\&quot;\&quot;,\&quot;suffix\&quot;:\&quot;\&quot;},\&quot;doc:5ec80793e4b0fb4558620ffb&amp;1400644073\&quot;:{\&quot;id\&quot;:\&quot;doc:5ec80793e4b0fb4558620ffb\&quot;,\&quot;projectId\&quot;:\&quot;ap:5ec7ea1ce4b071a1252ac415\&quot;,\&quot;pageReplace\&quot;:\&quot;\&quot;,\&quot;author\&quot;:true,\&quot;year\&quot;:true,\&quot;prefix\&quot;:\&quot;\&quot;,\&quot;suffix\&quot;:\&quot;\&quot;}}&quot;"/>
    <we:property name="cit:1040316582" value="&quot;{\&quot;docs\&quot;:[{\&quot;id\&quot;:\&quot;doc:5ec7ec2be4b08ada3ed8b95e\&quot;,\&quot;projectId\&quot;:\&quot;ap:5ec7ea1ce4b071a1252ac415\&quot;,\&quot;pageReplace\&quot;:\&quot;\&quot;,\&quot;author\&quot;:true,\&quot;year\&quot;:true,\&quot;prefix\&quot;:\&quot;\&quot;,\&quot;suffix\&quot;:\&quot;\&quot;}],\&quot;position\&quot;:\&quot;body\&quot;}&quot;"/>
    <we:property name="cit:_1722272574" value="&quot;{\&quot;docs\&quot;:[{\&quot;id\&quot;:\&quot;doc:5ec7ec2be4b08ada3ed8b95e\&quot;,\&quot;projectId\&quot;:\&quot;ap:5ec7ea1ce4b071a1252ac415\&quot;,\&quot;pageReplace\&quot;:\&quot;\&quot;,\&quot;author\&quot;:true,\&quot;year\&quot;:true,\&quot;prefix\&quot;:\&quot;\&quot;,\&quot;suffix\&quot;:\&quot;\&quot;}],\&quot;position\&quot;:\&quot;body\&quot;}&quot;"/>
    <we:property name="cit:853084104" value="&quot;{\&quot;docs\&quot;:[{\&quot;id\&quot;:\&quot;doc:5ec7ec2be4b08ada3ed8b95e\&quot;,\&quot;projectId\&quot;:\&quot;ap:5ec7ea1ce4b071a1252ac415\&quot;,\&quot;pageReplace\&quot;:\&quot;\&quot;,\&quot;author\&quot;:true,\&quot;year\&quot;:true,\&quot;prefix\&quot;:\&quot;\&quot;,\&quot;suffix\&quot;:\&quot;\&quot;}],\&quot;position\&quot;:\&quot;body\&quot;}&quot;"/>
    <we:property name="cit:_1326129820" value="&quot;{\&quot;docs\&quot;:[{\&quot;id\&quot;:\&quot;doc:5ec7f630e4b0e58d635ca5d9\&quot;,\&quot;projectId\&quot;:\&quot;ap:5ec7ea1ce4b071a1252ac415\&quot;,\&quot;pageReplace\&quot;:\&quot;\&quot;,\&quot;author\&quot;:true,\&quot;year\&quot;:true,\&quot;prefix\&quot;:\&quot;\&quot;,\&quot;suffix\&quot;:\&quot;\&quot;}],\&quot;position\&quot;:\&quot;body\&quot;}&quot;"/>
    <we:property name="cit:_18081292" value="&quot;{\&quot;docs\&quot;:[{\&quot;id\&quot;:\&quot;doc:5ec80663e4b08ada3ed8d73d\&quot;,\&quot;projectId\&quot;:\&quot;ap:5ec7ea1ce4b071a1252ac415\&quot;,\&quot;pageReplace\&quot;:\&quot;\&quot;,\&quot;author\&quot;:true,\&quot;year\&quot;:true,\&quot;prefix\&quot;:\&quot;\&quot;,\&quot;suffix\&quot;:\&quot;\&quot;}],\&quot;position\&quot;:\&quot;body\&quot;}&quot;"/>
    <we:property name="cit:1400644073" value="&quot;{\&quot;docs\&quot;:[{\&quot;id\&quot;:\&quot;doc:5ec80793e4b0fb4558620ffb\&quot;,\&quot;projectId\&quot;:\&quot;ap:5ec7ea1ce4b071a1252ac415\&quot;,\&quot;pageReplace\&quot;:\&quot;\&quot;,\&quot;author\&quot;:true,\&quot;year\&quot;:true,\&quot;prefix\&quot;:\&quot;\&quot;,\&quot;suffix\&quot;:\&quot;\&quot;}],\&quot;position\&quot;:\&quot;body\&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5C4F-EB47-4694-BB63-120AB6D6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8</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Leopardi, Victoria</dc:creator>
  <cp:keywords/>
  <dc:description/>
  <cp:lastModifiedBy>Leopardi, Victoria</cp:lastModifiedBy>
  <cp:revision>6</cp:revision>
  <dcterms:created xsi:type="dcterms:W3CDTF">2021-01-21T02:03:00Z</dcterms:created>
  <dcterms:modified xsi:type="dcterms:W3CDTF">2021-02-02T19:15:00Z</dcterms:modified>
</cp:coreProperties>
</file>