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pplementaryMaterial"/>
        <w:spacing w:before="240" w:after="120"/>
        <w:rPr>
          <w:b w:val="false"/>
          <w:b w:val="false"/>
        </w:rPr>
      </w:pPr>
      <w:r>
        <w:rPr>
          <w:b w:val="false"/>
        </w:rPr>
      </w:r>
    </w:p>
    <w:p>
      <w:pPr>
        <w:pStyle w:val="TextBody"/>
        <w:ind w:left="0" w:right="0" w:hanging="0"/>
        <w:jc w:val="center"/>
        <w:rPr/>
      </w:pPr>
      <w:bookmarkStart w:id="0" w:name="__UnoMark__108499_3969978528"/>
      <w:bookmarkStart w:id="1" w:name="__UnoMark__67829_3591097252"/>
      <w:bookmarkEnd w:id="0"/>
      <w:bookmarkEnd w:id="1"/>
      <w:r>
        <w:rPr/>
        <w:drawing>
          <wp:inline distT="0" distB="0" distL="0" distR="0">
            <wp:extent cx="4307205" cy="3336925"/>
            <wp:effectExtent l="0" t="0" r="0" b="0"/>
            <wp:docPr id="1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both"/>
        <w:rPr/>
      </w:pPr>
      <w:bookmarkStart w:id="2" w:name="__UnoMark__101839_3299905694"/>
      <w:bookmarkStart w:id="3" w:name="__UnoMark__329237_2140266768"/>
      <w:bookmarkStart w:id="4" w:name="__UnoMark__273495_2140266768"/>
      <w:bookmarkStart w:id="5" w:name="__UnoMark__287824_2098115471"/>
      <w:bookmarkStart w:id="6" w:name="__UnoMark__107915_2100417328"/>
      <w:bookmarkStart w:id="7" w:name="__UnoMark__27357_2234117896"/>
      <w:bookmarkStart w:id="8" w:name="__UnoMark__98615_3299905694"/>
      <w:bookmarkStart w:id="9" w:name="__UnoMark__10191_2340150797"/>
      <w:bookmarkStart w:id="10" w:name="__UnoMark__39795_816854547"/>
      <w:bookmarkStart w:id="11" w:name="__UnoMark__91146_1041242398"/>
      <w:bookmarkStart w:id="12" w:name="__UnoMark__52425_816854547"/>
      <w:bookmarkStart w:id="13" w:name="__UnoMark__100740_3299905694"/>
      <w:bookmarkStart w:id="14" w:name="__UnoMark__55791_3701725445"/>
      <w:bookmarkStart w:id="15" w:name="__UnoMark__91486_1041242398"/>
      <w:bookmarkStart w:id="16" w:name="__UnoMark__53189_2340150797"/>
      <w:bookmarkStart w:id="17" w:name="__UnoMark__337231_2140266768"/>
      <w:bookmarkStart w:id="18" w:name="__UnoMark__40236_816854547"/>
      <w:bookmarkStart w:id="19" w:name="__UnoMark__107599_2100417328"/>
      <w:bookmarkStart w:id="20" w:name="__UnoMark__55482_3701725445"/>
      <w:bookmarkStart w:id="21" w:name="__UnoMark__76022_816854547"/>
      <w:bookmarkStart w:id="22" w:name="__UnoMark__108500_3969978528"/>
      <w:bookmarkStart w:id="23" w:name="__UnoMark__27478_132356189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Supplementary f</w:t>
      </w:r>
      <w:r>
        <w:rPr>
          <w:b/>
          <w:bCs/>
        </w:rPr>
        <w:t xml:space="preserve">igure </w:t>
      </w:r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1.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 xml:space="preserve"> Growth curves of </w:t>
      </w:r>
      <w:r>
        <w:rPr>
          <w:rFonts w:eastAsia="Arial Unicode MS" w:cs="Arial Unicode MS"/>
          <w:i/>
          <w:iCs/>
          <w:color w:val="00000A"/>
          <w:kern w:val="0"/>
          <w:sz w:val="24"/>
          <w:szCs w:val="24"/>
          <w:lang w:val="en-GB" w:eastAsia="zh-CN" w:bidi="hi-IN"/>
        </w:rPr>
        <w:t>Pve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 xml:space="preserve"> strains. </w:t>
      </w:r>
      <w:bookmarkStart w:id="24" w:name="__UnoMark__108501_3969978528"/>
      <w:bookmarkStart w:id="25" w:name="__UnoMark__117175_2929896868"/>
      <w:bookmarkEnd w:id="24"/>
      <w:bookmarkEnd w:id="25"/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>Over</w:t>
      </w:r>
      <w:r>
        <w:rPr/>
        <w:t xml:space="preserve">night cultures of the wild type (wt) and </w:t>
      </w:r>
      <w:r>
        <w:rPr>
          <w:i/>
          <w:iCs/>
        </w:rPr>
        <w:t xml:space="preserve">phoP </w:t>
      </w:r>
      <w:r>
        <w:rPr>
          <w:i w:val="false"/>
          <w:iCs w:val="false"/>
        </w:rPr>
        <w:t xml:space="preserve">mutant (phoP) </w:t>
      </w:r>
      <w:r>
        <w:rPr>
          <w:i/>
          <w:iCs/>
        </w:rPr>
        <w:t>Pve</w:t>
      </w:r>
      <w:r>
        <w:rPr/>
        <w:t xml:space="preserve"> strains w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>ere</w:t>
      </w:r>
      <w:r>
        <w:rPr/>
        <w:t xml:space="preserve"> grown with aeration in MM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>A</w:t>
      </w:r>
      <w:r>
        <w:rPr/>
        <w:t xml:space="preserve"> at 28 °C to an optical density at 600 nm (OD600) 0.4 and then diluted to OD600=0.1 in the same 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>medium</w:t>
      </w:r>
      <w:r>
        <w:rPr/>
        <w:t xml:space="preserve">. 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>100 µl of diluted cultures</w:t>
      </w:r>
      <w:r>
        <w:rPr/>
        <w:t xml:space="preserve"> were grow placed into the wells of a multititer plate and grown at 28 °C for 29 hours with culture mixing and optical dencity measurement performed every 20 minutes by 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>a plate reader</w:t>
      </w:r>
      <w:r>
        <w:rPr/>
        <w:t>. Four separate cultures were used for each strain. Average values with 95% confidence intervals are shown at each time point.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bookmarkStart w:id="26" w:name="__UnoMark__108509_3969978528"/>
      <w:bookmarkStart w:id="27" w:name="__UnoMark__117517_2929896868"/>
      <w:bookmarkEnd w:id="26"/>
      <w:bookmarkEnd w:id="27"/>
      <w:r>
        <w:rPr/>
        <w:drawing>
          <wp:inline distT="0" distB="0" distL="0" distR="0">
            <wp:extent cx="6124575" cy="2954655"/>
            <wp:effectExtent l="0" t="0" r="0" b="0"/>
            <wp:docPr id="2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rPr/>
      </w:pPr>
      <w:bookmarkStart w:id="28" w:name="__UnoMark__108510_3969978528"/>
      <w:bookmarkStart w:id="29" w:name="__UnoMark__116865_2929896868"/>
      <w:bookmarkEnd w:id="28"/>
      <w:bookmarkEnd w:id="29"/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Supplementary f</w:t>
      </w:r>
      <w:r>
        <w:rPr>
          <w:b/>
          <w:bCs/>
        </w:rPr>
        <w:t>igure 2.</w:t>
      </w:r>
      <w:r>
        <w:rPr/>
        <w:t xml:space="preserve"> </w:t>
      </w:r>
      <w:r>
        <w:rPr>
          <w:rFonts w:eastAsia="Arial Unicode MS" w:cs="Arial Unicode MS"/>
          <w:color w:val="00000A"/>
          <w:kern w:val="0"/>
          <w:sz w:val="24"/>
          <w:szCs w:val="24"/>
          <w:lang w:val="en-GB" w:eastAsia="zh-CN" w:bidi="hi-IN"/>
        </w:rPr>
        <w:t xml:space="preserve">Verification of selected DEGs by qPCR. </w:t>
      </w:r>
      <w:bookmarkStart w:id="30" w:name="__UnoMark__52528_8168545471"/>
      <w:bookmarkStart w:id="31" w:name="__UnoMark__39894_8168545471"/>
      <w:bookmarkStart w:id="32" w:name="__UnoMark__98718_32999056941"/>
      <w:bookmarkStart w:id="33" w:name="__UnoMark__273598_21402667681"/>
      <w:bookmarkStart w:id="34" w:name="__UnoMark__91585_10412423981"/>
      <w:bookmarkStart w:id="35" w:name="__UnoMark__52773_23401507971"/>
      <w:bookmarkStart w:id="36" w:name="__UnoMark__27456_22341178961"/>
      <w:bookmarkStart w:id="37" w:name="__UnoMark__105700_21004173281"/>
      <w:bookmarkStart w:id="38" w:name="__UnoMark__279917_21402667681"/>
      <w:bookmarkStart w:id="39" w:name="__UnoMark__91244_10412423981"/>
      <w:bookmarkStart w:id="40" w:name="__UnoMark__100843_32999056941"/>
      <w:bookmarkStart w:id="41" w:name="__UnoMark__76125_8168545471"/>
      <w:bookmarkStart w:id="42" w:name="__UnoMark__40335_8168545471"/>
      <w:bookmarkStart w:id="43" w:name="__UnoMark__337334_21402667681"/>
      <w:bookmarkStart w:id="44" w:name="__UnoMark__54114_23401507971"/>
      <w:bookmarkStart w:id="45" w:name="__UnoMark__55578_37017254451"/>
      <w:bookmarkStart w:id="46" w:name="__UnoMark__108511_3969978528"/>
      <w:bookmarkStart w:id="47" w:name="__UnoMark__27543_1323561893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/>
        <w:t xml:space="preserve">For qPCR measurement, RNA was isolated from the wild type (wt) or </w:t>
      </w:r>
      <w:r>
        <w:rPr>
          <w:i/>
          <w:iCs/>
        </w:rPr>
        <w:t>phoP</w:t>
      </w:r>
      <w:r>
        <w:rPr/>
        <w:t xml:space="preserve"> mutant </w:t>
      </w:r>
      <w:r>
        <w:rPr>
          <w:i/>
          <w:iCs/>
        </w:rPr>
        <w:t>Pve</w:t>
      </w:r>
      <w:r>
        <w:rPr/>
        <w:t xml:space="preserve"> cells grown in MMA with 0.5% sodium polypectate. Mean values of relative expression levels with 95% confidence intervals are shown.</w:t>
      </w:r>
    </w:p>
    <w:p>
      <w:pPr>
        <w:pStyle w:val="Normal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/>
      </w:pPr>
      <w:r>
        <w:rPr>
          <w:i/>
          <w:iCs/>
        </w:rPr>
        <w:t xml:space="preserve"> </w:t>
      </w:r>
      <w:bookmarkStart w:id="48" w:name="__UnoMark__27548_1323561893"/>
      <w:bookmarkStart w:id="49" w:name="__UnoMark__273602_2140266768"/>
      <w:bookmarkStart w:id="50" w:name="__UnoMark__337338_2140266768"/>
      <w:bookmarkStart w:id="51" w:name="__UnoMark__287930_2098115471"/>
      <w:bookmarkStart w:id="52" w:name="__UnoMark__55583_3701725445"/>
      <w:bookmarkStart w:id="53" w:name="__UnoMark__53299_2340150797"/>
      <w:bookmarkStart w:id="54" w:name="__UnoMark__54118_2340150797"/>
      <w:bookmarkStart w:id="55" w:name="__UnoMark__39899_816854547"/>
      <w:bookmarkStart w:id="56" w:name="__UnoMark__107700_2100417328"/>
      <w:bookmarkStart w:id="57" w:name="__UnoMark__100848_3299905694"/>
      <w:bookmarkStart w:id="58" w:name="__UnoMark__52533_816854547"/>
      <w:bookmarkStart w:id="59" w:name="__UnoMark__98723_3299905694"/>
      <w:bookmarkStart w:id="60" w:name="__UnoMark__27460_2234117896"/>
      <w:bookmarkStart w:id="61" w:name="__UnoMark__91248_1041242398"/>
      <w:bookmarkStart w:id="62" w:name="__UnoMark__76130_816854547"/>
      <w:bookmarkStart w:id="63" w:name="__UnoMark__101398_3299905694"/>
      <w:bookmarkStart w:id="64" w:name="__UnoMark__60450_816854547"/>
      <w:bookmarkStart w:id="65" w:name="__UnoMark__91589_1041242398"/>
      <w:bookmarkStart w:id="66" w:name="__UnoMark__108576_3969978528"/>
      <w:bookmarkStart w:id="67" w:name="__UnoMark__67900_3591097252"/>
      <w:bookmarkStart w:id="68" w:name="__UnoMark__116932_2929896868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/>
        <w:drawing>
          <wp:inline distT="0" distB="0" distL="0" distR="0">
            <wp:extent cx="3569335" cy="1219200"/>
            <wp:effectExtent l="0" t="0" r="0" b="0"/>
            <wp:docPr id="3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9" w:name="__UnoMark__55584_3701725445"/>
      <w:bookmarkStart w:id="70" w:name="__UnoMark__91590_1041242398"/>
      <w:bookmarkStart w:id="71" w:name="__UnoMark__101399_3299905694"/>
      <w:bookmarkStart w:id="72" w:name="__UnoMark__27461_2234117896"/>
      <w:bookmarkStart w:id="73" w:name="__UnoMark__202654_2140266768"/>
      <w:bookmarkStart w:id="74" w:name="__UnoMark__91249_1041242398"/>
      <w:bookmarkStart w:id="75" w:name="__UnoMark__76131_816854547"/>
      <w:bookmarkStart w:id="76" w:name="__UnoMark__52534_816854547"/>
      <w:bookmarkStart w:id="77" w:name="__UnoMark__273603_2140266768"/>
      <w:bookmarkStart w:id="78" w:name="__UnoMark__60451_816854547"/>
      <w:bookmarkStart w:id="79" w:name="__UnoMark__105706_2100417328"/>
      <w:bookmarkStart w:id="80" w:name="__UnoMark__337339_2140266768"/>
      <w:bookmarkStart w:id="81" w:name="__UnoMark__100849_3299905694"/>
      <w:bookmarkStart w:id="82" w:name="__UnoMark__98724_3299905694"/>
      <w:bookmarkStart w:id="83" w:name="__UnoMark__108577_3969978528"/>
      <w:bookmarkStart w:id="84" w:name="__UnoMark__27549_1323561893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>
      <w:pPr>
        <w:pStyle w:val="Normal"/>
        <w:rPr/>
      </w:pPr>
      <w:bookmarkStart w:id="85" w:name="__UnoMark__27550_1323561893"/>
      <w:bookmarkStart w:id="86" w:name="__UnoMark__91591_1041242398"/>
      <w:bookmarkStart w:id="87" w:name="__UnoMark__52535_816854547"/>
      <w:bookmarkStart w:id="88" w:name="__UnoMark__100850_3299905694"/>
      <w:bookmarkStart w:id="89" w:name="__UnoMark__53301_2340150797"/>
      <w:bookmarkStart w:id="90" w:name="__UnoMark__27462_2234117896"/>
      <w:bookmarkStart w:id="91" w:name="__UnoMark__91250_1041242398"/>
      <w:bookmarkStart w:id="92" w:name="__UnoMark__39901_816854547"/>
      <w:bookmarkStart w:id="93" w:name="__UnoMark__54120_2340150797"/>
      <w:bookmarkStart w:id="94" w:name="__UnoMark__55585_3701725445"/>
      <w:bookmarkStart w:id="95" w:name="__UnoMark__60452_816854547"/>
      <w:bookmarkStart w:id="96" w:name="__UnoMark__101949_3299905694"/>
      <w:bookmarkStart w:id="97" w:name="__UnoMark__337340_2140266768"/>
      <w:bookmarkStart w:id="98" w:name="__UnoMark__108018_2100417328"/>
      <w:bookmarkStart w:id="99" w:name="__UnoMark__11262_2340150797"/>
      <w:bookmarkStart w:id="100" w:name="__UnoMark__105707_2100417328"/>
      <w:bookmarkStart w:id="101" w:name="__UnoMark__76132_816854547"/>
      <w:bookmarkStart w:id="102" w:name="__UnoMark__102499_3299905694"/>
      <w:bookmarkStart w:id="103" w:name="__UnoMark__108578_3969978528"/>
      <w:bookmarkStart w:id="104" w:name="__UnoMark__67902_3591097252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rPr>
          <w:b/>
          <w:bCs/>
        </w:rPr>
        <w:t>Supplementary figure 3.</w:t>
      </w:r>
      <w:r>
        <w:rPr/>
        <w:t xml:space="preserve"> RNA-Seq coverage plot of the </w:t>
      </w:r>
      <w:r>
        <w:rPr>
          <w:i/>
          <w:iCs/>
        </w:rPr>
        <w:t>mgtA</w:t>
      </w:r>
      <w:r>
        <w:rPr/>
        <w:t xml:space="preserve"> gene. </w:t>
      </w:r>
      <w:bookmarkStart w:id="105" w:name="__UnoMark__27551_1323561893"/>
      <w:bookmarkStart w:id="106" w:name="__UnoMark__9869_2340150797"/>
      <w:bookmarkStart w:id="107" w:name="__UnoMark__328556_2140266768"/>
      <w:bookmarkStart w:id="108" w:name="__UnoMark__27463_2234117896"/>
      <w:bookmarkStart w:id="109" w:name="__UnoMark__91592_1041242398"/>
      <w:bookmarkStart w:id="110" w:name="__UnoMark__76133_816854547"/>
      <w:bookmarkStart w:id="111" w:name="__UnoMark__273605_2140266768"/>
      <w:bookmarkStart w:id="112" w:name="__UnoMark__105708_2100417328"/>
      <w:bookmarkStart w:id="113" w:name="__UnoMark__101401_3299905694"/>
      <w:bookmarkStart w:id="114" w:name="__UnoMark__11263_2340150797"/>
      <w:bookmarkStart w:id="115" w:name="__UnoMark__40343_816854547"/>
      <w:bookmarkStart w:id="116" w:name="__UnoMark__337341_2140266768"/>
      <w:bookmarkStart w:id="117" w:name="__UnoMark__98726_3299905694"/>
      <w:bookmarkStart w:id="118" w:name="__UnoMark__52536_816854547"/>
      <w:bookmarkStart w:id="119" w:name="__UnoMark__39902_816854547"/>
      <w:bookmarkStart w:id="120" w:name="__UnoMark__91251_1041242398"/>
      <w:bookmarkStart w:id="121" w:name="__UnoMark__55586_3701725445"/>
      <w:bookmarkStart w:id="122" w:name="__UnoMark__108579_3969978528"/>
      <w:bookmarkStart w:id="123" w:name="__UnoMark__67903_359109725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>
        <w:rPr/>
        <w:t xml:space="preserve">Coverage plots are brown for the </w:t>
      </w:r>
      <w:r>
        <w:rPr>
          <w:i/>
          <w:iCs/>
        </w:rPr>
        <w:t>phoP</w:t>
      </w:r>
      <w:r>
        <w:rPr/>
        <w:t xml:space="preserve"> mutant and blue for the wild type strain. Blue triangle – PhoP binding site. Red rectangle – putative Rho-independent terminator of the upstream gene.</w:t>
      </w:r>
    </w:p>
    <w:p>
      <w:pPr>
        <w:pStyle w:val="Normal"/>
        <w:spacing w:before="119" w:after="0"/>
        <w:ind w:left="0" w:right="0" w:hanging="0"/>
        <w:jc w:val="both"/>
        <w:rPr/>
      </w:pPr>
      <w:r>
        <w:rPr>
          <w:rFonts w:eastAsia="Arial Unicode MS" w:cs="Arial Unicode MS" w:ascii="Liberation Serif" w:hAnsi="Liberation Serif"/>
          <w:b/>
          <w:bCs/>
          <w:color w:val="00000A"/>
          <w:kern w:val="0"/>
          <w:sz w:val="24"/>
          <w:szCs w:val="24"/>
          <w:lang w:val="en-GB" w:eastAsia="zh-CN" w:bidi="hi-IN"/>
        </w:rPr>
        <w:t>(</w:t>
      </w:r>
      <w:bookmarkStart w:id="124" w:name="__UnoMark__113497_2929896868"/>
      <w:bookmarkEnd w:id="124"/>
      <w:r>
        <w:rPr>
          <w:rFonts w:eastAsia="Arial Unicode MS" w:cs="Arial Unicode MS" w:ascii="Liberation Serif" w:hAnsi="Liberation Serif"/>
          <w:b/>
          <w:bCs/>
          <w:color w:val="00000A"/>
          <w:kern w:val="0"/>
          <w:sz w:val="24"/>
          <w:szCs w:val="24"/>
          <w:lang w:val="en-GB" w:eastAsia="zh-CN" w:bidi="hi-IN"/>
        </w:rPr>
        <w:t>A</w:t>
      </w:r>
      <w:bookmarkStart w:id="125" w:name="__UnoMark__113498_2929896868"/>
      <w:bookmarkEnd w:id="125"/>
      <w:r>
        <w:rPr>
          <w:b/>
          <w:bCs/>
        </w:rPr>
        <w:t xml:space="preserve">) </w:t>
      </w:r>
      <w:bookmarkStart w:id="126" w:name="__UnoMark__27566_1323561893"/>
      <w:bookmarkStart w:id="127" w:name="__UnoMark__108594_3969978528"/>
      <w:bookmarkStart w:id="128" w:name="__UnoMark__67918_3591097252"/>
      <w:bookmarkStart w:id="129" w:name="__UnoMark__117269_2929896868"/>
      <w:bookmarkEnd w:id="126"/>
      <w:bookmarkEnd w:id="127"/>
      <w:bookmarkEnd w:id="128"/>
      <w:bookmarkEnd w:id="129"/>
      <w:r>
        <w:rPr/>
        <w:drawing>
          <wp:inline distT="0" distB="0" distL="0" distR="0">
            <wp:extent cx="5920740" cy="1029335"/>
            <wp:effectExtent l="0" t="0" r="0" b="0"/>
            <wp:docPr id="4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0" w:name="__UnoMark__116951_2929896868"/>
      <w:bookmarkEnd w:id="130"/>
    </w:p>
    <w:p>
      <w:pPr>
        <w:pStyle w:val="Normal"/>
        <w:spacing w:before="119" w:after="0"/>
        <w:ind w:left="0" w:right="0" w:hanging="0"/>
        <w:jc w:val="both"/>
        <w:rPr/>
      </w:pPr>
      <w:bookmarkStart w:id="131" w:name="__UnoMark__116952_2929896868"/>
      <w:bookmarkStart w:id="132" w:name="__UnoMark__117271_2929896868"/>
      <w:bookmarkStart w:id="133" w:name="__UnoMark__117605_2929896868"/>
      <w:bookmarkEnd w:id="131"/>
      <w:bookmarkEnd w:id="132"/>
      <w:bookmarkEnd w:id="133"/>
      <w:r>
        <w:rPr>
          <w:b/>
          <w:bCs/>
        </w:rPr>
        <w:t>(</w:t>
      </w:r>
      <w:bookmarkStart w:id="134" w:name="__UnoMark__113507_2929896868"/>
      <w:bookmarkEnd w:id="134"/>
      <w:r>
        <w:rPr>
          <w:b/>
          <w:bCs/>
        </w:rPr>
        <w:t xml:space="preserve">B) </w:t>
      </w:r>
      <w:bookmarkStart w:id="135" w:name="__UnoMark__27568_1323561893"/>
      <w:bookmarkStart w:id="136" w:name="__UnoMark__76093_8168545471"/>
      <w:bookmarkStart w:id="137" w:name="__UnoMark__287952_2098115471"/>
      <w:bookmarkStart w:id="138" w:name="__UnoMark__107716_2100417328"/>
      <w:bookmarkStart w:id="139" w:name="__UnoMark__91213_10412423981"/>
      <w:bookmarkStart w:id="140" w:name="__UnoMark__101910_32999056941"/>
      <w:bookmarkStart w:id="141" w:name="__UnoMark__100811_32999056941"/>
      <w:bookmarkStart w:id="142" w:name="__UnoMark__91554_10412423981"/>
      <w:bookmarkStart w:id="143" w:name="__UnoMark__52740_23401507971"/>
      <w:bookmarkStart w:id="144" w:name="__UnoMark__55599_3701725445"/>
      <w:bookmarkStart w:id="145" w:name="__UnoMark__52496_8168545471"/>
      <w:bookmarkStart w:id="146" w:name="__UnoMark__10267_23401507971"/>
      <w:bookmarkStart w:id="147" w:name="__UnoMark__98686_32999056941"/>
      <w:bookmarkStart w:id="148" w:name="__UnoMark__48264_8168545471"/>
      <w:bookmarkStart w:id="149" w:name="__UnoMark__337299_21402667681"/>
      <w:bookmarkStart w:id="150" w:name="__UnoMark__105724_2100417328"/>
      <w:bookmarkStart w:id="151" w:name="__UnoMark__27425_22341178961"/>
      <w:bookmarkStart w:id="152" w:name="__UnoMark__108596_3969978528"/>
      <w:bookmarkStart w:id="153" w:name="__UnoMark__67920_3591097252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>
        <w:rPr/>
        <w:drawing>
          <wp:inline distT="0" distB="0" distL="0" distR="0">
            <wp:extent cx="5922010" cy="127571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both"/>
        <w:rPr/>
      </w:pPr>
      <w:bookmarkStart w:id="154" w:name="__UnoMark__108597_3969978528"/>
      <w:bookmarkStart w:id="155" w:name="__UnoMark__116954_2929896868"/>
      <w:bookmarkEnd w:id="154"/>
      <w:bookmarkEnd w:id="155"/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Supplementary f</w:t>
      </w:r>
      <w:r>
        <w:rPr>
          <w:b/>
          <w:bCs/>
        </w:rPr>
        <w:t xml:space="preserve">igure </w:t>
      </w:r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4.</w:t>
      </w:r>
      <w:r>
        <w:rPr/>
        <w:t xml:space="preserve"> Tellurite resistance locus in </w:t>
      </w:r>
      <w:r>
        <w:rPr>
          <w:i/>
          <w:iCs/>
        </w:rPr>
        <w:t>Pve</w:t>
      </w:r>
      <w:r>
        <w:rPr/>
        <w:t>.</w:t>
      </w:r>
      <w:bookmarkStart w:id="156" w:name="__UnoMark__117608_2929896868"/>
      <w:bookmarkEnd w:id="156"/>
      <w:r>
        <w:rPr/>
        <w:t xml:space="preserve"> </w:t>
      </w:r>
      <w:r>
        <w:rPr>
          <w:rFonts w:eastAsia="Arial Unicode MS" w:cs="Arial Unicode MS" w:ascii="Liberation Serif" w:hAnsi="Liberation Serif"/>
          <w:b/>
          <w:bCs/>
          <w:color w:val="00000A"/>
          <w:kern w:val="0"/>
          <w:sz w:val="24"/>
          <w:szCs w:val="24"/>
          <w:lang w:val="en-GB" w:eastAsia="zh-CN" w:bidi="hi-IN"/>
        </w:rPr>
        <w:t>(A</w:t>
      </w:r>
      <w:r>
        <w:rPr>
          <w:b/>
          <w:bCs/>
        </w:rPr>
        <w:t>)</w:t>
      </w:r>
      <w:r>
        <w:rPr/>
        <w:t xml:space="preserve"> Gene and regulatory element arrangement. Transcription factor binding sites are shown as blue triangles and labelled as 1 (PhoP), 2 (TerW), 3 (CRP), 4 (SlyA) and 5 (FNR). Transcription terminators are shown as red rectangles. RNA-seq coverage graphs are drawn to the same scale (shown on the left) in green (</w:t>
      </w:r>
      <w:r>
        <w:rPr>
          <w:i/>
          <w:iCs/>
        </w:rPr>
        <w:t>phoP</w:t>
      </w:r>
      <w:r>
        <w:rPr/>
        <w:t>) and red (wild type) for the top strand and blue (</w:t>
      </w:r>
      <w:r>
        <w:rPr>
          <w:i/>
          <w:iCs/>
        </w:rPr>
        <w:t>phoP</w:t>
      </w:r>
      <w:r>
        <w:rPr/>
        <w:t xml:space="preserve">) and brown (wild type) for the bottom strand. </w:t>
      </w:r>
      <w:r>
        <w:rPr>
          <w:b/>
          <w:bCs/>
        </w:rPr>
        <w:t>(B)</w:t>
      </w:r>
      <w:r>
        <w:rPr/>
        <w:t xml:space="preserve"> Sequence logo of the putative TerW binding site.</w:t>
      </w:r>
    </w:p>
    <w:p>
      <w:pPr>
        <w:pStyle w:val="Normal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ind w:left="0" w:right="0" w:hanging="0"/>
        <w:jc w:val="both"/>
        <w:rPr>
          <w:b/>
          <w:b/>
          <w:color w:val="333333"/>
          <w:sz w:val="24"/>
        </w:rPr>
      </w:pPr>
      <w:r>
        <w:rPr/>
      </w:r>
      <w:r>
        <w:br w:type="page"/>
      </w:r>
    </w:p>
    <w:p>
      <w:pPr>
        <w:pStyle w:val="TextBody"/>
        <w:ind w:left="0" w:right="0" w:hanging="0"/>
        <w:jc w:val="both"/>
        <w:rPr/>
      </w:pPr>
      <w:r>
        <w:rPr>
          <w:b/>
          <w:color w:val="333333"/>
          <w:sz w:val="24"/>
        </w:rPr>
        <w:t>SUPPLEMENTARY TABLES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/>
      </w:pPr>
      <w:bookmarkStart w:id="157" w:name="__UnoMark__108459_3969978528"/>
      <w:bookmarkEnd w:id="157"/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Supplementary t</w:t>
      </w:r>
      <w:r>
        <w:rPr>
          <w:b/>
          <w:bCs/>
        </w:rPr>
        <w:t xml:space="preserve">able 1. </w:t>
      </w:r>
      <w:r>
        <w:rPr/>
        <w:t>Synthetic oligonucleotides</w:t>
      </w:r>
      <w:bookmarkStart w:id="158" w:name="__UnoMark__68526_3591097252"/>
      <w:bookmarkStart w:id="159" w:name="__UnoMark__65576_3591097252"/>
      <w:bookmarkStart w:id="160" w:name="__UnoMark__190795_2105678597"/>
      <w:bookmarkStart w:id="161" w:name="__UnoMark__51109_816854547"/>
      <w:bookmarkStart w:id="162" w:name="__UnoMark__56588_1074168409"/>
      <w:bookmarkStart w:id="163" w:name="__UnoMark__29336_2098115471"/>
      <w:bookmarkStart w:id="164" w:name="__UnoMark__207158_2098115471"/>
      <w:bookmarkEnd w:id="158"/>
      <w:bookmarkEnd w:id="159"/>
      <w:bookmarkEnd w:id="160"/>
      <w:bookmarkEnd w:id="161"/>
      <w:bookmarkEnd w:id="162"/>
      <w:bookmarkEnd w:id="163"/>
      <w:bookmarkEnd w:id="164"/>
    </w:p>
    <w:tbl>
      <w:tblPr>
        <w:tblW w:w="9638" w:type="dxa"/>
        <w:jc w:val="left"/>
        <w:tblInd w:w="-10" w:type="dxa"/>
        <w:tblCellMar>
          <w:top w:w="55" w:type="dxa"/>
          <w:left w:w="25" w:type="dxa"/>
          <w:bottom w:w="55" w:type="dxa"/>
          <w:right w:w="55" w:type="dxa"/>
        </w:tblCellMar>
      </w:tblPr>
      <w:tblGrid>
        <w:gridCol w:w="2023"/>
        <w:gridCol w:w="7614"/>
      </w:tblGrid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N</w:t>
            </w:r>
            <w:r>
              <w:rPr>
                <w:color w:val="000000"/>
              </w:rPr>
              <w:t>ame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S</w:t>
            </w:r>
            <w:bookmarkStart w:id="165" w:name="__UnoMark__50412_3602911578"/>
            <w:bookmarkStart w:id="166" w:name="__UnoMark__50411_3602911578"/>
            <w:bookmarkStart w:id="167" w:name="__UnoMark__50410_3602911578"/>
            <w:bookmarkStart w:id="168" w:name="__UnoMark__50409_3602911578"/>
            <w:bookmarkStart w:id="169" w:name="__UnoMark__50408_3602911578"/>
            <w:bookmarkStart w:id="170" w:name="__UnoMark__50407_3602911578"/>
            <w:bookmarkStart w:id="171" w:name="__UnoMark__50406_3602911578"/>
            <w:bookmarkStart w:id="172" w:name="__UnoMark__50405_3602911578"/>
            <w:bookmarkStart w:id="173" w:name="__UnoMark__50404_3602911578"/>
            <w:bookmarkStart w:id="174" w:name="__UnoMark__50403_3602911578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r>
              <w:rPr>
                <w:color w:val="000000"/>
              </w:rPr>
              <w:t>equence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phoPf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5′-GATGAGCTCTATTCGACAGAGGRTATA-3′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phoPr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</w:t>
            </w:r>
            <w:r>
              <w:rPr>
                <w:rFonts w:cs="Times New Roman"/>
                <w:color w:val="000000"/>
              </w:rPr>
              <w:t>GCCTCTAGAGGTCGCTTCTTATCGCTCAT</w:t>
            </w:r>
            <w:r>
              <w:rPr>
                <w:color w:val="000000"/>
              </w:rPr>
              <w:t>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pjp1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5′-GTAAAACGACGGCCAGT-3′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pjp2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5′-CAGGAAACAGCTATGAC-3′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phoPQf1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5′-ACCGAGCTCAAACCCGATCGCAATCTCTCT-3′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phoPQr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5′-ATTTCTAGACAATCAGTATTTTGGCGATAAGT-3′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expIqf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5′-TGGGCCGTGCAATGTACTGA-3′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expIqr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5′-CGTCCCGGTAATCATGTTAGGGTAT-3′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citMqf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5′-CCCATGCTCCCGGCGATTAT-3′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citMqr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5′-CGCTGCCGTTGCCTAGATTG-3′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OA04_2900qf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5′-CGCTCCGTATTGCGTAACGT-3′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OA04_2900qr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5′-GCTCGACCAGTAGGCGGAAA-3′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araFqf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5′-TCGGTTGGCCTTTAGCGTTCA-3′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araFqr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5′-CTGTACGCCGGATCCGAAGT-3′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ffhqf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5′-GTATGGGCGATGTGCTTTCACT-3′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ffhqr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5′-AAATCAAACCCATCGCCCTTCTT-3′</w:t>
            </w:r>
          </w:p>
        </w:tc>
      </w:tr>
      <w:tr>
        <w:trPr/>
        <w:tc>
          <w:tcPr>
            <w:tcW w:w="202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/>
              <w:t>gyrAf</w:t>
            </w:r>
          </w:p>
        </w:tc>
        <w:tc>
          <w:tcPr>
            <w:tcW w:w="76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</w:t>
            </w:r>
            <w:r>
              <w:rPr/>
              <w:t>AAAGAGACGGTCGATTTTGTGC</w:t>
            </w:r>
            <w:r>
              <w:rPr>
                <w:color w:val="000000"/>
              </w:rPr>
              <w:t>-3′</w:t>
            </w:r>
          </w:p>
        </w:tc>
      </w:tr>
      <w:tr>
        <w:trPr/>
        <w:tc>
          <w:tcPr>
            <w:tcW w:w="202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/>
              <w:t>gyrAr</w:t>
            </w:r>
          </w:p>
        </w:tc>
        <w:tc>
          <w:tcPr>
            <w:tcW w:w="76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</w:t>
            </w:r>
            <w:r>
              <w:rPr/>
              <w:t>TCAGGTTGTGCGGTGGAATG</w:t>
            </w:r>
            <w:r>
              <w:rPr>
                <w:color w:val="000000"/>
              </w:rPr>
              <w:t>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citWqf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5′-CGCAGGCAAACCCGAAGAAT-3′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citWqr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5′-TTTGTGCTGGCGGGGGTATT-3′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pelIqr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5′-ACCGCCAATCCACAGTCAGA-3′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pelIqf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5′-ATGGTGCTGGTGCCGTTGAT-3′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ugdqf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5′-AACGCTCAATCTCGGCGTCAT-3′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ugdqr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5′-GCGCAACAGCATCAGGTTGT-3′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terWqf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5′-CAGTACACGGGTCAACGTAGGT-3′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terWqr</w:t>
              <w:tab/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5′-CGTGTTTTCCAGCTCGCCAAT-3′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ind w:left="0" w:right="-7" w:hanging="0"/>
              <w:rPr/>
            </w:pPr>
            <w:r>
              <w:rPr>
                <w:rFonts w:cs="Times New Roman"/>
                <w:iCs/>
              </w:rPr>
              <w:t>phoPqf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5′-TTACGTGACCAAGCCGTTCCA-3′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ind w:left="0" w:right="-7" w:hanging="0"/>
              <w:rPr/>
            </w:pPr>
            <w:r>
              <w:rPr>
                <w:rFonts w:cs="Times New Roman"/>
                <w:iCs/>
                <w:lang w:val="en-US"/>
              </w:rPr>
              <w:t>phoPqr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5′-TCACCAGTTCACGACGCGATA-3′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  <w:t>pehAf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</w:t>
            </w:r>
            <w:r>
              <w:rPr/>
              <w:t>TGTGGCGTGGTCGATACAAA</w:t>
            </w:r>
            <w:r>
              <w:rPr>
                <w:color w:val="000000"/>
              </w:rPr>
              <w:t>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/>
              <w:t>pehAr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</w:t>
            </w:r>
            <w:r>
              <w:rPr/>
              <w:t>AGATCCCACCAGCTCACCTT</w:t>
            </w:r>
            <w:r>
              <w:rPr>
                <w:color w:val="000000"/>
              </w:rPr>
              <w:t>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/>
                <w:color w:val="000000"/>
                <w:lang w:val="en-US"/>
              </w:rPr>
              <w:t>phoPo1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5′-TATGACCATTTCCAGCCTG-3′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/>
                <w:color w:val="000000"/>
                <w:lang w:val="en-US"/>
              </w:rPr>
              <w:t>phoPo2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5′-GAGGGTAAACCGGGTAT-3′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/>
                <w:color w:val="000000"/>
                <w:lang w:val="en-US"/>
              </w:rPr>
              <w:t>expIo2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5′-GACAACGCGAGAAAAACCA-3′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/>
                <w:color w:val="000000"/>
                <w:lang w:val="en-US"/>
              </w:rPr>
              <w:t>expIo1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5′-GTCTCGCGCTTCCGGATT-3′</w:t>
            </w:r>
          </w:p>
        </w:tc>
      </w:tr>
      <w:tr>
        <w:trPr/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snapToGrid w:val="false"/>
              <w:spacing w:before="0" w:after="0"/>
              <w:ind w:left="0" w:right="0" w:hanging="0"/>
              <w:rPr/>
            </w:pPr>
            <w:r>
              <w:rPr>
                <w:rFonts w:cs="Times New Roman"/>
                <w:color w:val="000000"/>
                <w:lang w:val="en-US"/>
              </w:rPr>
              <w:t>pehAo1</w:t>
            </w:r>
          </w:p>
        </w:tc>
        <w:tc>
          <w:tcPr>
            <w:tcW w:w="7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5′-TTTATTGAGGTTAATCAGA-3′</w:t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/>
        </w:rPr>
      </w:pPr>
      <w:r>
        <w:rPr/>
      </w:r>
      <w:bookmarkStart w:id="175" w:name="__UnoMark__27439_1323561893"/>
      <w:bookmarkStart w:id="176" w:name="__UnoMark__107875_2100417328"/>
      <w:bookmarkStart w:id="177" w:name="__UnoMark__100702_3299905694"/>
      <w:bookmarkStart w:id="178" w:name="__UnoMark__55751_3701725445"/>
      <w:bookmarkStart w:id="179" w:name="__UnoMark__26296_2234117896"/>
      <w:bookmarkStart w:id="180" w:name="__UnoMark__52387_816854547"/>
      <w:bookmarkStart w:id="181" w:name="__UnoMark__53969_2340150797"/>
      <w:bookmarkStart w:id="182" w:name="__UnoMark__39757_816854547"/>
      <w:bookmarkStart w:id="183" w:name="__UnoMark__91108_1041242398"/>
      <w:bookmarkStart w:id="184" w:name="__UnoMark__10152_2340150797"/>
      <w:bookmarkStart w:id="185" w:name="__UnoMark__91448_1041242398"/>
      <w:bookmarkStart w:id="186" w:name="__UnoMark__27317_2234117896"/>
      <w:bookmarkStart w:id="187" w:name="__UnoMark__75984_816854547"/>
      <w:bookmarkStart w:id="188" w:name="__UnoMark__55442_3701725445"/>
      <w:bookmarkStart w:id="189" w:name="__UnoMark__40198_816854547"/>
      <w:bookmarkStart w:id="190" w:name="__UnoMark__9715_2340150797"/>
      <w:bookmarkStart w:id="191" w:name="__UnoMark__98577_3299905694"/>
      <w:bookmarkStart w:id="192" w:name="__UnoMark__52628_2340150797"/>
      <w:bookmarkStart w:id="193" w:name="__UnoMark__102351_3299905694"/>
      <w:bookmarkStart w:id="194" w:name="__UnoMark__108460_3969978528"/>
      <w:bookmarkStart w:id="195" w:name="__UnoMark__67789_3591097252"/>
      <w:bookmarkStart w:id="196" w:name="__UnoMark__117132_2929896868"/>
      <w:bookmarkStart w:id="197" w:name="__UnoMark__27439_1323561893"/>
      <w:bookmarkStart w:id="198" w:name="__UnoMark__107875_2100417328"/>
      <w:bookmarkStart w:id="199" w:name="__UnoMark__100702_3299905694"/>
      <w:bookmarkStart w:id="200" w:name="__UnoMark__55751_3701725445"/>
      <w:bookmarkStart w:id="201" w:name="__UnoMark__26296_2234117896"/>
      <w:bookmarkStart w:id="202" w:name="__UnoMark__52387_816854547"/>
      <w:bookmarkStart w:id="203" w:name="__UnoMark__53969_2340150797"/>
      <w:bookmarkStart w:id="204" w:name="__UnoMark__39757_816854547"/>
      <w:bookmarkStart w:id="205" w:name="__UnoMark__91108_1041242398"/>
      <w:bookmarkStart w:id="206" w:name="__UnoMark__10152_2340150797"/>
      <w:bookmarkStart w:id="207" w:name="__UnoMark__91448_1041242398"/>
      <w:bookmarkStart w:id="208" w:name="__UnoMark__27317_2234117896"/>
      <w:bookmarkStart w:id="209" w:name="__UnoMark__75984_816854547"/>
      <w:bookmarkStart w:id="210" w:name="__UnoMark__55442_3701725445"/>
      <w:bookmarkStart w:id="211" w:name="__UnoMark__40198_816854547"/>
      <w:bookmarkStart w:id="212" w:name="__UnoMark__9715_2340150797"/>
      <w:bookmarkStart w:id="213" w:name="__UnoMark__98577_3299905694"/>
      <w:bookmarkStart w:id="214" w:name="__UnoMark__52628_2340150797"/>
      <w:bookmarkStart w:id="215" w:name="__UnoMark__102351_3299905694"/>
      <w:bookmarkStart w:id="216" w:name="__UnoMark__108460_3969978528"/>
      <w:bookmarkStart w:id="217" w:name="__UnoMark__67789_3591097252"/>
      <w:bookmarkStart w:id="218" w:name="__UnoMark__117132_2929896868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>
      <w:pPr>
        <w:pStyle w:val="Normal"/>
        <w:ind w:left="0" w:right="0" w:hanging="0"/>
        <w:rPr/>
      </w:pPr>
      <w:bookmarkStart w:id="219" w:name="__UnoMark__108461_3969978528"/>
      <w:bookmarkStart w:id="220" w:name="__UnoMark__117133_2929896868"/>
      <w:bookmarkEnd w:id="219"/>
      <w:bookmarkEnd w:id="220"/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Supplementary t</w:t>
      </w:r>
      <w:r>
        <w:rPr>
          <w:b/>
          <w:bCs/>
        </w:rPr>
        <w:t>able 2.</w:t>
      </w:r>
      <w:r>
        <w:rPr/>
        <w:t xml:space="preserve"> Plasmids</w:t>
      </w:r>
      <w:bookmarkStart w:id="221" w:name="__UnoMark__68527_3591097252"/>
      <w:bookmarkStart w:id="222" w:name="__UnoMark__65577_3591097252"/>
      <w:bookmarkStart w:id="223" w:name="__UnoMark__51110_816854547"/>
      <w:bookmarkStart w:id="224" w:name="__UnoMark__29337_2098115471"/>
      <w:bookmarkStart w:id="225" w:name="__UnoMark__207159_2098115471"/>
      <w:bookmarkStart w:id="226" w:name="__UnoMark__56589_1074168409"/>
      <w:bookmarkStart w:id="227" w:name="__UnoMark__190796_2105678597"/>
      <w:bookmarkEnd w:id="221"/>
      <w:bookmarkEnd w:id="222"/>
      <w:bookmarkEnd w:id="223"/>
      <w:bookmarkEnd w:id="224"/>
      <w:bookmarkEnd w:id="225"/>
      <w:bookmarkEnd w:id="226"/>
      <w:bookmarkEnd w:id="227"/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4109"/>
        <w:gridCol w:w="3213"/>
      </w:tblGrid>
      <w:tr>
        <w:trPr/>
        <w:tc>
          <w:tcPr>
            <w:tcW w:w="231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Plasmid name</w:t>
            </w:r>
          </w:p>
        </w:tc>
        <w:tc>
          <w:tcPr>
            <w:tcW w:w="410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Characteristics</w:t>
            </w:r>
          </w:p>
        </w:tc>
        <w:tc>
          <w:tcPr>
            <w:tcW w:w="321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Source/reference</w:t>
            </w:r>
          </w:p>
        </w:tc>
      </w:tr>
      <w:tr>
        <w:trPr/>
        <w:tc>
          <w:tcPr>
            <w:tcW w:w="231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pJP5603</w:t>
            </w:r>
          </w:p>
        </w:tc>
        <w:tc>
          <w:tcPr>
            <w:tcW w:w="410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120" w:after="240"/>
              <w:jc w:val="left"/>
              <w:rPr/>
            </w:pPr>
            <w:r>
              <w:rPr/>
              <w:t>Km</w:t>
            </w:r>
            <w:r>
              <w:rPr>
                <w:vertAlign w:val="superscript"/>
              </w:rPr>
              <w:t>R</w:t>
            </w:r>
            <w:r>
              <w:rPr/>
              <w:t xml:space="preserve"> Ori</w:t>
            </w:r>
            <w:r>
              <w:rPr>
                <w:vertAlign w:val="subscript"/>
              </w:rPr>
              <w:t>R6K</w:t>
            </w:r>
            <w:r>
              <w:rPr/>
              <w:t xml:space="preserve"> </w:t>
            </w:r>
            <w:r>
              <w:rPr>
                <w:i/>
                <w:iCs/>
              </w:rPr>
              <w:t>mob</w:t>
            </w:r>
          </w:p>
        </w:tc>
        <w:tc>
          <w:tcPr>
            <w:tcW w:w="321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120" w:after="240"/>
              <w:jc w:val="left"/>
              <w:rPr/>
            </w:pPr>
            <w:bookmarkStart w:id="228" w:name="ZOTERO_BREF_KwsdvIP7Tnz0"/>
            <w:r>
              <w:rPr/>
              <w:t>(Penfold and Pemberton, 1992)</w:t>
            </w:r>
            <w:bookmarkEnd w:id="228"/>
          </w:p>
        </w:tc>
      </w:tr>
      <w:tr>
        <w:trPr/>
        <w:tc>
          <w:tcPr>
            <w:tcW w:w="231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pJP5603::'phoP'</w:t>
            </w:r>
          </w:p>
        </w:tc>
        <w:tc>
          <w:tcPr>
            <w:tcW w:w="410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both"/>
              <w:rPr/>
            </w:pPr>
            <w:r>
              <w:rPr>
                <w:color w:val="000000"/>
              </w:rPr>
              <w:t xml:space="preserve">pJP5603 with insertion of NdeI-PvuII </w:t>
            </w:r>
            <w:r>
              <w:rPr>
                <w:i/>
                <w:iCs/>
                <w:color w:val="000000"/>
              </w:rPr>
              <w:t>phoP</w:t>
            </w:r>
            <w:r>
              <w:rPr>
                <w:color w:val="000000"/>
              </w:rPr>
              <w:t xml:space="preserve"> fragment</w:t>
            </w:r>
          </w:p>
        </w:tc>
        <w:tc>
          <w:tcPr>
            <w:tcW w:w="321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This work</w:t>
            </w:r>
          </w:p>
        </w:tc>
      </w:tr>
      <w:tr>
        <w:trPr/>
        <w:tc>
          <w:tcPr>
            <w:tcW w:w="231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pJQ200KS</w:t>
            </w:r>
          </w:p>
        </w:tc>
        <w:tc>
          <w:tcPr>
            <w:tcW w:w="410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Gm</w:t>
            </w:r>
            <w:r>
              <w:rPr>
                <w:color w:val="000000"/>
                <w:vertAlign w:val="superscript"/>
              </w:rPr>
              <w:t>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lacZ</w:t>
            </w:r>
            <w:r>
              <w:rPr>
                <w:rFonts w:eastAsia="Symbol" w:cs="Symbol" w:ascii="Symbol" w:hAnsi="Symbol"/>
                <w:color w:val="000000"/>
                <w:lang w:val="ru-RU"/>
              </w:rPr>
              <w:t>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mob</w:t>
            </w:r>
            <w:r>
              <w:rPr>
                <w:color w:val="000000"/>
              </w:rPr>
              <w:t xml:space="preserve"> oriV</w:t>
            </w:r>
            <w:r>
              <w:rPr>
                <w:color w:val="000000"/>
                <w:vertAlign w:val="subscript"/>
              </w:rPr>
              <w:t>p15A</w:t>
            </w:r>
          </w:p>
        </w:tc>
        <w:tc>
          <w:tcPr>
            <w:tcW w:w="321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120" w:after="240"/>
              <w:jc w:val="left"/>
              <w:rPr/>
            </w:pPr>
            <w:bookmarkStart w:id="229" w:name="__UnoMark__65447_3591097252"/>
            <w:bookmarkStart w:id="230" w:name="__UnoMark__207046_2098115471"/>
            <w:bookmarkStart w:id="231" w:name="__UnoMark__50998_816854547"/>
            <w:bookmarkStart w:id="232" w:name="__UnoMark__29222_2098115471"/>
            <w:bookmarkStart w:id="233" w:name="__UnoMark__190667_2105678597"/>
            <w:bookmarkStart w:id="234" w:name="__UnoMark__56476_1074168409"/>
            <w:bookmarkStart w:id="235" w:name="ZOTERO_BREF_jJSiOH30BUsV"/>
            <w:bookmarkStart w:id="236" w:name="__UnoMark__68398_3591097252"/>
            <w:bookmarkStart w:id="237" w:name="ZOTERO_BREF_BwHdq8jQ3LIp"/>
            <w:r>
              <w:rPr/>
              <w:t>(Quandt and Hynes, 1993)</w:t>
            </w:r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</w:tr>
      <w:tr>
        <w:trPr/>
        <w:tc>
          <w:tcPr>
            <w:tcW w:w="231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pZH449</w:t>
            </w:r>
          </w:p>
        </w:tc>
        <w:tc>
          <w:tcPr>
            <w:tcW w:w="410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1.8 kb ClaI-HindIII deletion of pJQ200KS which removed </w:t>
            </w:r>
            <w:r>
              <w:rPr>
                <w:i/>
                <w:iCs/>
                <w:color w:val="000000"/>
              </w:rPr>
              <w:t>sacB</w:t>
            </w:r>
          </w:p>
        </w:tc>
        <w:tc>
          <w:tcPr>
            <w:tcW w:w="321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This work</w:t>
            </w:r>
          </w:p>
        </w:tc>
      </w:tr>
      <w:tr>
        <w:trPr/>
        <w:tc>
          <w:tcPr>
            <w:tcW w:w="231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pPQ</w:t>
            </w:r>
          </w:p>
        </w:tc>
        <w:tc>
          <w:tcPr>
            <w:tcW w:w="410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pZH449::phoPQ</w:t>
            </w:r>
          </w:p>
        </w:tc>
        <w:tc>
          <w:tcPr>
            <w:tcW w:w="321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ind w:left="0" w:right="0" w:hanging="0"/>
              <w:rPr/>
            </w:pPr>
            <w:bookmarkStart w:id="238" w:name="__DdeLink__73334_2340150797"/>
            <w:r>
              <w:rPr/>
              <w:t>This work</w:t>
            </w:r>
            <w:bookmarkEnd w:id="238"/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rFonts w:eastAsia="Arial Unicode MS" w:cs="Arial Unicode MS"/>
          <w:b/>
          <w:bCs/>
          <w:color w:val="00000A"/>
          <w:kern w:val="0"/>
          <w:sz w:val="24"/>
          <w:szCs w:val="24"/>
          <w:lang w:val="en-GB" w:eastAsia="zh-CN" w:bidi="hi-IN"/>
        </w:rPr>
        <w:t>Supplementary t</w:t>
      </w:r>
      <w:r>
        <w:rPr>
          <w:b/>
          <w:bCs/>
          <w:color w:val="333333"/>
          <w:sz w:val="24"/>
          <w:szCs w:val="24"/>
        </w:rPr>
        <w:t>able 3.</w:t>
      </w:r>
      <w:r>
        <w:rPr>
          <w:color w:val="333333"/>
          <w:sz w:val="24"/>
          <w:szCs w:val="24"/>
        </w:rPr>
        <w:t xml:space="preserve"> Full list of PhoP-dependent genes of </w:t>
      </w:r>
      <w:r>
        <w:rPr>
          <w:i/>
          <w:iCs/>
          <w:color w:val="333333"/>
          <w:sz w:val="24"/>
          <w:szCs w:val="24"/>
        </w:rPr>
        <w:t>Pve</w:t>
      </w:r>
    </w:p>
    <w:tbl>
      <w:tblPr>
        <w:tblW w:w="9780" w:type="dxa"/>
        <w:jc w:val="left"/>
        <w:tblInd w:w="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6"/>
        <w:gridCol w:w="1484"/>
        <w:gridCol w:w="4879"/>
        <w:gridCol w:w="1074"/>
        <w:gridCol w:w="968"/>
        <w:gridCol w:w="758"/>
      </w:tblGrid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Gene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locus_tag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Product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FDR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 Value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Fold change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visP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OA04_00090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virulence- and stress-related protein; Bacterial OB fold (BOF)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7.07E-10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1.36E-05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OA04_01500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LysR family transcriptional regulator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6.95E-07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3.19E-04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0.34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OA04_02820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amino acid ABC transporter substrate binding periplasmic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3.16E-03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6.93E-03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2.89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scrK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OA04_04060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aminoimidazole riboside kinase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3.61E-03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1.20E-01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nrdD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OA04_04300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anaerobic ribonucleoside triphosphate reductase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2.16E-02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1.38E-01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OA04_04800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ABC-2 type transporter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2.21E-06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9.32E-05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3.54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OA04_04810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ABC-type multidrug transport system permease component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2.69E-07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1.95E-05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3.55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OA04_04820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membrane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1.78E-10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3.62E-10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6.47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OA04_04830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Outer membrane efflux family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1.01E-10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4.84E-10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5.46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mgtA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OA04_05060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magnesium transport ATPase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8.38E-15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1.32E-15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15.41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OA04_05190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ABC transporter extracellular solute 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4.57E-03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8.22E-03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2.96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OA04_05580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efflux permease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3.73E-06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1.03E-05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4.11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entC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OA04_05590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enterobactin synthetase subunit C (isochorismate synthase)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5.55E-03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4.29E-03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4.09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yjbJ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OA04_05950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osmotic stress-induced protein|RpoS regulon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3.18E-03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6.66E-01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en-US" w:eastAsia="en-US" w:bidi="ar-SA"/>
              </w:rPr>
              <w:t>2.00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ubiU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OA04_06900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ubiquinone biosynthesis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1.40E-02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7.48E-03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5.99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OA04_07070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coagulation factor 5/8 type domain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1.18E-05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3.39E-01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en-US" w:eastAsia="en-US" w:bidi="ar-SA"/>
              </w:rPr>
              <w:t>2.00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togT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OA04_08060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oligogalacturonide transporter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5.31E-07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2.12E-01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fusB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OA04_08790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TonB-like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7.29E-05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4.81E-02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norV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OA04_09050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anaerobic nitric oxide reductase flavorubredoxin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1.97E-02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6.35E-02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2.55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OA04_10330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Inner membrane protein, TerC-like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1.62E-09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7.91E-03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OA04_10430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hypothetical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2.76E-06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9.94E-05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3.58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ppdC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OA04_10440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prepilin peptidase dependent protein C precursor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4.08E-05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1.58E-04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4.64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OA04_10630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ABC transporter substrate 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1.37E-04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5.17E-02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gcvB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OA04_10700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GcvB RNA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left"/>
              <w:rPr/>
            </w:pPr>
            <w:r>
              <w:rPr/>
              <w:t>2.48E-02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left"/>
              <w:rPr/>
            </w:pPr>
            <w:r>
              <w:rPr/>
              <w:t>4.95E-03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eastAsia="Calibri" w:cs="" w:cstheme="minorBidi" w:eastAsiaTheme="minorHAns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en-US" w:eastAsia="en-US" w:bidi="ar-SA"/>
              </w:rPr>
              <w:t>2.17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pelI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OA04_11360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Pectate lyase PelI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1.76E-13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2.54E-14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0.14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pehA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OA04_11370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endo-polygalacturonase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1.22E-22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9.23E-26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117.6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glnK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OA04_12080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nitrogen regulatory protein P-II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1.20E-04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2.11E-01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OA04_12400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coagulation factor 5/8 type domain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2.06E-08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2.07E-01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2.02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pehN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OA04_12450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exo-poly-alpha-D-galacturonosidase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3.17E-07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3.32E-02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hybO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OA04_12810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hydrogenase 2 small subunit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3.65E-02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2.30E-01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hypB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OA04_12900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hydrogenase nickel incorporation protein HypB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2.78E-02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9.53E-02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hypA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OA04_12910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hydrogenase nickel incorporation protein HypA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1.83E-03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8.55E-04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6.85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hydN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OA04_13040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electron transport protein HydN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2.47E-04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1.32E-02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OA04_13340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RNA polymerase sigma factor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3.15E-04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2.46E-02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2.55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tcp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OA04_13410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methyl-accepting chemotaxis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2.34E-05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1.71E-03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0.39</w:t>
            </w:r>
          </w:p>
        </w:tc>
      </w:tr>
      <w:tr>
        <w:trPr>
          <w:trHeight w:val="293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mtrB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OA04_14870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methylthioribose ABC transporter, periplasmic 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1.94E-02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1.48E-01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fdnG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OA04_14900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formate dehydrogenase, nitrate-inducible, major subunit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5.92E-03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2.84E-03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5.55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ftp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OA04_17930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FAD:protein FMN transferase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4.83E-09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4.64E-03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slyB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OA04_18750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outer membrane lipoprotein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2.47E-14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2.13E-07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2.46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ccmA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OA04_18220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cytochrome c biogenesis protein CcmA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1.14E-02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6.16E-03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5.88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napF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OA04_18370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ferredoxin-type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1.06E-03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2.62E-03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3.94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pgpB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OA04_18890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phosphatidylglycerophosphatase B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5.11E-17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7.97E-17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5.59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araD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OA04_19040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L-ribulose-5-phosphate 4-epimerase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4.09E-07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2.61E-08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0.08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OA04_20060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acyltransferase 3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4.63E-15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9.33E-12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3.18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pelP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OA04_21040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periplasmic pectate lyase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9.99E-21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1.94E-22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9.67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OA04_21050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KdgM-like porin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6.62E-12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1.04E-12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9.12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OA04_21060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KdgM-like oligalacturonate-specific porin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7.25E-16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5.08E-17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25.51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ychH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OA04_21530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inner membrane stress-induced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1.90E-04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2.56E-02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ynfK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OA04_22140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dithiobiotin synthetase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4.63E-03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2.61E-03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5.06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OA04_22250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inorganic ion transporter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1.99E-11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3.49E-02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2.10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araC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OA04_22270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DNA-binding transcriptional regulator AraC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5.86E-16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2.26E-16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0.11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araH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OA04_22280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L-arabinose transporter permease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3.98E-18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3.41E-19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0.07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araG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OA04_22290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L-arabinose transporter ATP-binding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2.23E-18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5.77E-20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araF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OA04_22300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L-arabinose-binding periplasmic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5.37E-17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1.34E-18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araB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OA04_22310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L-ribulokinase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1.17E-19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9.97E-22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0.02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araA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OA04_22320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L-arabinose isomerase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7.24E-20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3.64E-22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OA04_23860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hypothetical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3.15E-03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5.34E-03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3.76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pepT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OA04_23990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peptidase 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1.24E-02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7.77E-03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4.93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bookmarkStart w:id="239" w:name="__DdeLink__311846_2929896868"/>
            <w:r>
              <w:rPr/>
              <w:t>OA04_24930</w:t>
            </w:r>
            <w:bookmarkEnd w:id="239"/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Protein kinase-like domain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3.65E-02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2.94E-01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2"/>
                <w:lang w:val="en-US" w:eastAsia="en-US" w:bidi="ar-SA"/>
              </w:rPr>
              <w:t>2.36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OA04_25030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Glycine betaine/L-proline ABC transporter, ATPasesubunit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4.35E-04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6.74E-03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3.09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citW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OA04_25230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citrate/acetate antiporter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3.17E-05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2.07E-04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3.79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focA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OA04_25450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formate transporter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2.97E-03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4.88E-02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OA04_26190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TonB-dependent receptor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5.37E-17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1.42E-17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9.81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lpxT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OA04_26310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Lipid A 1-diphosphate synthase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1.41E-13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3.08E-12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4.33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OA04_28020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2-dehydropantoate 2-reductase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6.45E-06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2.05E-01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cbl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OA04_28870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transcriptional regulator CysB-like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5.92E-03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1.77E-02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fetM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OA04_28960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high affinity Fe2+ permease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2.76E-06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7.31E-02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fdhF_2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OA04_28980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Formate dehydrogenase H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4.14E-02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1.11E-01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citM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OA04_28990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CitMHS family citrate/H+ symporter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2.08E-20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2.06E-22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0.07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OA04_29000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transcriptional regulator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3.15E-18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3.20E-19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0.09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OA04_29010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sodium:dicarboxylate symporter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1.13E-12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2.88E-02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0.48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pnl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OA04_29050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pectin lyase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2.70E-09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8.12E-05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2.63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OA04_29260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Abhydrolase superfamily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2.35E-20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1.48E-22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67.65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OA04_29520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extracellular solute-binding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9.98E-04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2.77E-03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3.27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OA04_29530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dehydratase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9.76E-04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7.93E-02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2.22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OA04_29540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ABC transporter permease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9.52E-05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4.35E-04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3.39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OA04_29750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oxidase, cupin superfamily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4.78E-02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5.80E-02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2.91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arnF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OA04_31350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4-amino-4-deoxy-L-arabinose-phosphoundecaprenol flippase subunit ArnF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4.61E-08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3.64E-08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8.86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arnE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OA04_31360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4-amino-4-deoxy-L-arabinose-phosphoundecaprenol flippase subunit ArnE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1.30E-04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1.32E-04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6.39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arnT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OA04_31370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4-amino-4-deoxy-L-arabinose transferase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2.99E-12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1.34E-12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11.64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arnD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OA04_31380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Undecaprenyl phosphate-aminoarabinose deformylase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1.16E-15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1.14E-16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24.77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arnA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OA04_31390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NAD-dependent UDP-glucuronate dehydrogenase and UDP-ara4N formyltransferase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1.89E-15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7.58E-17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33.64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arnC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OA04_31400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undecaprenyl phosphate 4-deoxy-4-formamido-L-arabinose transferase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1.62E-11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9.61E-13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28.45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arnB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OA04_31410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UDP-4-amino-4-deoxy-L-arabinose--oxoglutarate aminotransferase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2.47E-16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7.23E-18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78.53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ugd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OA04_31420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UDP-glucose 6-dehydrogenase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3.74E-15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1.16E-16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49.63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OA04_32550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exported choloylglycine hydrolase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2.47E-14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1.76E-10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3.02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OA04_32560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coagulation factor 5/8 type domain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2.77E-08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1.55E-01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yiuA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OA04_33210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ferric-enterobactin ABC-transporter, substrate binding periplasmic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1.45E-18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1.79E-19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8.36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yiuB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OA04_33220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ferric-enterobactin ABC-transporter, permease component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1.22E-17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2.13E-17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5.19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yiuC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OA04_33230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ferric-enterobactin ABC transporter ATP-binding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8.81E-14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7.19E-10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2.99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grcA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OA04_33700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 xml:space="preserve">stress-induced alternative pyruvate formate-lyase subunit 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1.95E-03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6.25E-04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6.06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raiA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OA04_34460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stationary phase translation inhibitor and ribosome stability factor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1.72E-02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1.36E-01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2.18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gudX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OA04_36650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glucarate dehydratase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5.42E-03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3.65E-03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4.20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terW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OA04_37880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transcriptional regulator of terZABCDE operon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4.38E-15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4.54E-15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6.92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OA04_37930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hypothetical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2.22E-09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7.89E-03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terZ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OA04_37940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Tellurium resistance protein, TerZ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2.16E-09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4.15E-10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0.16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terA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OA04_37950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Tellurium resistance protein TerA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3.15E-18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2.03E-18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0.16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terB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OA04_37960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Tellurium resistance protein TerB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2.06E-08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8.25E-09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0.20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terC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OA04_37970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Tellurium resistance protein TerC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3.17E-17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9.86E-17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0.21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terD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OA04_37980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Tellurium resistance protein TerD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7.26E-10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3.13E-03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terE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OA04_37990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Tellurium resistance protein TerE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6.62E-12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8.85E-05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OA04_38360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Sugar (Glycoside-Pentoside-Hexuronide) transporter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7.49E-13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4.22E-12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0.19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OA04_38370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alpha-N-arabinofuranosidase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3.63E-09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8.53E-04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alaE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OA04_38680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 xml:space="preserve">L-alanine exporter 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1.08E-05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2.53E-03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2.79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OA04_40040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putative efflux permease, MFS superfamily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7.87E-09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3.54E-02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2.15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glpA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OA04_42210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sn-glycerol-3-phosphate dehydrogenase subunit A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1.26E-02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1.71E-02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OA04_42530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extracellular solute-binding protein family 3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1.75E-04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9.05E-02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2.20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ytfT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OA04_43110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ABC transporter permease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1.46E-04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4.74E-02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0.43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ytfR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OA04_43120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galactofuranose ABC transporter ATP-binding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1.02E-11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2.81E-11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0.17</w:t>
            </w:r>
          </w:p>
        </w:tc>
      </w:tr>
      <w:tr>
        <w:trPr>
          <w:trHeight w:val="293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ytfQ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OA04_43130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galactofuranose/arabinofuranose ABC transporter periplasmic 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1.18E-10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3.12E-11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0.14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metF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OA04_43310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5,10-methylenetetrahydrofolate reductase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5.24E-03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4.59E-03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3.58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sftR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OA04_43750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LysR family transcriptional regulator SftR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7.50E-07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1.30E-02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2.34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aegA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OA04_45430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oxidoreductase Fe-S binding subunit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4.29E-03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2.12E-03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5.43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OA04_45440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electron transport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6.54E-03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9.70E-02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2.31</w:t>
            </w:r>
          </w:p>
        </w:tc>
      </w:tr>
      <w:tr>
        <w:trPr>
          <w:trHeight w:val="256" w:hRule="atLeast"/>
        </w:trPr>
        <w:tc>
          <w:tcPr>
            <w:tcW w:w="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8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OA04_45500</w:t>
            </w:r>
          </w:p>
        </w:tc>
        <w:tc>
          <w:tcPr>
            <w:tcW w:w="487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/>
              <w:t>extracellular solute-binding protein</w:t>
            </w:r>
          </w:p>
        </w:tc>
        <w:tc>
          <w:tcPr>
            <w:tcW w:w="1074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8.24E-03</w:t>
            </w:r>
          </w:p>
        </w:tc>
        <w:tc>
          <w:tcPr>
            <w:tcW w:w="96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5.11E-03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jc w:val="left"/>
              <w:rPr/>
            </w:pPr>
            <w:r>
              <w:rPr/>
              <w:t>4.60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/>
          <w:b/>
          <w:bCs/>
          <w:color w:val="333333"/>
          <w:sz w:val="24"/>
          <w:szCs w:val="24"/>
        </w:rPr>
      </w:pPr>
      <w:bookmarkStart w:id="240" w:name="__UnoMark__188264_1183791030"/>
      <w:bookmarkEnd w:id="240"/>
      <w:r>
        <w:rPr>
          <w:b/>
          <w:bCs/>
          <w:color w:val="333333"/>
          <w:sz w:val="24"/>
          <w:szCs w:val="24"/>
        </w:rPr>
        <w:t>R</w:t>
      </w:r>
      <w:bookmarkStart w:id="241" w:name="__UnoMark__188265_1183791030"/>
      <w:bookmarkEnd w:id="241"/>
      <w:r>
        <w:rPr>
          <w:b/>
          <w:bCs/>
          <w:color w:val="333333"/>
          <w:sz w:val="24"/>
          <w:szCs w:val="24"/>
        </w:rPr>
        <w:t>efer</w:t>
      </w:r>
      <w:bookmarkStart w:id="242" w:name="__UnoMark__188266_1183791030"/>
      <w:bookmarkEnd w:id="242"/>
      <w:r>
        <w:rPr>
          <w:b/>
          <w:bCs/>
          <w:color w:val="333333"/>
          <w:sz w:val="24"/>
          <w:szCs w:val="24"/>
        </w:rPr>
        <w:t>en</w:t>
      </w:r>
      <w:bookmarkStart w:id="243" w:name="__UnoMark__188267_1183791030"/>
      <w:bookmarkEnd w:id="243"/>
      <w:r>
        <w:rPr>
          <w:b/>
          <w:bCs/>
          <w:color w:val="333333"/>
          <w:sz w:val="24"/>
          <w:szCs w:val="24"/>
        </w:rPr>
        <w:t>ces</w:t>
      </w:r>
      <w:bookmarkStart w:id="244" w:name="__UnoMark__188268_1183791030"/>
      <w:bookmarkEnd w:id="244"/>
    </w:p>
    <w:p>
      <w:pPr>
        <w:pStyle w:val="Bibliography1"/>
        <w:spacing w:before="0" w:after="0"/>
        <w:rPr/>
      </w:pPr>
      <w:bookmarkStart w:id="245" w:name="ZOTERO_BREF_aVXkLM8HOqah"/>
      <w:r>
        <w:rPr/>
        <w:t xml:space="preserve">Penfold, R. J., and Pemberton, J. M. (1992). An improved suicide vector for construction of chromosomal insertion mutations in bacteria. </w:t>
      </w:r>
      <w:r>
        <w:rPr>
          <w:i/>
        </w:rPr>
        <w:t>Gene</w:t>
      </w:r>
      <w:r>
        <w:rPr/>
        <w:t xml:space="preserve"> 118, 145–6. doi:1511879.</w:t>
      </w:r>
    </w:p>
    <w:p>
      <w:pPr>
        <w:pStyle w:val="Bibliography1"/>
        <w:spacing w:before="0" w:after="0"/>
        <w:rPr/>
      </w:pPr>
      <w:r>
        <w:rPr/>
        <w:t xml:space="preserve">Quandt, J., and Hynes, M. F. (1993). Versatile suicide vectors which allow direct selection for gene replacement in gram-negative bacteria. </w:t>
      </w:r>
      <w:r>
        <w:rPr>
          <w:i/>
        </w:rPr>
        <w:t>Gene</w:t>
      </w:r>
      <w:r>
        <w:rPr/>
        <w:t xml:space="preserve"> 127, 15–21.</w:t>
      </w:r>
      <w:bookmarkEnd w:id="245"/>
    </w:p>
    <w:p>
      <w:pPr>
        <w:pStyle w:val="Normal"/>
        <w:spacing w:before="0" w:after="0"/>
        <w:rPr/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type w:val="nextPage"/>
      <w:pgSz w:w="12240" w:h="15840"/>
      <w:pgMar w:left="1282" w:right="1181" w:header="720" w:top="1138" w:footer="720" w:bottom="113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240"/>
      <w:rPr>
        <w:color w:val="C00000"/>
        <w:szCs w:val="24"/>
      </w:rPr>
    </w:pPr>
    <w:r>
      <w:rPr>
        <w:color w:val="C00000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12" wp14:anchorId="382EAD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2570" cy="433705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0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20" w:after="24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</w:rPr>
                            <w:instrText> PAGE </w:instrText>
                          </w:r>
                          <w:r>
                            <w:rPr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</w:rPr>
                            <w:t>6</w:t>
                          </w:r>
                          <w:r>
                            <w:rPr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69.75pt;margin-top:0.05pt;width:119pt;height:34.05pt;mso-position-horizontal:right;mso-position-horizontal-relative:margin" wp14:anchorId="382EAD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before="120" w:after="24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</w:rPr>
                      <w:instrText> PAGE </w:instrText>
                    </w:r>
                    <w:r>
                      <w:rPr>
                        <w:szCs w:val="40"/>
                      </w:rPr>
                      <w:fldChar w:fldCharType="separate"/>
                    </w:r>
                    <w:r>
                      <w:rPr>
                        <w:szCs w:val="40"/>
                      </w:rPr>
                      <w:t>6</w:t>
                    </w:r>
                    <w:r>
                      <w:rPr>
                        <w:szCs w:val="4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240"/>
      <w:rPr>
        <w:b/>
        <w:b/>
        <w:sz w:val="20"/>
        <w:szCs w:val="24"/>
      </w:rPr>
    </w:pPr>
    <w:r>
      <w:rPr>
        <w:b/>
        <w:sz w:val="20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4" wp14:anchorId="70F9F5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2570" cy="433705"/>
              <wp:effectExtent l="0" t="0" r="0" b="0"/>
              <wp:wrapNone/>
              <wp:docPr id="8" name="Text Box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0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20" w:after="24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</w:rPr>
                            <w:instrText> PAGE </w:instrText>
                          </w:r>
                          <w:r>
                            <w:rPr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</w:rPr>
                            <w:t>7</w:t>
                          </w:r>
                          <w:r>
                            <w:rPr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6" stroked="f" style="position:absolute;margin-left:369.75pt;margin-top:0.05pt;width:119pt;height:34.05pt;mso-position-horizontal:right;mso-position-horizontal-relative:margin" wp14:anchorId="70F9F55F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before="120" w:after="24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</w:rPr>
                      <w:instrText> PAGE </w:instrText>
                    </w:r>
                    <w:r>
                      <w:rPr>
                        <w:szCs w:val="40"/>
                      </w:rPr>
                      <w:fldChar w:fldCharType="separate"/>
                    </w:r>
                    <w:r>
                      <w:rPr>
                        <w:szCs w:val="40"/>
                      </w:rPr>
                      <w:t>7</w:t>
                    </w:r>
                    <w:r>
                      <w:rPr>
                        <w:szCs w:val="4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40" w:before="120" w:after="240"/>
      <w:jc w:val="left"/>
      <w:rPr>
        <w:rFonts w:cs="Times New Roman"/>
      </w:rPr>
    </w:pPr>
    <w:r>
      <w:rPr>
        <w:rFonts w:cs="Times New Roman"/>
      </w:rPr>
    </w:r>
    <w:bookmarkStart w:id="246" w:name="__UnoMark__311840_2929896868"/>
    <w:bookmarkStart w:id="247" w:name="__UnoMark__311839_2929896868"/>
    <w:bookmarkStart w:id="248" w:name="__UnoMark__311838_2929896868"/>
    <w:bookmarkStart w:id="249" w:name="__UnoMark__311837_2929896868"/>
    <w:bookmarkStart w:id="250" w:name="__UnoMark__311836_2929896868"/>
    <w:bookmarkStart w:id="251" w:name="__UnoMark__311835_2929896868"/>
    <w:bookmarkStart w:id="252" w:name="__UnoMark__311834_2929896868"/>
    <w:bookmarkStart w:id="253" w:name="__UnoMark__311833_2929896868"/>
    <w:bookmarkStart w:id="254" w:name="__UnoMark__311832_2929896868"/>
    <w:bookmarkStart w:id="255" w:name="__UnoMark__311840_2929896868"/>
    <w:bookmarkStart w:id="256" w:name="__UnoMark__311839_2929896868"/>
    <w:bookmarkStart w:id="257" w:name="__UnoMark__311838_2929896868"/>
    <w:bookmarkStart w:id="258" w:name="__UnoMark__311837_2929896868"/>
    <w:bookmarkStart w:id="259" w:name="__UnoMark__311836_2929896868"/>
    <w:bookmarkStart w:id="260" w:name="__UnoMark__311835_2929896868"/>
    <w:bookmarkStart w:id="261" w:name="__UnoMark__311834_2929896868"/>
    <w:bookmarkStart w:id="262" w:name="__UnoMark__311833_2929896868"/>
    <w:bookmarkStart w:id="263" w:name="__UnoMark__311832_2929896868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120" w:after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40" w:before="120" w:after="240"/>
      <w:jc w:val="left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6715"/>
    <w:pPr>
      <w:widowControl/>
      <w:bidi w:val="0"/>
      <w:spacing w:lineRule="auto" w:line="240" w:before="120" w:after="24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ilvl w:val="0"/>
        <w:numId w:val="1"/>
      </w:numPr>
      <w:spacing w:before="240" w:after="1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  <w:numId w:val="1"/>
      </w:numPr>
      <w:spacing w:before="240" w:after="200"/>
      <w:outlineLvl w:val="1"/>
    </w:pPr>
    <w:rPr/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 w:val="true"/>
      <w:keepLines/>
      <w:numPr>
        <w:ilvl w:val="2"/>
        <w:numId w:val="1"/>
      </w:numPr>
      <w:spacing w:before="40" w:after="120"/>
      <w:outlineLvl w:val="2"/>
    </w:pPr>
    <w:rPr>
      <w:rFonts w:eastAsia="" w:cs="" w:cstheme="majorBidi" w:eastAsiaTheme="majorEastAsia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  <w:numId w:val="1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  <w:numId w:val="1"/>
      </w:numPr>
      <w:outlineLvl w:val="4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671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6715"/>
    <w:rPr>
      <w:color w:val="800080" w:themeColor="followed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b6715"/>
    <w:rPr>
      <w:rFonts w:ascii="Times New Roman" w:hAnsi="Times New Roman"/>
      <w:sz w:val="24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character" w:styleId="InternetLink">
    <w:name w:val="Internet 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ab6715"/>
    <w:rPr/>
  </w:style>
  <w:style w:type="character" w:styleId="Heading3Char" w:customStyle="1">
    <w:name w:val="Heading 3 Char"/>
    <w:basedOn w:val="DefaultParagraphFont"/>
    <w:link w:val="Heading3"/>
    <w:uiPriority w:val="2"/>
    <w:qFormat/>
    <w:rsid w:val="00ab6715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qFormat/>
    <w:rsid w:val="00ab6715"/>
    <w:rPr>
      <w:rFonts w:ascii="Times New Roman" w:hAnsi="Times New Roman" w:cs="Times New Roman"/>
      <w:b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cs="Times New Roman"/>
      <w:b/>
      <w:szCs w:val="24"/>
    </w:rPr>
  </w:style>
  <w:style w:type="paragraph" w:styleId="AuthorList" w:customStyle="1">
    <w:name w:val="Author List"/>
    <w:basedOn w:val="Subtitle"/>
    <w:next w:val="Normal"/>
    <w:uiPriority w:val="1"/>
    <w:qFormat/>
    <w:rsid w:val="00ab6715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6715"/>
    <w:pPr>
      <w:spacing w:before="120" w:after="0"/>
    </w:pPr>
    <w:rPr>
      <w:rFonts w:ascii="Tahoma" w:hAnsi="Tahoma" w:cs="Tahoma"/>
      <w:sz w:val="16"/>
      <w:szCs w:val="16"/>
    </w:rPr>
  </w:style>
  <w:style w:type="paragraph" w:styleId="Caption1">
    <w:name w:val="caption"/>
    <w:basedOn w:val="Normal"/>
    <w:next w:val="NoSpacing"/>
    <w:uiPriority w:val="35"/>
    <w:unhideWhenUsed/>
    <w:qFormat/>
    <w:rsid w:val="00ab6715"/>
    <w:pPr>
      <w:keepNext w:val="true"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b67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b6715"/>
    <w:pPr/>
    <w:rPr>
      <w:b/>
      <w:bCs/>
    </w:rPr>
  </w:style>
  <w:style w:type="paragraph" w:styleId="Endnote">
    <w:name w:val="Endnote Text"/>
    <w:basedOn w:val="Normal"/>
    <w:link w:val="End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  <w:spacing w:before="120" w:after="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</w:pPr>
    <w:rPr>
      <w:b/>
    </w:rPr>
  </w:style>
  <w:style w:type="paragraph" w:styleId="ListParagraph">
    <w:name w:val="List Paragraph"/>
    <w:basedOn w:val="Normal"/>
    <w:uiPriority w:val="3"/>
    <w:qFormat/>
    <w:rsid w:val="00ab6715"/>
    <w:pPr>
      <w:spacing w:before="120" w:after="240"/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SupplementaryMaterial" w:customStyle="1">
    <w:name w:val="Supplementary Material"/>
    <w:basedOn w:val="Title"/>
    <w:next w:val="Title"/>
    <w:qFormat/>
    <w:rsid w:val="0001436a"/>
    <w:pPr>
      <w:spacing w:before="240" w:after="120"/>
    </w:pPr>
    <w:rPr>
      <w:i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ibliography1">
    <w:name w:val="Bibliography 1"/>
    <w:basedOn w:val="Index"/>
    <w:qFormat/>
    <w:pPr>
      <w:tabs>
        <w:tab w:val="clear" w:pos="720"/>
      </w:tabs>
      <w:spacing w:lineRule="atLeast" w:line="240" w:before="120" w:after="240"/>
      <w:ind w:left="720" w:hanging="7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Headings" w:customStyle="1">
    <w:name w:val="Headings"/>
    <w:uiPriority w:val="99"/>
    <w:qFormat/>
    <w:rsid w:val="00ab67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1025</TotalTime>
  <Application>LibreOffice/6.3.6.2$MacOSX_X86_64 LibreOffice_project/2196df99b074d8a661f4036fca8fa0cbfa33a497</Application>
  <Pages>7</Pages>
  <Words>1479</Words>
  <Characters>11073</Characters>
  <CharactersWithSpaces>11770</CharactersWithSpaces>
  <Paragraphs>804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dc:description/>
  <dc:language>en-GB</dc:language>
  <cp:lastModifiedBy>Yevgeny Nikolaichik</cp:lastModifiedBy>
  <cp:lastPrinted>2013-10-03T12:51:00Z</cp:lastPrinted>
  <dcterms:modified xsi:type="dcterms:W3CDTF">2020-12-16T20:41:42Z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ZOTERO_BREF_BwHdq8jQ3LIp_1">
    <vt:lpwstr>ZOTERO_ITEM CSL_CITATION {"citationID":"4koQm3Tw","properties":{"formattedCitation":"(Quandt and Hynes, 1993)","plainCitation":"(Quandt and Hynes, 1993)","noteIndex":0},"citationItems":[{"id":2659,"uris":["http://zotero.org/users/396585/items/56EIJEMG"],"</vt:lpwstr>
  </property>
  <property fmtid="{D5CDD505-2E9C-101B-9397-08002B2CF9AE}" pid="9" name="ZOTERO_BREF_BwHdq8jQ3LIp_2">
    <vt:lpwstr>uri":["http://zotero.org/users/396585/items/56EIJEMG"],"itemData":{"id":2659,"type":"article-journal","container-title":"Gene","issue":"1","page":"15–21","source":"Google Scholar","title":"Versatile suicide vectors which allow direct selection for gene re</vt:lpwstr>
  </property>
  <property fmtid="{D5CDD505-2E9C-101B-9397-08002B2CF9AE}" pid="10" name="ZOTERO_BREF_BwHdq8jQ3LIp_3">
    <vt:lpwstr>placement in gram-negative bacteria","volume":"127","author":[{"family":"Quandt","given":"J."},{"family":"Hynes","given":"M. F."}],"issued":{"date-parts":[["1993"]]}}}],"schema":"https://github.com/citation-style-language/schema/raw/master/csl-citation.js</vt:lpwstr>
  </property>
  <property fmtid="{D5CDD505-2E9C-101B-9397-08002B2CF9AE}" pid="11" name="ZOTERO_BREF_BwHdq8jQ3LIp_4">
    <vt:lpwstr>on"}</vt:lpwstr>
  </property>
  <property fmtid="{D5CDD505-2E9C-101B-9397-08002B2CF9AE}" pid="12" name="ZOTERO_BREF_KwsdvIP7Tnz0_1">
    <vt:lpwstr>ZOTERO_ITEM CSL_CITATION {"citationID":"YziJFL5C","properties":{"formattedCitation":"(Penfold and Pemberton, 1992)","plainCitation":"(Penfold and Pemberton, 1992)","noteIndex":0},"citationItems":[{"id":7297,"uris":["http://zotero.org/users/396585/items/HJ</vt:lpwstr>
  </property>
  <property fmtid="{D5CDD505-2E9C-101B-9397-08002B2CF9AE}" pid="13" name="ZOTERO_BREF_KwsdvIP7Tnz0_2">
    <vt:lpwstr>TX3A8K"],"uri":["http://zotero.org/users/396585/items/HJTX3A8K"],"itemData":{"id":7297,"type":"article-journal","abstract":"We have constructed an R6K-based suicide vector (pJP5603) that requires a trans supply of the pir-encoded pi protein of plasmid R6K</vt:lpwstr>
  </property>
  <property fmtid="{D5CDD505-2E9C-101B-9397-08002B2CF9AE}" pid="14" name="ZOTERO_BREF_KwsdvIP7Tnz0_3">
    <vt:lpwstr> for replication. Therefore, efficient plasmid suicide results upon transfer to bacteria not harbouring pir. The 3.1-kb vector encodes kanamycin resistance and is mobilizable. When used in conjunction with a JM109 strain carrying pir, it has nine unique r</vt:lpwstr>
  </property>
  <property fmtid="{D5CDD505-2E9C-101B-9397-08002B2CF9AE}" pid="15" name="ZOTERO_BREF_KwsdvIP7Tnz0_4">
    <vt:lpwstr>estriction sites available for alpha-complementation cloning. Vector functionality was demonstrated in Rhodobacter sphaeroides.","container-title":"Gene","DOI":"1511879","ISSN":"0378-1119","issue":"1","journalAbbreviation":"Gene","note":"PMID: 1511879","p</vt:lpwstr>
  </property>
  <property fmtid="{D5CDD505-2E9C-101B-9397-08002B2CF9AE}" pid="16" name="ZOTERO_BREF_KwsdvIP7Tnz0_5">
    <vt:lpwstr>age":"145-6","source":"NCBI PubMed","title":"An improved suicide vector for construction of chromosomal insertion mutations in bacteria","volume":"118","author":[{"family":"Penfold","given":"R J"},{"family":"Pemberton","given":"J M"}],"issued":{"date-part</vt:lpwstr>
  </property>
  <property fmtid="{D5CDD505-2E9C-101B-9397-08002B2CF9AE}" pid="17" name="ZOTERO_BREF_KwsdvIP7Tnz0_6">
    <vt:lpwstr>s":[["1992",9,1]]}}}],"schema":"https://github.com/citation-style-language/schema/raw/master/csl-citation.json"}</vt:lpwstr>
  </property>
  <property fmtid="{D5CDD505-2E9C-101B-9397-08002B2CF9AE}" pid="18" name="ZOTERO_BREF_aVXkLM8HOqah_1">
    <vt:lpwstr>ZOTERO_BIBL {"uncited":[],"omitted":[],"custom":[]} CSL_BIBLIOGRAPHY</vt:lpwstr>
  </property>
  <property fmtid="{D5CDD505-2E9C-101B-9397-08002B2CF9AE}" pid="19" name="ZOTERO_PREF_1">
    <vt:lpwstr>&lt;data data-version="3" zotero-version="5.0.93"&gt;&lt;session id="vudH8Dnd"/&gt;&lt;style id="http://www.zotero.org/styles/frontiers-in-microbiology" hasBibliography="1" bibliographyStyleHasBeenSet="1"/&gt;&lt;prefs&gt;&lt;pref name="fieldType" value="Bookmark"/&gt;&lt;pref name="auto</vt:lpwstr>
  </property>
  <property fmtid="{D5CDD505-2E9C-101B-9397-08002B2CF9AE}" pid="20" name="ZOTERO_PREF_2">
    <vt:lpwstr>maticJournalAbbreviations" value="true"/&gt;&lt;/prefs&gt;&lt;/data&gt;</vt:lpwstr>
  </property>
</Properties>
</file>