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1760"/>
        <w:gridCol w:w="1252"/>
        <w:gridCol w:w="2797"/>
      </w:tblGrid>
      <w:tr>
        <w:trPr>
          <w:trHeight w:val="862" w:hRule="atLeast"/>
        </w:trPr>
        <w:tc>
          <w:tcPr>
            <w:tcW w:w="7480" w:type="dxa"/>
            <w:gridSpan w:val="4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Supplementary</w:t>
            </w:r>
            <w:r>
              <w:rPr>
                <w:rFonts w:hint="default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Table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  <w:bookmarkStart w:id="0" w:name="_GoBack"/>
            <w:bookmarkEnd w:id="0"/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P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rognosis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Condition and Follow Up</w:t>
            </w:r>
          </w:p>
        </w:tc>
      </w:tr>
      <w:tr>
        <w:trPr>
          <w:gridAfter w:val="1"/>
          <w:wAfter w:w="2797" w:type="dxa"/>
          <w:trHeight w:val="394" w:hRule="atLeast"/>
        </w:trPr>
        <w:tc>
          <w:tcPr>
            <w:tcW w:w="167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Treatment methods</w:t>
            </w:r>
          </w:p>
        </w:tc>
        <w:tc>
          <w:tcPr>
            <w:tcW w:w="176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Pathogenetic condition</w:t>
            </w:r>
          </w:p>
        </w:tc>
        <w:tc>
          <w:tcPr>
            <w:tcW w:w="1252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hint="eastAsia"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Number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PT Sans Regular" w:hAnsi="PT Sans Regular" w:cs="PT Sans Regular"/>
                <w:color w:val="000000"/>
                <w:kern w:val="0"/>
                <w:sz w:val="15"/>
                <w:szCs w:val="15"/>
              </w:rPr>
              <w:t>=46</w:t>
            </w:r>
          </w:p>
        </w:tc>
      </w:tr>
      <w:tr>
        <w:trPr>
          <w:gridAfter w:val="1"/>
          <w:wAfter w:w="2797" w:type="dxa"/>
          <w:trHeight w:val="337" w:hRule="atLeast"/>
        </w:trPr>
        <w:tc>
          <w:tcPr>
            <w:tcW w:w="167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Surgical treatment (n=1)</w:t>
            </w:r>
          </w:p>
        </w:tc>
        <w:tc>
          <w:tcPr>
            <w:tcW w:w="17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Stable</w:t>
            </w:r>
          </w:p>
        </w:tc>
        <w:tc>
          <w:tcPr>
            <w:tcW w:w="1252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gridAfter w:val="1"/>
          <w:wAfter w:w="2797" w:type="dxa"/>
          <w:trHeight w:val="363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Immunosuppressive therapy (n=40)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>
        <w:trPr>
          <w:gridAfter w:val="1"/>
          <w:wAfter w:w="2797" w:type="dxa"/>
          <w:trHeight w:val="327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PR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16</w:t>
            </w:r>
          </w:p>
        </w:tc>
      </w:tr>
      <w:tr>
        <w:trPr>
          <w:gridAfter w:val="1"/>
          <w:wAfter w:w="2797" w:type="dxa"/>
          <w:trHeight w:val="425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Progress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sz w:val="15"/>
                <w:szCs w:val="15"/>
              </w:rPr>
              <w:t>5</w:t>
            </w:r>
          </w:p>
        </w:tc>
      </w:tr>
      <w:tr>
        <w:trPr>
          <w:gridAfter w:val="1"/>
          <w:wAfter w:w="2797" w:type="dxa"/>
          <w:trHeight w:val="425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Stable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>
        <w:trPr>
          <w:gridAfter w:val="1"/>
          <w:wAfter w:w="2797" w:type="dxa"/>
          <w:trHeight w:val="425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Transient improvement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>
        <w:trPr>
          <w:gridAfter w:val="1"/>
          <w:wAfter w:w="2797" w:type="dxa"/>
          <w:trHeight w:val="327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Untreated (n=5)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PR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gridAfter w:val="1"/>
          <w:wAfter w:w="2797" w:type="dxa"/>
          <w:trHeight w:val="296" w:hRule="atLeast"/>
        </w:trPr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Progress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gridAfter w:val="1"/>
          <w:wAfter w:w="2797" w:type="dxa"/>
          <w:trHeight w:val="327" w:hRule="atLeast"/>
        </w:trPr>
        <w:tc>
          <w:tcPr>
            <w:tcW w:w="167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176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5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3</w:t>
            </w:r>
          </w:p>
        </w:tc>
      </w:tr>
    </w:tbl>
    <w:p>
      <w:r>
        <w:rPr>
          <w:rFonts w:ascii="PT Sans Regular" w:hAnsi="PT Sans Regular" w:cs="PT Sans Regular"/>
          <w:kern w:val="0"/>
          <w:sz w:val="15"/>
          <w:szCs w:val="15"/>
        </w:rPr>
        <w:t>CR=complete response, NA=not available, PR=partial response.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ri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iriam">
    <w:altName w:val="Hiragino Sans"/>
    <w:panose1 w:val="020B0502050101010101"/>
    <w:charset w:val="B1"/>
    <w:family w:val="swiss"/>
    <w:pitch w:val="default"/>
    <w:sig w:usb0="00000000" w:usb1="00000000" w:usb2="00000000" w:usb3="00000000" w:csb0="0000002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PT Sans Bold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103B"/>
    <w:rsid w:val="10FF429C"/>
    <w:rsid w:val="7FEF7925"/>
    <w:rsid w:val="DFDF103B"/>
    <w:rsid w:val="FE7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2020-10-02T17:17:00Z</dcterms:created>
  <dc:creator>apple</dc:creator>
  <cp:lastModifiedBy>apple</cp:lastModifiedBy>
  <dcterms:modified xsi:type="dcterms:W3CDTF">2021-02-16T00:08:09Z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