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A5" w:rsidRDefault="00F40A29" w:rsidP="00F40A29">
      <w:pPr>
        <w:tabs>
          <w:tab w:val="left" w:pos="0"/>
          <w:tab w:val="left" w:pos="142"/>
        </w:tabs>
        <w:spacing w:before="0" w:after="120"/>
        <w:rPr>
          <w:rFonts w:eastAsia="Calibri" w:cs="Times New Roman"/>
          <w:sz w:val="22"/>
        </w:rPr>
      </w:pPr>
      <w:r>
        <w:rPr>
          <w:b/>
          <w:color w:val="000000" w:themeColor="text1"/>
          <w:sz w:val="22"/>
        </w:rPr>
        <w:t>Appendix</w:t>
      </w:r>
      <w:r w:rsidRPr="007D1F6B">
        <w:rPr>
          <w:rFonts w:eastAsia="Calibri" w:cs="Times New Roman"/>
          <w:b/>
          <w:sz w:val="22"/>
        </w:rPr>
        <w:t xml:space="preserve"> </w:t>
      </w:r>
      <w:r w:rsidR="004F2682">
        <w:rPr>
          <w:rFonts w:eastAsia="Calibri" w:cs="Times New Roman"/>
          <w:b/>
          <w:sz w:val="22"/>
        </w:rPr>
        <w:t>1</w:t>
      </w:r>
      <w:r w:rsidRPr="007D1F6B">
        <w:rPr>
          <w:rFonts w:eastAsia="Calibri" w:cs="Times New Roman"/>
          <w:b/>
          <w:sz w:val="22"/>
        </w:rPr>
        <w:t xml:space="preserve">: </w:t>
      </w:r>
      <w:r w:rsidR="00F63FD4">
        <w:rPr>
          <w:rFonts w:eastAsia="Calibri" w:cs="Times New Roman"/>
          <w:sz w:val="22"/>
        </w:rPr>
        <w:t>accelerated</w:t>
      </w:r>
      <w:r w:rsidR="00F63FD4" w:rsidRPr="00F63FD4">
        <w:rPr>
          <w:rFonts w:eastAsia="Calibri" w:cs="Times New Roman"/>
          <w:sz w:val="22"/>
        </w:rPr>
        <w:t xml:space="preserve"> procedures </w:t>
      </w:r>
      <w:r w:rsidR="00F63FD4">
        <w:rPr>
          <w:rFonts w:eastAsia="Calibri" w:cs="Times New Roman"/>
          <w:sz w:val="22"/>
        </w:rPr>
        <w:t xml:space="preserve">introduce by EMA </w:t>
      </w:r>
      <w:r w:rsidR="00F63FD4" w:rsidRPr="00F63FD4">
        <w:rPr>
          <w:rFonts w:eastAsia="Calibri" w:cs="Times New Roman"/>
          <w:sz w:val="22"/>
        </w:rPr>
        <w:t>to support the development and marketing authorisation of</w:t>
      </w:r>
      <w:r w:rsidR="00F63FD4">
        <w:rPr>
          <w:rFonts w:eastAsia="Calibri" w:cs="Times New Roman"/>
          <w:sz w:val="22"/>
        </w:rPr>
        <w:t xml:space="preserve"> </w:t>
      </w:r>
      <w:r w:rsidR="00F63FD4" w:rsidRPr="00F63FD4">
        <w:rPr>
          <w:rFonts w:eastAsia="Calibri" w:cs="Times New Roman"/>
          <w:sz w:val="22"/>
        </w:rPr>
        <w:t>treatments and vaccines for C</w:t>
      </w:r>
      <w:r w:rsidR="004A29FF" w:rsidRPr="00F63FD4">
        <w:rPr>
          <w:rFonts w:eastAsia="Calibri" w:cs="Times New Roman"/>
          <w:sz w:val="22"/>
        </w:rPr>
        <w:t>ovid</w:t>
      </w:r>
      <w:r w:rsidR="00F63FD4" w:rsidRPr="00F63FD4">
        <w:rPr>
          <w:rFonts w:eastAsia="Calibri" w:cs="Times New Roman"/>
          <w:sz w:val="22"/>
        </w:rPr>
        <w:t xml:space="preserve">-19 </w:t>
      </w:r>
      <w:r w:rsidRPr="007D1F6B">
        <w:rPr>
          <w:rFonts w:eastAsia="Calibri" w:cs="Times New Roman"/>
          <w:sz w:val="22"/>
        </w:rPr>
        <w:t xml:space="preserve">(adapted from </w:t>
      </w:r>
      <w:hyperlink r:id="rId8" w:anchor="early-support-for-medicine-and-vaccine-developers-section" w:history="1">
        <w:r w:rsidR="001D48A5" w:rsidRPr="005A1CFA">
          <w:rPr>
            <w:rStyle w:val="Collegamentoipertestuale"/>
            <w:rFonts w:eastAsia="Calibri" w:cs="Times New Roman"/>
            <w:sz w:val="22"/>
          </w:rPr>
          <w:t>https://www.ema.europa.eu/en/human-regulatory/overview/public-health-threats/coronavirus-disease-covid-19/guidance-medicine-developers-other-stakeholders-covid-19#early-support-for-medicine-and-vaccine-developers-section</w:t>
        </w:r>
      </w:hyperlink>
      <w:r w:rsidR="001D48A5">
        <w:rPr>
          <w:rFonts w:eastAsia="Calibri" w:cs="Times New Roman"/>
          <w:sz w:val="22"/>
        </w:rPr>
        <w:t>)</w:t>
      </w:r>
    </w:p>
    <w:p w:rsidR="004F2682" w:rsidRDefault="004F2682" w:rsidP="00F40A29">
      <w:pPr>
        <w:tabs>
          <w:tab w:val="left" w:pos="0"/>
          <w:tab w:val="left" w:pos="142"/>
        </w:tabs>
        <w:spacing w:before="0" w:after="120"/>
        <w:rPr>
          <w:rFonts w:eastAsia="Calibri" w:cs="Times New Roman"/>
          <w:sz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546"/>
        <w:gridCol w:w="4251"/>
        <w:gridCol w:w="8983"/>
      </w:tblGrid>
      <w:tr w:rsidR="005D569F" w:rsidRPr="004F2682" w:rsidTr="00101839">
        <w:trPr>
          <w:trHeight w:val="691"/>
          <w:jc w:val="center"/>
        </w:trPr>
        <w:tc>
          <w:tcPr>
            <w:tcW w:w="546" w:type="dxa"/>
            <w:vAlign w:val="center"/>
          </w:tcPr>
          <w:p w:rsidR="004F2682" w:rsidRPr="004F2682" w:rsidRDefault="004F2682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N</w:t>
            </w:r>
          </w:p>
        </w:tc>
        <w:tc>
          <w:tcPr>
            <w:tcW w:w="4251" w:type="dxa"/>
            <w:vAlign w:val="center"/>
          </w:tcPr>
          <w:p w:rsidR="004F2682" w:rsidRPr="004F2682" w:rsidRDefault="00460631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Procedure</w:t>
            </w:r>
          </w:p>
        </w:tc>
        <w:tc>
          <w:tcPr>
            <w:tcW w:w="8983" w:type="dxa"/>
            <w:vAlign w:val="center"/>
          </w:tcPr>
          <w:p w:rsidR="004F2682" w:rsidRPr="004F2682" w:rsidRDefault="00460631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Features</w:t>
            </w:r>
          </w:p>
        </w:tc>
      </w:tr>
      <w:tr w:rsidR="005D569F" w:rsidRPr="004F2682" w:rsidTr="00EB20C0">
        <w:trPr>
          <w:trHeight w:val="1306"/>
          <w:jc w:val="center"/>
        </w:trPr>
        <w:tc>
          <w:tcPr>
            <w:tcW w:w="546" w:type="dxa"/>
            <w:vAlign w:val="center"/>
          </w:tcPr>
          <w:p w:rsidR="004F2682" w:rsidRPr="00F72979" w:rsidRDefault="004F2682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</w:rPr>
            </w:pPr>
            <w:r w:rsidRPr="00F72979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4251" w:type="dxa"/>
            <w:vAlign w:val="center"/>
          </w:tcPr>
          <w:p w:rsidR="004F2682" w:rsidRPr="00101839" w:rsidRDefault="00460631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  <w:i/>
              </w:rPr>
            </w:pPr>
            <w:r w:rsidRPr="00101839">
              <w:rPr>
                <w:rFonts w:eastAsia="Calibri" w:cs="Times New Roman"/>
                <w:b/>
                <w:i/>
              </w:rPr>
              <w:t xml:space="preserve">Rapid </w:t>
            </w:r>
            <w:r w:rsidR="004F2682" w:rsidRPr="00101839">
              <w:rPr>
                <w:rFonts w:eastAsia="Calibri" w:cs="Times New Roman"/>
                <w:b/>
                <w:i/>
              </w:rPr>
              <w:t>scientific advice</w:t>
            </w:r>
          </w:p>
        </w:tc>
        <w:tc>
          <w:tcPr>
            <w:tcW w:w="8983" w:type="dxa"/>
            <w:vAlign w:val="center"/>
          </w:tcPr>
          <w:p w:rsidR="00F45BD0" w:rsidRDefault="000B22ED" w:rsidP="00EB20C0">
            <w:pPr>
              <w:tabs>
                <w:tab w:val="left" w:pos="0"/>
                <w:tab w:val="left" w:pos="142"/>
              </w:tabs>
              <w:spacing w:before="0" w:after="0"/>
              <w:jc w:val="both"/>
              <w:rPr>
                <w:rFonts w:eastAsia="Calibri" w:cs="Times New Roman"/>
              </w:rPr>
            </w:pPr>
            <w:r w:rsidRPr="000B22ED">
              <w:rPr>
                <w:rFonts w:eastAsia="Calibri" w:cs="Times New Roman"/>
              </w:rPr>
              <w:t xml:space="preserve">An ad hoc </w:t>
            </w:r>
            <w:r w:rsidR="00F45BD0" w:rsidRPr="000B22ED">
              <w:rPr>
                <w:rFonts w:eastAsia="Calibri" w:cs="Times New Roman"/>
              </w:rPr>
              <w:t>procedure, which</w:t>
            </w:r>
            <w:r w:rsidRPr="000B22ED">
              <w:rPr>
                <w:rFonts w:eastAsia="Calibri" w:cs="Times New Roman"/>
              </w:rPr>
              <w:t xml:space="preserve"> follows the general principles of the </w:t>
            </w:r>
            <w:r>
              <w:rPr>
                <w:rFonts w:eastAsia="Calibri" w:cs="Times New Roman"/>
              </w:rPr>
              <w:t xml:space="preserve">standard </w:t>
            </w:r>
            <w:r w:rsidRPr="000B22ED">
              <w:rPr>
                <w:rFonts w:eastAsia="Calibri" w:cs="Times New Roman"/>
              </w:rPr>
              <w:t>scientific advice</w:t>
            </w:r>
            <w:r>
              <w:rPr>
                <w:rFonts w:eastAsia="Calibri" w:cs="Times New Roman"/>
              </w:rPr>
              <w:t>,</w:t>
            </w:r>
            <w:r w:rsidRPr="000B22ED">
              <w:rPr>
                <w:rFonts w:eastAsia="Calibri" w:cs="Times New Roman"/>
              </w:rPr>
              <w:t xml:space="preserve"> but with adaptations </w:t>
            </w:r>
            <w:r>
              <w:rPr>
                <w:rFonts w:eastAsia="Calibri" w:cs="Times New Roman"/>
              </w:rPr>
              <w:t xml:space="preserve">(no deadline, more flexibility, </w:t>
            </w:r>
            <w:r w:rsidRPr="000B22ED">
              <w:rPr>
                <w:rFonts w:eastAsia="Calibri" w:cs="Times New Roman"/>
              </w:rPr>
              <w:t>free of charge</w:t>
            </w:r>
            <w:r>
              <w:rPr>
                <w:rFonts w:eastAsia="Calibri" w:cs="Times New Roman"/>
              </w:rPr>
              <w:t xml:space="preserve">, </w:t>
            </w:r>
            <w:r w:rsidRPr="000B22ED">
              <w:rPr>
                <w:rFonts w:eastAsia="Calibri" w:cs="Times New Roman"/>
              </w:rPr>
              <w:t>reduced review time</w:t>
            </w:r>
            <w:r>
              <w:rPr>
                <w:rFonts w:eastAsia="Calibri" w:cs="Times New Roman"/>
              </w:rPr>
              <w:t xml:space="preserve">) </w:t>
            </w:r>
            <w:r w:rsidRPr="000B22ED">
              <w:rPr>
                <w:rFonts w:eastAsia="Calibri" w:cs="Times New Roman"/>
              </w:rPr>
              <w:t xml:space="preserve">to facilitate </w:t>
            </w:r>
            <w:r>
              <w:rPr>
                <w:rFonts w:eastAsia="Calibri" w:cs="Times New Roman"/>
              </w:rPr>
              <w:t>development of treatments and vaccines for Covid-19</w:t>
            </w:r>
            <w:r w:rsidR="00F45BD0">
              <w:rPr>
                <w:rFonts w:eastAsia="Calibri" w:cs="Times New Roman"/>
              </w:rPr>
              <w:t>.</w:t>
            </w:r>
          </w:p>
          <w:p w:rsidR="004F2682" w:rsidRPr="000B22ED" w:rsidRDefault="00F45BD0" w:rsidP="00EB20C0">
            <w:pPr>
              <w:tabs>
                <w:tab w:val="left" w:pos="0"/>
                <w:tab w:val="left" w:pos="142"/>
              </w:tabs>
              <w:spacing w:before="0" w:after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Aim: </w:t>
            </w:r>
            <w:r w:rsidR="00E96858">
              <w:rPr>
                <w:rFonts w:eastAsia="Calibri" w:cs="Times New Roman"/>
              </w:rPr>
              <w:t xml:space="preserve">to </w:t>
            </w:r>
            <w:r>
              <w:rPr>
                <w:rFonts w:eastAsia="Calibri" w:cs="Times New Roman"/>
              </w:rPr>
              <w:t>support</w:t>
            </w:r>
            <w:r w:rsidRPr="005D569F">
              <w:rPr>
                <w:rFonts w:eastAsia="Calibri" w:cs="Times New Roman"/>
              </w:rPr>
              <w:t xml:space="preserve"> prospective evidence</w:t>
            </w:r>
            <w:r>
              <w:rPr>
                <w:rFonts w:eastAsia="Calibri" w:cs="Times New Roman"/>
              </w:rPr>
              <w:t xml:space="preserve"> p</w:t>
            </w:r>
            <w:r w:rsidRPr="005D569F">
              <w:rPr>
                <w:rFonts w:eastAsia="Calibri" w:cs="Times New Roman"/>
              </w:rPr>
              <w:t>lanning</w:t>
            </w:r>
            <w:r w:rsidR="00E96858">
              <w:rPr>
                <w:rFonts w:eastAsia="Calibri" w:cs="Times New Roman"/>
              </w:rPr>
              <w:t>, to guide on the best method and study design.</w:t>
            </w:r>
          </w:p>
        </w:tc>
      </w:tr>
      <w:tr w:rsidR="005D569F" w:rsidRPr="004F2682" w:rsidTr="00EB20C0">
        <w:trPr>
          <w:trHeight w:val="373"/>
          <w:jc w:val="center"/>
        </w:trPr>
        <w:tc>
          <w:tcPr>
            <w:tcW w:w="546" w:type="dxa"/>
            <w:vAlign w:val="center"/>
          </w:tcPr>
          <w:p w:rsidR="004F2682" w:rsidRPr="00F72979" w:rsidRDefault="004F2682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</w:rPr>
            </w:pPr>
            <w:r w:rsidRPr="00F72979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4251" w:type="dxa"/>
            <w:vAlign w:val="center"/>
          </w:tcPr>
          <w:p w:rsidR="004F2682" w:rsidRPr="00101839" w:rsidRDefault="00460631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  <w:i/>
              </w:rPr>
            </w:pPr>
            <w:r w:rsidRPr="00101839">
              <w:rPr>
                <w:rFonts w:eastAsia="Calibri" w:cs="Times New Roman"/>
                <w:b/>
                <w:i/>
              </w:rPr>
              <w:t>Rapid agreement of pediatric</w:t>
            </w:r>
            <w:r w:rsidR="004F2682" w:rsidRPr="00101839">
              <w:rPr>
                <w:rFonts w:eastAsia="Calibri" w:cs="Times New Roman"/>
                <w:b/>
                <w:i/>
              </w:rPr>
              <w:t xml:space="preserve"> investigation plans (PIPs) and </w:t>
            </w:r>
            <w:r w:rsidRPr="00101839">
              <w:rPr>
                <w:rFonts w:eastAsia="Calibri" w:cs="Times New Roman"/>
                <w:b/>
                <w:i/>
              </w:rPr>
              <w:t xml:space="preserve">rapid </w:t>
            </w:r>
            <w:r w:rsidR="004F2682" w:rsidRPr="00101839">
              <w:rPr>
                <w:rFonts w:eastAsia="Calibri" w:cs="Times New Roman"/>
                <w:b/>
                <w:i/>
              </w:rPr>
              <w:t>compliance check</w:t>
            </w:r>
          </w:p>
        </w:tc>
        <w:tc>
          <w:tcPr>
            <w:tcW w:w="8983" w:type="dxa"/>
            <w:vAlign w:val="center"/>
          </w:tcPr>
          <w:p w:rsidR="004F2682" w:rsidRPr="000B22ED" w:rsidRDefault="00302D41" w:rsidP="00EB20C0">
            <w:pPr>
              <w:tabs>
                <w:tab w:val="left" w:pos="0"/>
                <w:tab w:val="left" w:pos="142"/>
              </w:tabs>
              <w:spacing w:before="0" w:after="120"/>
              <w:jc w:val="both"/>
              <w:rPr>
                <w:rFonts w:eastAsia="Calibri" w:cs="Times New Roman"/>
              </w:rPr>
            </w:pPr>
            <w:r w:rsidRPr="00302D41">
              <w:rPr>
                <w:rFonts w:eastAsia="Calibri" w:cs="Times New Roman"/>
              </w:rPr>
              <w:t xml:space="preserve">EMA review </w:t>
            </w:r>
            <w:r w:rsidR="005B0396">
              <w:rPr>
                <w:rFonts w:eastAsia="Calibri" w:cs="Times New Roman"/>
              </w:rPr>
              <w:t xml:space="preserve">the </w:t>
            </w:r>
            <w:r w:rsidRPr="00302D41">
              <w:rPr>
                <w:rFonts w:eastAsia="Calibri" w:cs="Times New Roman"/>
              </w:rPr>
              <w:t>appli</w:t>
            </w:r>
            <w:r w:rsidR="005B0396">
              <w:rPr>
                <w:rFonts w:eastAsia="Calibri" w:cs="Times New Roman"/>
              </w:rPr>
              <w:t xml:space="preserve">cations for agreement of PIP </w:t>
            </w:r>
            <w:r w:rsidRPr="00302D41">
              <w:rPr>
                <w:rFonts w:eastAsia="Calibri" w:cs="Times New Roman"/>
              </w:rPr>
              <w:t>for treatments and vaccines for C</w:t>
            </w:r>
            <w:r w:rsidR="004A29FF" w:rsidRPr="00302D41">
              <w:rPr>
                <w:rFonts w:eastAsia="Calibri" w:cs="Times New Roman"/>
              </w:rPr>
              <w:t>ovid</w:t>
            </w:r>
            <w:r w:rsidRPr="00302D41">
              <w:rPr>
                <w:rFonts w:eastAsia="Calibri" w:cs="Times New Roman"/>
              </w:rPr>
              <w:t>-19 in an expedited manner</w:t>
            </w:r>
            <w:r w:rsidR="002D014A">
              <w:rPr>
                <w:rFonts w:eastAsia="Calibri" w:cs="Times New Roman"/>
              </w:rPr>
              <w:t xml:space="preserve"> (no deadline, </w:t>
            </w:r>
            <w:r w:rsidR="002D014A" w:rsidRPr="000B22ED">
              <w:rPr>
                <w:rFonts w:eastAsia="Calibri" w:cs="Times New Roman"/>
              </w:rPr>
              <w:t>reduced review time</w:t>
            </w:r>
            <w:r w:rsidR="002D014A">
              <w:rPr>
                <w:rFonts w:eastAsia="Calibri" w:cs="Times New Roman"/>
              </w:rPr>
              <w:t>)</w:t>
            </w:r>
            <w:r w:rsidRPr="00302D41">
              <w:rPr>
                <w:rFonts w:eastAsia="Calibri" w:cs="Times New Roman"/>
              </w:rPr>
              <w:t>, in o</w:t>
            </w:r>
            <w:r w:rsidR="00667165">
              <w:rPr>
                <w:rFonts w:eastAsia="Calibri" w:cs="Times New Roman"/>
              </w:rPr>
              <w:t>rder to speed up these products’</w:t>
            </w:r>
            <w:r w:rsidRPr="00302D41">
              <w:rPr>
                <w:rFonts w:eastAsia="Calibri" w:cs="Times New Roman"/>
              </w:rPr>
              <w:t xml:space="preserve"> development and approval.</w:t>
            </w:r>
          </w:p>
        </w:tc>
      </w:tr>
      <w:tr w:rsidR="005D569F" w:rsidRPr="004F2682" w:rsidTr="00EB20C0">
        <w:trPr>
          <w:trHeight w:val="1493"/>
          <w:jc w:val="center"/>
        </w:trPr>
        <w:tc>
          <w:tcPr>
            <w:tcW w:w="546" w:type="dxa"/>
            <w:vAlign w:val="center"/>
          </w:tcPr>
          <w:p w:rsidR="004F2682" w:rsidRPr="00F72979" w:rsidRDefault="004F2682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</w:rPr>
            </w:pPr>
            <w:r w:rsidRPr="00F72979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4251" w:type="dxa"/>
            <w:vAlign w:val="center"/>
          </w:tcPr>
          <w:p w:rsidR="004F2682" w:rsidRPr="00101839" w:rsidRDefault="004F2682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  <w:i/>
              </w:rPr>
            </w:pPr>
            <w:r w:rsidRPr="00101839">
              <w:rPr>
                <w:rFonts w:eastAsia="Calibri" w:cs="Times New Roman"/>
                <w:b/>
                <w:i/>
              </w:rPr>
              <w:t>Rolling review</w:t>
            </w:r>
          </w:p>
        </w:tc>
        <w:tc>
          <w:tcPr>
            <w:tcW w:w="8983" w:type="dxa"/>
            <w:vAlign w:val="center"/>
          </w:tcPr>
          <w:p w:rsidR="00E96858" w:rsidRDefault="00F63FD4" w:rsidP="00EB20C0">
            <w:pPr>
              <w:tabs>
                <w:tab w:val="left" w:pos="0"/>
                <w:tab w:val="left" w:pos="142"/>
              </w:tabs>
              <w:spacing w:before="0" w:after="0"/>
              <w:jc w:val="both"/>
              <w:rPr>
                <w:rFonts w:eastAsia="Calibri" w:cs="Times New Roman"/>
              </w:rPr>
            </w:pPr>
            <w:r w:rsidRPr="00F63FD4">
              <w:rPr>
                <w:rFonts w:eastAsia="Calibri" w:cs="Times New Roman"/>
              </w:rPr>
              <w:t xml:space="preserve">An ad hoc procedure </w:t>
            </w:r>
            <w:r>
              <w:rPr>
                <w:rFonts w:eastAsia="Calibri" w:cs="Times New Roman"/>
              </w:rPr>
              <w:t>for the</w:t>
            </w:r>
            <w:r w:rsidRPr="00F63FD4">
              <w:rPr>
                <w:rFonts w:eastAsia="Calibri" w:cs="Times New Roman"/>
              </w:rPr>
              <w:t xml:space="preserve"> public health emergency</w:t>
            </w:r>
            <w:r>
              <w:rPr>
                <w:rFonts w:eastAsia="Calibri" w:cs="Times New Roman"/>
              </w:rPr>
              <w:t>;</w:t>
            </w:r>
          </w:p>
          <w:p w:rsidR="00E96858" w:rsidRPr="00E96858" w:rsidRDefault="00E96858" w:rsidP="00EB20C0">
            <w:pPr>
              <w:tabs>
                <w:tab w:val="left" w:pos="0"/>
                <w:tab w:val="left" w:pos="142"/>
              </w:tabs>
              <w:spacing w:before="0" w:after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EMA </w:t>
            </w:r>
            <w:r w:rsidRPr="00E96858">
              <w:rPr>
                <w:rFonts w:eastAsia="Calibri" w:cs="Times New Roman"/>
              </w:rPr>
              <w:t>review data</w:t>
            </w:r>
            <w:r>
              <w:rPr>
                <w:rFonts w:eastAsia="Calibri" w:cs="Times New Roman"/>
              </w:rPr>
              <w:t xml:space="preserve"> of treatments and vaccines</w:t>
            </w:r>
            <w:r w:rsidRPr="00E96858">
              <w:rPr>
                <w:rFonts w:eastAsia="Calibri" w:cs="Times New Roman"/>
              </w:rPr>
              <w:t xml:space="preserve"> as they become available, while </w:t>
            </w:r>
            <w:r w:rsidR="00187652">
              <w:rPr>
                <w:rFonts w:eastAsia="Calibri" w:cs="Times New Roman"/>
              </w:rPr>
              <w:t xml:space="preserve">the </w:t>
            </w:r>
            <w:r w:rsidRPr="00E96858">
              <w:rPr>
                <w:rFonts w:eastAsia="Calibri" w:cs="Times New Roman"/>
              </w:rPr>
              <w:t>development is still ongoing</w:t>
            </w:r>
            <w:r w:rsidR="00187652">
              <w:rPr>
                <w:rFonts w:eastAsia="Calibri" w:cs="Times New Roman"/>
              </w:rPr>
              <w:t>.</w:t>
            </w:r>
          </w:p>
          <w:p w:rsidR="004F2682" w:rsidRPr="004F2682" w:rsidRDefault="00E96858" w:rsidP="00EB20C0">
            <w:pPr>
              <w:tabs>
                <w:tab w:val="left" w:pos="0"/>
                <w:tab w:val="left" w:pos="142"/>
              </w:tabs>
              <w:spacing w:before="0" w:after="0"/>
              <w:jc w:val="both"/>
              <w:rPr>
                <w:rFonts w:eastAsia="Calibri" w:cs="Times New Roman"/>
              </w:rPr>
            </w:pPr>
            <w:r w:rsidRPr="00E96858">
              <w:rPr>
                <w:rFonts w:eastAsia="Calibri" w:cs="Times New Roman"/>
              </w:rPr>
              <w:t xml:space="preserve">Once the data package is complete, the formal </w:t>
            </w:r>
            <w:r w:rsidR="005D26EA">
              <w:rPr>
                <w:rFonts w:eastAsia="Calibri" w:cs="Times New Roman"/>
              </w:rPr>
              <w:t xml:space="preserve">assessment procedure for a </w:t>
            </w:r>
            <w:r w:rsidRPr="00E96858">
              <w:rPr>
                <w:rFonts w:eastAsia="Calibri" w:cs="Times New Roman"/>
              </w:rPr>
              <w:t xml:space="preserve">marketing authorisation application </w:t>
            </w:r>
            <w:r w:rsidR="005D26EA">
              <w:rPr>
                <w:rFonts w:eastAsia="Calibri" w:cs="Times New Roman"/>
              </w:rPr>
              <w:t>will take place in a short timeframe.</w:t>
            </w:r>
          </w:p>
        </w:tc>
      </w:tr>
      <w:tr w:rsidR="005D569F" w:rsidRPr="004F2682" w:rsidTr="00101839">
        <w:trPr>
          <w:trHeight w:val="989"/>
          <w:jc w:val="center"/>
        </w:trPr>
        <w:tc>
          <w:tcPr>
            <w:tcW w:w="546" w:type="dxa"/>
            <w:vAlign w:val="center"/>
          </w:tcPr>
          <w:p w:rsidR="004F2682" w:rsidRPr="00F72979" w:rsidRDefault="004F2682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</w:rPr>
            </w:pPr>
            <w:r w:rsidRPr="00F72979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4251" w:type="dxa"/>
            <w:vAlign w:val="center"/>
          </w:tcPr>
          <w:p w:rsidR="004F2682" w:rsidRPr="00101839" w:rsidRDefault="004F2682" w:rsidP="00F72979">
            <w:pPr>
              <w:tabs>
                <w:tab w:val="left" w:pos="0"/>
                <w:tab w:val="left" w:pos="142"/>
              </w:tabs>
              <w:spacing w:before="0" w:after="120"/>
              <w:jc w:val="center"/>
              <w:rPr>
                <w:rFonts w:eastAsia="Calibri" w:cs="Times New Roman"/>
                <w:b/>
                <w:i/>
              </w:rPr>
            </w:pPr>
            <w:r w:rsidRPr="00101839">
              <w:rPr>
                <w:rFonts w:eastAsia="Calibri" w:cs="Times New Roman"/>
                <w:b/>
                <w:i/>
              </w:rPr>
              <w:t>Accelerated assessment</w:t>
            </w:r>
          </w:p>
        </w:tc>
        <w:tc>
          <w:tcPr>
            <w:tcW w:w="8983" w:type="dxa"/>
            <w:vAlign w:val="center"/>
          </w:tcPr>
          <w:p w:rsidR="00F64621" w:rsidRDefault="00F64621" w:rsidP="00EB20C0">
            <w:pPr>
              <w:tabs>
                <w:tab w:val="left" w:pos="0"/>
                <w:tab w:val="left" w:pos="142"/>
              </w:tabs>
              <w:spacing w:before="0" w:after="0"/>
              <w:jc w:val="both"/>
              <w:rPr>
                <w:rFonts w:eastAsia="Calibri" w:cs="Times New Roman"/>
              </w:rPr>
            </w:pPr>
            <w:r w:rsidRPr="00F64621">
              <w:rPr>
                <w:rFonts w:eastAsia="Calibri" w:cs="Times New Roman"/>
              </w:rPr>
              <w:t>Can be considered for medicines and vaccines not undergoing a rolling review</w:t>
            </w:r>
            <w:r>
              <w:rPr>
                <w:rFonts w:eastAsia="Calibri" w:cs="Times New Roman"/>
              </w:rPr>
              <w:t xml:space="preserve">. It </w:t>
            </w:r>
            <w:r w:rsidRPr="00F64621">
              <w:rPr>
                <w:rFonts w:eastAsia="Calibri" w:cs="Times New Roman"/>
              </w:rPr>
              <w:t>allows EMA to review the marketing</w:t>
            </w:r>
            <w:r>
              <w:rPr>
                <w:rFonts w:eastAsia="Calibri" w:cs="Times New Roman"/>
              </w:rPr>
              <w:t xml:space="preserve"> </w:t>
            </w:r>
            <w:r w:rsidRPr="00F64621">
              <w:rPr>
                <w:rFonts w:eastAsia="Calibri" w:cs="Times New Roman"/>
              </w:rPr>
              <w:t>authorisation applications in a shorter timeframe</w:t>
            </w:r>
            <w:r>
              <w:rPr>
                <w:rFonts w:eastAsia="Calibri" w:cs="Times New Roman"/>
              </w:rPr>
              <w:t>.</w:t>
            </w:r>
          </w:p>
          <w:p w:rsidR="00F64621" w:rsidRPr="00F64621" w:rsidRDefault="00F64621" w:rsidP="00EB20C0">
            <w:pPr>
              <w:tabs>
                <w:tab w:val="left" w:pos="0"/>
                <w:tab w:val="left" w:pos="142"/>
              </w:tabs>
              <w:spacing w:before="0" w:after="0"/>
              <w:jc w:val="both"/>
              <w:rPr>
                <w:rFonts w:eastAsia="Calibri" w:cs="Times New Roman"/>
              </w:rPr>
            </w:pPr>
            <w:r w:rsidRPr="00F64621">
              <w:rPr>
                <w:rFonts w:eastAsia="Calibri" w:cs="Times New Roman"/>
              </w:rPr>
              <w:t>Review is reduced to 150 days (from 210 days) or less</w:t>
            </w:r>
            <w:r>
              <w:rPr>
                <w:rFonts w:eastAsia="Calibri" w:cs="Times New Roman"/>
              </w:rPr>
              <w:t>.</w:t>
            </w:r>
          </w:p>
        </w:tc>
      </w:tr>
    </w:tbl>
    <w:p w:rsidR="008270DE" w:rsidRDefault="008270DE" w:rsidP="00F40A29">
      <w:pPr>
        <w:tabs>
          <w:tab w:val="left" w:pos="0"/>
          <w:tab w:val="left" w:pos="142"/>
        </w:tabs>
        <w:spacing w:before="0" w:after="120"/>
        <w:rPr>
          <w:rFonts w:eastAsia="Calibri" w:cs="Times New Roman"/>
          <w:sz w:val="22"/>
        </w:rPr>
      </w:pPr>
    </w:p>
    <w:p w:rsidR="008270DE" w:rsidRDefault="008270DE">
      <w:pPr>
        <w:spacing w:before="0" w:after="200" w:line="276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br w:type="page"/>
      </w:r>
    </w:p>
    <w:p w:rsidR="00F54063" w:rsidRDefault="008270DE" w:rsidP="008270DE">
      <w:pPr>
        <w:tabs>
          <w:tab w:val="left" w:pos="0"/>
          <w:tab w:val="left" w:pos="142"/>
        </w:tabs>
        <w:spacing w:before="0" w:after="0"/>
        <w:rPr>
          <w:rFonts w:cs="Times New Roman"/>
          <w:sz w:val="22"/>
        </w:rPr>
      </w:pPr>
      <w:r>
        <w:rPr>
          <w:b/>
          <w:color w:val="000000" w:themeColor="text1"/>
          <w:sz w:val="22"/>
        </w:rPr>
        <w:lastRenderedPageBreak/>
        <w:t>Appendix 2</w:t>
      </w:r>
      <w:bookmarkStart w:id="0" w:name="_GoBack"/>
      <w:bookmarkEnd w:id="0"/>
      <w:r w:rsidRPr="007601B2">
        <w:rPr>
          <w:rFonts w:eastAsia="Calibri" w:cs="Times New Roman"/>
          <w:b/>
          <w:sz w:val="22"/>
        </w:rPr>
        <w:t xml:space="preserve">: </w:t>
      </w:r>
      <w:r w:rsidRPr="007601B2">
        <w:rPr>
          <w:rFonts w:eastAsia="Calibri" w:cs="Times New Roman"/>
          <w:sz w:val="22"/>
        </w:rPr>
        <w:t xml:space="preserve">EMA opinions issued according to </w:t>
      </w:r>
      <w:r w:rsidRPr="00BC1D76">
        <w:rPr>
          <w:rFonts w:cs="Times New Roman"/>
          <w:sz w:val="22"/>
        </w:rPr>
        <w:t>Article 5(3) of Regulation 726/2004</w:t>
      </w:r>
      <w:r>
        <w:rPr>
          <w:rFonts w:cs="Times New Roman"/>
          <w:sz w:val="22"/>
        </w:rPr>
        <w:t xml:space="preserve"> (update October 2020</w:t>
      </w:r>
      <w:r w:rsidR="007601B2">
        <w:rPr>
          <w:rFonts w:cs="Times New Roman"/>
          <w:sz w:val="22"/>
        </w:rPr>
        <w:t xml:space="preserve">; adapted from </w:t>
      </w:r>
      <w:hyperlink r:id="rId9" w:history="1">
        <w:r w:rsidR="00F54063" w:rsidRPr="005A1CFA">
          <w:rPr>
            <w:rStyle w:val="Collegamentoipertestuale"/>
            <w:rFonts w:cs="Times New Roman"/>
            <w:sz w:val="22"/>
          </w:rPr>
          <w:t>https://www.ema.europa.eu/en/human-regulatory/post-authorisation/referral-procedures/article-53-opinions</w:t>
        </w:r>
      </w:hyperlink>
      <w:r w:rsidR="00F54063">
        <w:rPr>
          <w:rFonts w:cs="Times New Roman"/>
          <w:sz w:val="22"/>
        </w:rPr>
        <w:t>)</w:t>
      </w:r>
    </w:p>
    <w:p w:rsidR="008270DE" w:rsidRPr="007601B2" w:rsidRDefault="008270DE" w:rsidP="008270DE">
      <w:pPr>
        <w:tabs>
          <w:tab w:val="left" w:pos="0"/>
          <w:tab w:val="left" w:pos="142"/>
        </w:tabs>
        <w:spacing w:before="0" w:after="0"/>
        <w:rPr>
          <w:rFonts w:cs="Times New Roman"/>
          <w:sz w:val="22"/>
        </w:rPr>
      </w:pPr>
      <w:r w:rsidRPr="007601B2">
        <w:rPr>
          <w:rFonts w:eastAsia="Calibri" w:cs="Times New Roman"/>
          <w:sz w:val="22"/>
        </w:rPr>
        <w:t>.</w:t>
      </w:r>
    </w:p>
    <w:p w:rsidR="008270DE" w:rsidRPr="007601B2" w:rsidRDefault="008270DE" w:rsidP="008270DE">
      <w:pPr>
        <w:tabs>
          <w:tab w:val="left" w:pos="0"/>
          <w:tab w:val="left" w:pos="142"/>
        </w:tabs>
        <w:spacing w:before="0" w:after="0"/>
        <w:rPr>
          <w:rFonts w:eastAsia="Calibri" w:cs="Times New Roman"/>
          <w:sz w:val="22"/>
        </w:rPr>
      </w:pPr>
    </w:p>
    <w:tbl>
      <w:tblPr>
        <w:tblStyle w:val="Grigliatabella"/>
        <w:tblW w:w="13780" w:type="dxa"/>
        <w:jc w:val="center"/>
        <w:tblLook w:val="04A0"/>
      </w:tblPr>
      <w:tblGrid>
        <w:gridCol w:w="416"/>
        <w:gridCol w:w="2983"/>
        <w:gridCol w:w="898"/>
        <w:gridCol w:w="2847"/>
        <w:gridCol w:w="4103"/>
        <w:gridCol w:w="2533"/>
      </w:tblGrid>
      <w:tr w:rsidR="008270DE" w:rsidRPr="00144A7A" w:rsidTr="0000223F">
        <w:trPr>
          <w:trHeight w:val="3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/>
                <w:bCs/>
                <w:sz w:val="20"/>
                <w:szCs w:val="20"/>
              </w:rPr>
              <w:t>Opinion/Assessment report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/>
                <w:bCs/>
                <w:sz w:val="20"/>
                <w:szCs w:val="20"/>
              </w:rPr>
              <w:t>Applicant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/>
                <w:bCs/>
                <w:sz w:val="20"/>
                <w:szCs w:val="20"/>
              </w:rPr>
              <w:t>Type</w:t>
            </w:r>
          </w:p>
        </w:tc>
      </w:tr>
      <w:tr w:rsidR="008270DE" w:rsidRPr="00144A7A" w:rsidTr="0000223F">
        <w:trPr>
          <w:trHeight w:val="6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EMEA/CHMP/410051/2006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2006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France</w:t>
            </w:r>
          </w:p>
        </w:tc>
        <w:tc>
          <w:tcPr>
            <w:tcW w:w="4103" w:type="dxa"/>
            <w:vAlign w:val="center"/>
            <w:hideMark/>
          </w:tcPr>
          <w:p w:rsidR="008270DE" w:rsidRPr="007601B2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  <w:lang w:val="it-IT"/>
              </w:rPr>
            </w:pPr>
            <w:r w:rsidRPr="007601B2">
              <w:rPr>
                <w:rFonts w:eastAsia="Calibri" w:cs="Times New Roman"/>
                <w:sz w:val="20"/>
                <w:szCs w:val="20"/>
                <w:lang w:val="it-IT"/>
              </w:rPr>
              <w:t>Non-selective non-steroidal anti-inflammatory drugs (NSAIDs)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413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EMEA/498920/2006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2006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European </w:t>
            </w:r>
            <w:r w:rsidRPr="00144A7A">
              <w:rPr>
                <w:rFonts w:eastAsia="Calibri" w:cs="Times New Roman"/>
                <w:sz w:val="20"/>
                <w:szCs w:val="20"/>
              </w:rPr>
              <w:t>Commission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/*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Guidelines</w:t>
            </w:r>
          </w:p>
        </w:tc>
      </w:tr>
      <w:tr w:rsidR="008270DE" w:rsidRPr="00144A7A" w:rsidTr="0000223F">
        <w:trPr>
          <w:trHeight w:val="365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EMEA/CHMP/SWP/146166/2007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2007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European </w:t>
            </w:r>
            <w:r w:rsidRPr="00144A7A">
              <w:rPr>
                <w:rFonts w:eastAsia="Calibri" w:cs="Times New Roman"/>
                <w:sz w:val="20"/>
                <w:szCs w:val="20"/>
              </w:rPr>
              <w:t>Commission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/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459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EMEA/CHMP/271967/2008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2008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Germany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Heparins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56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EMEA/CHMP/266022/2008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2008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European </w:t>
            </w:r>
            <w:r w:rsidRPr="00144A7A">
              <w:rPr>
                <w:rFonts w:eastAsia="Calibri" w:cs="Times New Roman"/>
                <w:sz w:val="20"/>
                <w:szCs w:val="20"/>
              </w:rPr>
              <w:t>Commission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Antidepressants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3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EMEA/CHMP/590563/2008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2008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United Kingdom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Antipsychotics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375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EMEA/CHMP/278838/2009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2009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Oseltamivir and zanamivir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Risk-benefit profile</w:t>
            </w:r>
          </w:p>
        </w:tc>
      </w:tr>
      <w:tr w:rsidR="008270DE" w:rsidRPr="00144A7A" w:rsidTr="0000223F">
        <w:trPr>
          <w:trHeight w:val="271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EMEA/CHMP/292474/2009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2009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Denmark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Bisphosphonates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3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EMA/833156/2010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2010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United Kingdom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Peritoneal dialysis solutions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545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EMA/CHMP/267815/2011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2011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Executive Director of the EMA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Live attenuated viral vaccines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567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EMA/416998/2011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2011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European Commission°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Celecoxib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Risk-benefit profile</w:t>
            </w:r>
          </w:p>
        </w:tc>
      </w:tr>
      <w:tr w:rsidR="008270DE" w:rsidRPr="00144A7A" w:rsidTr="0000223F">
        <w:trPr>
          <w:trHeight w:val="547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EMA/474456/2011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2011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Germany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Diphtheria and Tetanus toxoid (DT) and Diphtheria/Tetanus toxoid/Pertussis (DTwP) antigen bulks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6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EMA/CHMP/893625/2011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2011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Italian Medicines Agency (AIFA)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Angiotensin II (type-1) receptor antagonists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548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EMA/227191/2012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2012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French Medicines Agency (Afssaps)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Anti-tuberculosis medicinal products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Risk-benefit profile</w:t>
            </w:r>
          </w:p>
        </w:tc>
      </w:tr>
      <w:tr w:rsidR="008270DE" w:rsidRPr="00144A7A" w:rsidTr="0000223F">
        <w:trPr>
          <w:trHeight w:val="6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EMA/696137/2012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2012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Medicines and Healthcare Regulatory Agency (MHRA)</w:t>
            </w:r>
          </w:p>
        </w:tc>
        <w:tc>
          <w:tcPr>
            <w:tcW w:w="4103" w:type="dxa"/>
            <w:vAlign w:val="center"/>
            <w:hideMark/>
          </w:tcPr>
          <w:p w:rsidR="008270DE" w:rsidRPr="007601B2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  <w:lang w:val="it-IT"/>
              </w:rPr>
            </w:pPr>
            <w:r w:rsidRPr="007601B2">
              <w:rPr>
                <w:rFonts w:eastAsia="Calibri" w:cs="Times New Roman"/>
                <w:sz w:val="20"/>
                <w:szCs w:val="20"/>
                <w:lang w:val="it-IT"/>
              </w:rPr>
              <w:t>Non-Steroidal Anti-Inflammatory</w:t>
            </w:r>
            <w:r w:rsidRPr="007601B2">
              <w:rPr>
                <w:rFonts w:eastAsia="Calibri" w:cs="Times New Roman"/>
                <w:sz w:val="20"/>
                <w:szCs w:val="20"/>
                <w:lang w:val="it-IT"/>
              </w:rPr>
              <w:br/>
              <w:t>Drugs (NSAIDs)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6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EMA/687578/2012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2012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Executive Director of the EMA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Pandemic vaccines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629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EMA/741250/2012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2012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Executive Director of the EMA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Protamine sulphate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Quality/Product supply</w:t>
            </w:r>
          </w:p>
        </w:tc>
      </w:tr>
      <w:tr w:rsidR="008270DE" w:rsidRPr="00144A7A" w:rsidTr="0000223F">
        <w:trPr>
          <w:trHeight w:val="664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EMA/227216/2012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2012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Paul-Ehrlich-Institut (PEI)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Human normal immunoglobulin for intravenous administration (IVIg)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Quality/risk-benefit profile</w:t>
            </w:r>
          </w:p>
        </w:tc>
      </w:tr>
      <w:tr w:rsidR="008270DE" w:rsidRPr="00144A7A" w:rsidTr="0000223F">
        <w:trPr>
          <w:trHeight w:val="397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EMA/194668/2013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2013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France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Teicoplanin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Therapeutic equivalence</w:t>
            </w:r>
          </w:p>
        </w:tc>
      </w:tr>
      <w:tr w:rsidR="008270DE" w:rsidRPr="00144A7A" w:rsidTr="0000223F">
        <w:trPr>
          <w:trHeight w:val="3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EMA/474117/2013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2013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/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GLP-1 agonists and DPP-4 inhibitors products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489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EMA/175205/2014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2014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European Medicines Agency (EMA)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Formulations containing propylene glycol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567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EMA/CHMP/153652/2015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2015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Executive Director of the EMA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Polymyxin-based products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Quality/risk-benefit profile</w:t>
            </w:r>
          </w:p>
        </w:tc>
      </w:tr>
      <w:tr w:rsidR="008270DE" w:rsidRPr="00144A7A" w:rsidTr="0000223F">
        <w:trPr>
          <w:trHeight w:val="6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EMA/204393/2016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2016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European Medicines Agency (EMA)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Medicinal products under development for the treatment of Ebola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Quality/risk-benefit profile</w:t>
            </w:r>
          </w:p>
        </w:tc>
      </w:tr>
      <w:tr w:rsidR="008270DE" w:rsidRPr="00144A7A" w:rsidTr="0000223F">
        <w:trPr>
          <w:trHeight w:val="548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EMA/421768/2017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2017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German national competent authority (BfArM)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Desloratadine-containing medicinal products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Prescription status</w:t>
            </w:r>
          </w:p>
        </w:tc>
      </w:tr>
      <w:tr w:rsidR="008270DE" w:rsidRPr="00144A7A" w:rsidTr="0000223F">
        <w:trPr>
          <w:trHeight w:val="6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EMA/805330/2018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2018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Executive Director of the EMA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Gentamicin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9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EMA/245512/2019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2019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Medicines and Healthcare Regulatory Agency (MHRA)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Norethisterone and ethinylestradiol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72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EMA/194375/2020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2020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Executive Director of the EMA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Direct oral anticoagulants (DOACs)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Risk-benefit profile</w:t>
            </w:r>
          </w:p>
        </w:tc>
      </w:tr>
      <w:tr w:rsidR="008270DE" w:rsidRPr="00144A7A" w:rsidTr="0000223F">
        <w:trPr>
          <w:trHeight w:val="6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EMA/369136/2020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2020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Executive Director of the EMA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Nitrosamine impurities in human medicinal products</w:t>
            </w:r>
          </w:p>
        </w:tc>
        <w:tc>
          <w:tcPr>
            <w:tcW w:w="253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Safety concern</w:t>
            </w:r>
          </w:p>
        </w:tc>
      </w:tr>
      <w:tr w:rsidR="008270DE" w:rsidRPr="00144A7A" w:rsidTr="0000223F">
        <w:trPr>
          <w:trHeight w:val="600"/>
          <w:jc w:val="center"/>
        </w:trPr>
        <w:tc>
          <w:tcPr>
            <w:tcW w:w="416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44A7A">
              <w:rPr>
                <w:rFonts w:eastAsia="Calibri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983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EMA/483739/2020</w:t>
            </w:r>
          </w:p>
        </w:tc>
        <w:tc>
          <w:tcPr>
            <w:tcW w:w="898" w:type="dxa"/>
            <w:noWrap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2020</w:t>
            </w:r>
          </w:p>
        </w:tc>
        <w:tc>
          <w:tcPr>
            <w:tcW w:w="2847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Executive Director of the EMA</w:t>
            </w:r>
          </w:p>
        </w:tc>
        <w:tc>
          <w:tcPr>
            <w:tcW w:w="410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Dexamethasone</w:t>
            </w:r>
          </w:p>
        </w:tc>
        <w:tc>
          <w:tcPr>
            <w:tcW w:w="2533" w:type="dxa"/>
            <w:vAlign w:val="center"/>
            <w:hideMark/>
          </w:tcPr>
          <w:p w:rsidR="008270DE" w:rsidRPr="00144A7A" w:rsidRDefault="008270DE" w:rsidP="0000223F">
            <w:pPr>
              <w:tabs>
                <w:tab w:val="left" w:pos="0"/>
                <w:tab w:val="left" w:pos="142"/>
              </w:tabs>
              <w:spacing w:before="0"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44A7A">
              <w:rPr>
                <w:rFonts w:eastAsia="Calibri" w:cs="Times New Roman"/>
                <w:sz w:val="20"/>
                <w:szCs w:val="20"/>
              </w:rPr>
              <w:t>Risk-benefit profile</w:t>
            </w:r>
          </w:p>
        </w:tc>
      </w:tr>
    </w:tbl>
    <w:p w:rsidR="008270DE" w:rsidRPr="006903F1" w:rsidRDefault="008270DE" w:rsidP="008270DE">
      <w:pPr>
        <w:tabs>
          <w:tab w:val="left" w:pos="0"/>
          <w:tab w:val="left" w:pos="142"/>
        </w:tabs>
        <w:spacing w:before="0" w:after="0"/>
        <w:rPr>
          <w:rFonts w:eastAsia="Calibri" w:cs="Times New Roman"/>
          <w:b/>
          <w:sz w:val="22"/>
          <w:lang w:val="it-IT"/>
        </w:rPr>
      </w:pPr>
    </w:p>
    <w:p w:rsidR="008270DE" w:rsidRDefault="008270DE" w:rsidP="008270DE">
      <w:pPr>
        <w:spacing w:before="0" w:after="200" w:line="276" w:lineRule="auto"/>
        <w:rPr>
          <w:rFonts w:eastAsia="Calibri" w:cs="Times New Roman"/>
          <w:color w:val="000000"/>
          <w:sz w:val="22"/>
          <w:lang w:val="it-IT"/>
        </w:rPr>
      </w:pPr>
    </w:p>
    <w:p w:rsidR="004F2682" w:rsidRPr="008270DE" w:rsidRDefault="004F2682" w:rsidP="008270DE">
      <w:pPr>
        <w:spacing w:before="0" w:after="200" w:line="276" w:lineRule="auto"/>
        <w:rPr>
          <w:rFonts w:eastAsia="Calibri" w:cs="Times New Roman"/>
          <w:b/>
          <w:sz w:val="22"/>
          <w:lang w:val="it-IT"/>
        </w:rPr>
      </w:pPr>
    </w:p>
    <w:sectPr w:rsidR="004F2682" w:rsidRPr="008270DE" w:rsidSect="00770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282" w:right="1138" w:bottom="1181" w:left="1138" w:header="283" w:footer="51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BA4" w:rsidRDefault="00741BA4" w:rsidP="00117666">
      <w:pPr>
        <w:spacing w:after="0"/>
      </w:pPr>
      <w:r>
        <w:separator/>
      </w:r>
    </w:p>
  </w:endnote>
  <w:endnote w:type="continuationSeparator" w:id="1">
    <w:p w:rsidR="00741BA4" w:rsidRDefault="00741BA4" w:rsidP="001176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9F" w:rsidRPr="00577C4C" w:rsidRDefault="00EA1726">
    <w:pPr>
      <w:pStyle w:val="Pidipagina"/>
      <w:rPr>
        <w:color w:val="C00000"/>
        <w:szCs w:val="24"/>
      </w:rPr>
    </w:pPr>
    <w:r w:rsidRPr="00EA1726">
      <w:rPr>
        <w:noProof/>
        <w:color w:val="C00000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9" type="#_x0000_t202" style="position:absolute;margin-left:-8.45pt;margin-top:-4.5pt;width:289.15pt;height:39.7pt;z-index:251683840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" stroked="f">
          <v:textbox style="mso-fit-shape-to-text:t">
            <w:txbxContent>
              <w:p w:rsidR="005D569F" w:rsidRPr="00E9561B" w:rsidRDefault="005D569F">
                <w:pPr>
                  <w:rPr>
                    <w:color w:val="C00000"/>
                  </w:rPr>
                </w:pPr>
                <w:r w:rsidRPr="00E9561B">
                  <w:rPr>
                    <w:color w:val="C00000"/>
                  </w:rPr>
                  <w:t>This is a provisional file, not the final typeset article</w:t>
                </w:r>
              </w:p>
            </w:txbxContent>
          </v:textbox>
        </v:shape>
      </w:pict>
    </w:r>
    <w:r w:rsidRPr="00EA1726">
      <w:rPr>
        <w:noProof/>
      </w:rPr>
      <w:pict>
        <v:shape id="Text Box 1" o:spid="_x0000_s4098" type="#_x0000_t202" style="position:absolute;margin-left:382.8pt;margin-top:0;width:118.8pt;height:26.35pt;z-index:251665408;visibility:visible;mso-position-horizontal:right;mso-position-horizontal-relative:margin;mso-position-vertical:top;mso-position-vertical-relative:bottom-margin-area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" filled="f" stroked="f" strokeweight=".5pt">
          <v:path arrowok="t"/>
          <v:textbox style="mso-fit-shape-to-text:t">
            <w:txbxContent>
              <w:p w:rsidR="005D569F" w:rsidRPr="00577C4C" w:rsidRDefault="00EA1726">
                <w:pPr>
                  <w:pStyle w:val="Pidipagina"/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="005D569F"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BF7DA2" w:rsidRPr="00BF7DA2">
                  <w:rPr>
                    <w:noProof/>
                    <w:color w:val="000000" w:themeColor="text1"/>
                    <w:sz w:val="22"/>
                    <w:szCs w:val="40"/>
                  </w:rPr>
                  <w:t>2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9F" w:rsidRPr="00577C4C" w:rsidRDefault="00EA1726">
    <w:pPr>
      <w:pStyle w:val="Pidipagina"/>
      <w:rPr>
        <w:b/>
        <w:sz w:val="20"/>
        <w:szCs w:val="24"/>
      </w:rPr>
    </w:pPr>
    <w:r w:rsidRPr="00EA172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4097" type="#_x0000_t202" style="position:absolute;margin-left:382.8pt;margin-top:0;width:118.8pt;height:26.35pt;z-index:251646976;visibility:visible;mso-position-horizontal:right;mso-position-horizontal-relative:margin;mso-position-vertical:top;mso-position-vertical-relative:bottom-margin-area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" filled="f" stroked="f" strokeweight=".5pt">
          <v:path arrowok="t"/>
          <v:textbox style="mso-fit-shape-to-text:t">
            <w:txbxContent>
              <w:p w:rsidR="005D569F" w:rsidRPr="00577C4C" w:rsidRDefault="00EA1726">
                <w:pPr>
                  <w:pStyle w:val="Pidipagina"/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="005D569F"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BF7DA2" w:rsidRPr="00BF7DA2">
                  <w:rPr>
                    <w:noProof/>
                    <w:color w:val="000000" w:themeColor="text1"/>
                    <w:sz w:val="22"/>
                    <w:szCs w:val="40"/>
                  </w:rPr>
                  <w:t>3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283230"/>
      <w:docPartObj>
        <w:docPartGallery w:val="Page Numbers (Bottom of Page)"/>
        <w:docPartUnique/>
      </w:docPartObj>
    </w:sdtPr>
    <w:sdtContent>
      <w:p w:rsidR="00BF7DA2" w:rsidRDefault="00BF7DA2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F7DA2" w:rsidRDefault="00BF7DA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BA4" w:rsidRDefault="00741BA4" w:rsidP="00117666">
      <w:pPr>
        <w:spacing w:after="0"/>
      </w:pPr>
      <w:r>
        <w:separator/>
      </w:r>
    </w:p>
  </w:footnote>
  <w:footnote w:type="continuationSeparator" w:id="1">
    <w:p w:rsidR="00741BA4" w:rsidRDefault="00741BA4" w:rsidP="0011766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9F" w:rsidRPr="007E3148" w:rsidRDefault="005D569F" w:rsidP="00A53000">
    <w:pPr>
      <w:pStyle w:val="Intestazione"/>
    </w:pPr>
    <w:r w:rsidRPr="007E3148">
      <w:ptab w:relativeTo="margin" w:alignment="center" w:leader="none"/>
    </w:r>
    <w:r w:rsidRPr="007E3148">
      <w:ptab w:relativeTo="margin" w:alignment="right" w:leader="none"/>
    </w:r>
    <w:r>
      <w:t xml:space="preserve">Regulatory challenges for COVID-19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9F" w:rsidRPr="00AC50F2" w:rsidRDefault="005D569F" w:rsidP="00AC50F2">
    <w:pPr>
      <w:pStyle w:val="Intestazione"/>
    </w:pPr>
    <w:r w:rsidRPr="007E3148">
      <w:ptab w:relativeTo="margin" w:alignment="center" w:leader="none"/>
    </w:r>
    <w:r w:rsidRPr="007E3148">
      <w:ptab w:relativeTo="margin" w:alignment="right" w:leader="none"/>
    </w:r>
    <w:r>
      <w:t xml:space="preserve">Regulatory challenges for COVID-19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9F" w:rsidRDefault="005D569F" w:rsidP="00A53000">
    <w:pPr>
      <w:pStyle w:val="Intestazione"/>
    </w:pPr>
    <w:r w:rsidRPr="005A1D84">
      <w:rPr>
        <w:noProof/>
        <w:color w:val="A6A6A6" w:themeColor="background1" w:themeShade="A6"/>
        <w:lang w:val="it-IT" w:eastAsia="it-IT"/>
      </w:rPr>
      <w:drawing>
        <wp:inline distT="0" distB="0" distL="0" distR="0">
          <wp:extent cx="1382534" cy="497091"/>
          <wp:effectExtent l="0" t="0" r="0" b="0"/>
          <wp:docPr id="45" name="Picture 45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B366F5"/>
    <w:multiLevelType w:val="hybridMultilevel"/>
    <w:tmpl w:val="2EDA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C0601A"/>
    <w:multiLevelType w:val="multilevel"/>
    <w:tmpl w:val="C6A8CCEA"/>
    <w:styleLink w:val="Headings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225305B5"/>
    <w:multiLevelType w:val="hybridMultilevel"/>
    <w:tmpl w:val="4F8C24FA"/>
    <w:lvl w:ilvl="0" w:tplc="A9DCD718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2A7CAC"/>
    <w:multiLevelType w:val="multilevel"/>
    <w:tmpl w:val="C6A8CCEA"/>
    <w:numStyleLink w:val="Headings"/>
  </w:abstractNum>
  <w:abstractNum w:abstractNumId="7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4723B"/>
    <w:multiLevelType w:val="hybridMultilevel"/>
    <w:tmpl w:val="1946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50A88"/>
    <w:multiLevelType w:val="multilevel"/>
    <w:tmpl w:val="C6A8CCEA"/>
    <w:numStyleLink w:val="Headings"/>
  </w:abstractNum>
  <w:abstractNum w:abstractNumId="15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87B5C"/>
    <w:multiLevelType w:val="hybridMultilevel"/>
    <w:tmpl w:val="7B5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0E5C96"/>
    <w:multiLevelType w:val="hybridMultilevel"/>
    <w:tmpl w:val="3B88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C6F29"/>
    <w:multiLevelType w:val="multilevel"/>
    <w:tmpl w:val="C6A8CCEA"/>
    <w:numStyleLink w:val="Headings"/>
  </w:abstractNum>
  <w:abstractNum w:abstractNumId="22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22"/>
  </w:num>
  <w:num w:numId="13">
    <w:abstractNumId w:val="15"/>
  </w:num>
  <w:num w:numId="14">
    <w:abstractNumId w:val="5"/>
  </w:num>
  <w:num w:numId="15">
    <w:abstractNumId w:val="13"/>
  </w:num>
  <w:num w:numId="16">
    <w:abstractNumId w:val="18"/>
  </w:num>
  <w:num w:numId="17">
    <w:abstractNumId w:val="4"/>
    <w:lvlOverride w:ilvl="0">
      <w:lvl w:ilvl="0">
        <w:start w:val="1"/>
        <w:numFmt w:val="decimal"/>
        <w:pStyle w:val="Titolo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Titolo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itolo3"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itolo4"/>
        <w:lvlText w:val="%1.%2.%3.%4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pStyle w:val="Titolo5"/>
        <w:lvlText w:val="%1.%2.%3.%4.%5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1"/>
  </w:num>
  <w:num w:numId="21">
    <w:abstractNumId w:val="4"/>
  </w:num>
  <w:num w:numId="22">
    <w:abstractNumId w:val="4"/>
    <w:lvlOverride w:ilvl="0">
      <w:startOverride w:val="1"/>
      <w:lvl w:ilvl="0">
        <w:start w:val="1"/>
        <w:numFmt w:val="decimal"/>
        <w:pStyle w:val="Titolo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Titolo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Titolo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Titolo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Titolo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17"/>
  </w:num>
  <w:num w:numId="24">
    <w:abstractNumId w:val="20"/>
  </w:num>
  <w:num w:numId="25">
    <w:abstractNumId w:val="14"/>
  </w:num>
  <w:num w:numId="26">
    <w:abstractNumId w:val="1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283"/>
  <w:evenAndOddHeaders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Science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dpwzswc0wtf4e95vs5at9es5zdteaept0d&quot;&gt;My EndNote Library&lt;record-ids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7&lt;/item&gt;&lt;item&gt;139&lt;/item&gt;&lt;item&gt;142&lt;/item&gt;&lt;item&gt;151&lt;/item&gt;&lt;item&gt;152&lt;/item&gt;&lt;item&gt;155&lt;/item&gt;&lt;/record-ids&gt;&lt;/item&gt;&lt;/Libraries&gt;"/>
  </w:docVars>
  <w:rsids>
    <w:rsidRoot w:val="00681821"/>
    <w:rsid w:val="00006014"/>
    <w:rsid w:val="0001467E"/>
    <w:rsid w:val="000172CC"/>
    <w:rsid w:val="00020205"/>
    <w:rsid w:val="00034304"/>
    <w:rsid w:val="00035434"/>
    <w:rsid w:val="00040159"/>
    <w:rsid w:val="00042C75"/>
    <w:rsid w:val="00045678"/>
    <w:rsid w:val="000458E4"/>
    <w:rsid w:val="0006002A"/>
    <w:rsid w:val="00060DF4"/>
    <w:rsid w:val="00063D84"/>
    <w:rsid w:val="00065640"/>
    <w:rsid w:val="0006636D"/>
    <w:rsid w:val="0006724C"/>
    <w:rsid w:val="00077D53"/>
    <w:rsid w:val="000802B3"/>
    <w:rsid w:val="00081394"/>
    <w:rsid w:val="00082276"/>
    <w:rsid w:val="00082827"/>
    <w:rsid w:val="00086574"/>
    <w:rsid w:val="000B22ED"/>
    <w:rsid w:val="000B34BD"/>
    <w:rsid w:val="000C7E2A"/>
    <w:rsid w:val="000D024D"/>
    <w:rsid w:val="000D2AE8"/>
    <w:rsid w:val="000E65AE"/>
    <w:rsid w:val="000F2177"/>
    <w:rsid w:val="000F4CFB"/>
    <w:rsid w:val="00101839"/>
    <w:rsid w:val="00102250"/>
    <w:rsid w:val="001040BD"/>
    <w:rsid w:val="00105DA0"/>
    <w:rsid w:val="00111A13"/>
    <w:rsid w:val="001130CA"/>
    <w:rsid w:val="00117666"/>
    <w:rsid w:val="001223A7"/>
    <w:rsid w:val="001310FC"/>
    <w:rsid w:val="00134256"/>
    <w:rsid w:val="00134C0F"/>
    <w:rsid w:val="00137D23"/>
    <w:rsid w:val="00143704"/>
    <w:rsid w:val="001448EA"/>
    <w:rsid w:val="00145D4D"/>
    <w:rsid w:val="00147395"/>
    <w:rsid w:val="001552C9"/>
    <w:rsid w:val="00155B01"/>
    <w:rsid w:val="00155FD1"/>
    <w:rsid w:val="0015663C"/>
    <w:rsid w:val="001573FE"/>
    <w:rsid w:val="001660B2"/>
    <w:rsid w:val="00172F41"/>
    <w:rsid w:val="00177D84"/>
    <w:rsid w:val="00184BC3"/>
    <w:rsid w:val="00186EC6"/>
    <w:rsid w:val="00187652"/>
    <w:rsid w:val="00192929"/>
    <w:rsid w:val="0019462F"/>
    <w:rsid w:val="001964EF"/>
    <w:rsid w:val="001971CB"/>
    <w:rsid w:val="001B11E4"/>
    <w:rsid w:val="001B1A2C"/>
    <w:rsid w:val="001B207B"/>
    <w:rsid w:val="001C534C"/>
    <w:rsid w:val="001D0C63"/>
    <w:rsid w:val="001D3BD2"/>
    <w:rsid w:val="001D48A5"/>
    <w:rsid w:val="001D5C23"/>
    <w:rsid w:val="001F4C07"/>
    <w:rsid w:val="001F54A6"/>
    <w:rsid w:val="001F5A5E"/>
    <w:rsid w:val="00200FDD"/>
    <w:rsid w:val="00204004"/>
    <w:rsid w:val="00204547"/>
    <w:rsid w:val="0021608C"/>
    <w:rsid w:val="00220AEA"/>
    <w:rsid w:val="00226954"/>
    <w:rsid w:val="00227098"/>
    <w:rsid w:val="002302CB"/>
    <w:rsid w:val="002311A0"/>
    <w:rsid w:val="002332C7"/>
    <w:rsid w:val="002369A4"/>
    <w:rsid w:val="00242D9B"/>
    <w:rsid w:val="00243C71"/>
    <w:rsid w:val="00247163"/>
    <w:rsid w:val="00247F93"/>
    <w:rsid w:val="00253A0D"/>
    <w:rsid w:val="0025748D"/>
    <w:rsid w:val="002629A3"/>
    <w:rsid w:val="0026315C"/>
    <w:rsid w:val="00264292"/>
    <w:rsid w:val="002642CE"/>
    <w:rsid w:val="00265660"/>
    <w:rsid w:val="00267D18"/>
    <w:rsid w:val="00274919"/>
    <w:rsid w:val="00280961"/>
    <w:rsid w:val="002836E2"/>
    <w:rsid w:val="00284361"/>
    <w:rsid w:val="002868E2"/>
    <w:rsid w:val="002869C3"/>
    <w:rsid w:val="002936E4"/>
    <w:rsid w:val="00296B88"/>
    <w:rsid w:val="002A1876"/>
    <w:rsid w:val="002C1D24"/>
    <w:rsid w:val="002C4ADC"/>
    <w:rsid w:val="002C71B4"/>
    <w:rsid w:val="002C74CA"/>
    <w:rsid w:val="002D014A"/>
    <w:rsid w:val="002E691B"/>
    <w:rsid w:val="002F3226"/>
    <w:rsid w:val="002F50A2"/>
    <w:rsid w:val="002F744D"/>
    <w:rsid w:val="00302222"/>
    <w:rsid w:val="00302D41"/>
    <w:rsid w:val="003036FD"/>
    <w:rsid w:val="00303DE6"/>
    <w:rsid w:val="00305278"/>
    <w:rsid w:val="00310124"/>
    <w:rsid w:val="00311A4A"/>
    <w:rsid w:val="00313663"/>
    <w:rsid w:val="0031415C"/>
    <w:rsid w:val="00316FE9"/>
    <w:rsid w:val="0033550A"/>
    <w:rsid w:val="00335737"/>
    <w:rsid w:val="0033753E"/>
    <w:rsid w:val="003427A8"/>
    <w:rsid w:val="00347915"/>
    <w:rsid w:val="00352306"/>
    <w:rsid w:val="003544FB"/>
    <w:rsid w:val="00357093"/>
    <w:rsid w:val="00357BE2"/>
    <w:rsid w:val="00361B1E"/>
    <w:rsid w:val="00365C6F"/>
    <w:rsid w:val="00365D63"/>
    <w:rsid w:val="0036793B"/>
    <w:rsid w:val="00372682"/>
    <w:rsid w:val="00376CC5"/>
    <w:rsid w:val="0037757C"/>
    <w:rsid w:val="00380992"/>
    <w:rsid w:val="0039693B"/>
    <w:rsid w:val="003A10A8"/>
    <w:rsid w:val="003B1294"/>
    <w:rsid w:val="003C0098"/>
    <w:rsid w:val="003C5C97"/>
    <w:rsid w:val="003D14A3"/>
    <w:rsid w:val="003D2F2D"/>
    <w:rsid w:val="003E21A0"/>
    <w:rsid w:val="003F3A6C"/>
    <w:rsid w:val="003F48C2"/>
    <w:rsid w:val="003F4C58"/>
    <w:rsid w:val="003F6081"/>
    <w:rsid w:val="00401590"/>
    <w:rsid w:val="00402ECC"/>
    <w:rsid w:val="00405A3B"/>
    <w:rsid w:val="00406F54"/>
    <w:rsid w:val="0041101A"/>
    <w:rsid w:val="0042147B"/>
    <w:rsid w:val="004224E6"/>
    <w:rsid w:val="00422C94"/>
    <w:rsid w:val="00427E3B"/>
    <w:rsid w:val="00430A94"/>
    <w:rsid w:val="00430C9F"/>
    <w:rsid w:val="004342D1"/>
    <w:rsid w:val="00436916"/>
    <w:rsid w:val="00450F43"/>
    <w:rsid w:val="00455128"/>
    <w:rsid w:val="00460631"/>
    <w:rsid w:val="004634E6"/>
    <w:rsid w:val="00463E3D"/>
    <w:rsid w:val="004645AE"/>
    <w:rsid w:val="0047725E"/>
    <w:rsid w:val="00497169"/>
    <w:rsid w:val="004A0060"/>
    <w:rsid w:val="004A0A5D"/>
    <w:rsid w:val="004A29FF"/>
    <w:rsid w:val="004A2B58"/>
    <w:rsid w:val="004A6D92"/>
    <w:rsid w:val="004B0A6A"/>
    <w:rsid w:val="004B3BAC"/>
    <w:rsid w:val="004B6C3A"/>
    <w:rsid w:val="004C78AD"/>
    <w:rsid w:val="004D3E33"/>
    <w:rsid w:val="004D43D5"/>
    <w:rsid w:val="004D4CCC"/>
    <w:rsid w:val="004D7E83"/>
    <w:rsid w:val="004E7A5C"/>
    <w:rsid w:val="004F19BE"/>
    <w:rsid w:val="004F2682"/>
    <w:rsid w:val="004F5C83"/>
    <w:rsid w:val="004F6045"/>
    <w:rsid w:val="004F76D0"/>
    <w:rsid w:val="00500D1A"/>
    <w:rsid w:val="00515C35"/>
    <w:rsid w:val="005250F2"/>
    <w:rsid w:val="00526129"/>
    <w:rsid w:val="005328A8"/>
    <w:rsid w:val="0053775E"/>
    <w:rsid w:val="00543DCF"/>
    <w:rsid w:val="005442EB"/>
    <w:rsid w:val="00561350"/>
    <w:rsid w:val="005726FD"/>
    <w:rsid w:val="005729B1"/>
    <w:rsid w:val="00573A03"/>
    <w:rsid w:val="00573ADA"/>
    <w:rsid w:val="00585589"/>
    <w:rsid w:val="00587B64"/>
    <w:rsid w:val="0059503F"/>
    <w:rsid w:val="005A1D84"/>
    <w:rsid w:val="005A70EA"/>
    <w:rsid w:val="005B0396"/>
    <w:rsid w:val="005B3C90"/>
    <w:rsid w:val="005B3F0B"/>
    <w:rsid w:val="005B43AB"/>
    <w:rsid w:val="005B47F1"/>
    <w:rsid w:val="005B7855"/>
    <w:rsid w:val="005B7AF0"/>
    <w:rsid w:val="005C1254"/>
    <w:rsid w:val="005C2ACF"/>
    <w:rsid w:val="005C3963"/>
    <w:rsid w:val="005C7373"/>
    <w:rsid w:val="005C7E26"/>
    <w:rsid w:val="005D105A"/>
    <w:rsid w:val="005D1840"/>
    <w:rsid w:val="005D24DB"/>
    <w:rsid w:val="005D26EA"/>
    <w:rsid w:val="005D35E4"/>
    <w:rsid w:val="005D3733"/>
    <w:rsid w:val="005D4076"/>
    <w:rsid w:val="005D569F"/>
    <w:rsid w:val="005D7643"/>
    <w:rsid w:val="005D7910"/>
    <w:rsid w:val="005F412C"/>
    <w:rsid w:val="005F4CC3"/>
    <w:rsid w:val="005F76ED"/>
    <w:rsid w:val="0060537A"/>
    <w:rsid w:val="006056AD"/>
    <w:rsid w:val="006119C4"/>
    <w:rsid w:val="006175B1"/>
    <w:rsid w:val="0062086B"/>
    <w:rsid w:val="0062154F"/>
    <w:rsid w:val="00624B3F"/>
    <w:rsid w:val="00626598"/>
    <w:rsid w:val="00631A8C"/>
    <w:rsid w:val="00637B3C"/>
    <w:rsid w:val="006505CD"/>
    <w:rsid w:val="00651CA2"/>
    <w:rsid w:val="00652172"/>
    <w:rsid w:val="00653D60"/>
    <w:rsid w:val="00655B07"/>
    <w:rsid w:val="00656CE6"/>
    <w:rsid w:val="00660D05"/>
    <w:rsid w:val="00662873"/>
    <w:rsid w:val="00667165"/>
    <w:rsid w:val="00671D9A"/>
    <w:rsid w:val="00673539"/>
    <w:rsid w:val="00673952"/>
    <w:rsid w:val="00674659"/>
    <w:rsid w:val="00681821"/>
    <w:rsid w:val="00686C9D"/>
    <w:rsid w:val="006903F1"/>
    <w:rsid w:val="006A02E6"/>
    <w:rsid w:val="006B2D5B"/>
    <w:rsid w:val="006B3F53"/>
    <w:rsid w:val="006B4219"/>
    <w:rsid w:val="006B5772"/>
    <w:rsid w:val="006B5F5F"/>
    <w:rsid w:val="006B7D14"/>
    <w:rsid w:val="006C72D1"/>
    <w:rsid w:val="006D0C57"/>
    <w:rsid w:val="006D2167"/>
    <w:rsid w:val="006D5B93"/>
    <w:rsid w:val="006D6C83"/>
    <w:rsid w:val="006E40F8"/>
    <w:rsid w:val="006E577E"/>
    <w:rsid w:val="006E6B16"/>
    <w:rsid w:val="006F3E46"/>
    <w:rsid w:val="006F56AF"/>
    <w:rsid w:val="007013C2"/>
    <w:rsid w:val="00703ADB"/>
    <w:rsid w:val="00706DAD"/>
    <w:rsid w:val="0071704F"/>
    <w:rsid w:val="00725A7D"/>
    <w:rsid w:val="00726FB7"/>
    <w:rsid w:val="0073085C"/>
    <w:rsid w:val="007336B3"/>
    <w:rsid w:val="00733784"/>
    <w:rsid w:val="00741BA4"/>
    <w:rsid w:val="0074336E"/>
    <w:rsid w:val="00745D9F"/>
    <w:rsid w:val="00746505"/>
    <w:rsid w:val="00752DB1"/>
    <w:rsid w:val="007601B2"/>
    <w:rsid w:val="00770D31"/>
    <w:rsid w:val="00774466"/>
    <w:rsid w:val="007755C1"/>
    <w:rsid w:val="007804FA"/>
    <w:rsid w:val="00782E62"/>
    <w:rsid w:val="00784433"/>
    <w:rsid w:val="00790BB3"/>
    <w:rsid w:val="00792043"/>
    <w:rsid w:val="00792DCA"/>
    <w:rsid w:val="007962F8"/>
    <w:rsid w:val="0079685A"/>
    <w:rsid w:val="00797EDD"/>
    <w:rsid w:val="007A0A17"/>
    <w:rsid w:val="007B0322"/>
    <w:rsid w:val="007B2389"/>
    <w:rsid w:val="007C02E5"/>
    <w:rsid w:val="007C0E3F"/>
    <w:rsid w:val="007C206C"/>
    <w:rsid w:val="007C5729"/>
    <w:rsid w:val="007D0860"/>
    <w:rsid w:val="007D1A78"/>
    <w:rsid w:val="007D1F6B"/>
    <w:rsid w:val="007D4F30"/>
    <w:rsid w:val="007E46C4"/>
    <w:rsid w:val="007F1A8E"/>
    <w:rsid w:val="007F1D68"/>
    <w:rsid w:val="007F2F27"/>
    <w:rsid w:val="007F5A91"/>
    <w:rsid w:val="008111E4"/>
    <w:rsid w:val="008126F1"/>
    <w:rsid w:val="0081301C"/>
    <w:rsid w:val="00817DD6"/>
    <w:rsid w:val="00824595"/>
    <w:rsid w:val="00824F26"/>
    <w:rsid w:val="008270DE"/>
    <w:rsid w:val="00831759"/>
    <w:rsid w:val="00834CA2"/>
    <w:rsid w:val="0084273F"/>
    <w:rsid w:val="008520F4"/>
    <w:rsid w:val="008629A9"/>
    <w:rsid w:val="00876191"/>
    <w:rsid w:val="00882103"/>
    <w:rsid w:val="0088513A"/>
    <w:rsid w:val="008878A4"/>
    <w:rsid w:val="00891E0F"/>
    <w:rsid w:val="0089358D"/>
    <w:rsid w:val="00893C19"/>
    <w:rsid w:val="00896D22"/>
    <w:rsid w:val="008B4810"/>
    <w:rsid w:val="008C1402"/>
    <w:rsid w:val="008C7B26"/>
    <w:rsid w:val="008D00A1"/>
    <w:rsid w:val="008D6C8D"/>
    <w:rsid w:val="008E2B54"/>
    <w:rsid w:val="008E4404"/>
    <w:rsid w:val="008E58C7"/>
    <w:rsid w:val="008F0589"/>
    <w:rsid w:val="008F475C"/>
    <w:rsid w:val="008F5021"/>
    <w:rsid w:val="008F5D17"/>
    <w:rsid w:val="00906214"/>
    <w:rsid w:val="00906634"/>
    <w:rsid w:val="00911D6D"/>
    <w:rsid w:val="009136BC"/>
    <w:rsid w:val="00913811"/>
    <w:rsid w:val="0092007A"/>
    <w:rsid w:val="00942FA7"/>
    <w:rsid w:val="00943573"/>
    <w:rsid w:val="00947E23"/>
    <w:rsid w:val="00950B34"/>
    <w:rsid w:val="0095397E"/>
    <w:rsid w:val="00957ACB"/>
    <w:rsid w:val="00960C6E"/>
    <w:rsid w:val="009668B3"/>
    <w:rsid w:val="00971B61"/>
    <w:rsid w:val="00972B24"/>
    <w:rsid w:val="00976B2A"/>
    <w:rsid w:val="00980C31"/>
    <w:rsid w:val="00981D41"/>
    <w:rsid w:val="00983D12"/>
    <w:rsid w:val="009846C5"/>
    <w:rsid w:val="00987F17"/>
    <w:rsid w:val="009955FF"/>
    <w:rsid w:val="009A1A4E"/>
    <w:rsid w:val="009B29CB"/>
    <w:rsid w:val="009C320E"/>
    <w:rsid w:val="009D0650"/>
    <w:rsid w:val="009D259D"/>
    <w:rsid w:val="009D672B"/>
    <w:rsid w:val="009F092B"/>
    <w:rsid w:val="009F48DE"/>
    <w:rsid w:val="00A035D0"/>
    <w:rsid w:val="00A04075"/>
    <w:rsid w:val="00A06710"/>
    <w:rsid w:val="00A13DA1"/>
    <w:rsid w:val="00A149E1"/>
    <w:rsid w:val="00A16D0E"/>
    <w:rsid w:val="00A17E79"/>
    <w:rsid w:val="00A2548F"/>
    <w:rsid w:val="00A320E6"/>
    <w:rsid w:val="00A50D9D"/>
    <w:rsid w:val="00A53000"/>
    <w:rsid w:val="00A545C6"/>
    <w:rsid w:val="00A56226"/>
    <w:rsid w:val="00A62C0C"/>
    <w:rsid w:val="00A652D0"/>
    <w:rsid w:val="00A75F87"/>
    <w:rsid w:val="00A77023"/>
    <w:rsid w:val="00A83A0F"/>
    <w:rsid w:val="00A95D8B"/>
    <w:rsid w:val="00A97609"/>
    <w:rsid w:val="00AB70DA"/>
    <w:rsid w:val="00AC0270"/>
    <w:rsid w:val="00AC3EA3"/>
    <w:rsid w:val="00AC50F2"/>
    <w:rsid w:val="00AC792D"/>
    <w:rsid w:val="00AD1C54"/>
    <w:rsid w:val="00AD6B8F"/>
    <w:rsid w:val="00AD73E7"/>
    <w:rsid w:val="00AE2C7D"/>
    <w:rsid w:val="00AE4034"/>
    <w:rsid w:val="00AF39A4"/>
    <w:rsid w:val="00AF4A83"/>
    <w:rsid w:val="00AF5539"/>
    <w:rsid w:val="00AF64DF"/>
    <w:rsid w:val="00AF65E2"/>
    <w:rsid w:val="00B02497"/>
    <w:rsid w:val="00B0721E"/>
    <w:rsid w:val="00B207F6"/>
    <w:rsid w:val="00B233C3"/>
    <w:rsid w:val="00B26C4D"/>
    <w:rsid w:val="00B27B77"/>
    <w:rsid w:val="00B50244"/>
    <w:rsid w:val="00B5172B"/>
    <w:rsid w:val="00B531DF"/>
    <w:rsid w:val="00B63139"/>
    <w:rsid w:val="00B6417A"/>
    <w:rsid w:val="00B64583"/>
    <w:rsid w:val="00B65460"/>
    <w:rsid w:val="00B657B8"/>
    <w:rsid w:val="00B740D2"/>
    <w:rsid w:val="00B74C1D"/>
    <w:rsid w:val="00B84920"/>
    <w:rsid w:val="00B85410"/>
    <w:rsid w:val="00B8556A"/>
    <w:rsid w:val="00B90643"/>
    <w:rsid w:val="00B939B9"/>
    <w:rsid w:val="00B93BE4"/>
    <w:rsid w:val="00BA30FE"/>
    <w:rsid w:val="00BA434D"/>
    <w:rsid w:val="00BB5D3E"/>
    <w:rsid w:val="00BC067D"/>
    <w:rsid w:val="00BE44E4"/>
    <w:rsid w:val="00BE6155"/>
    <w:rsid w:val="00BE76A3"/>
    <w:rsid w:val="00BF4371"/>
    <w:rsid w:val="00BF56D8"/>
    <w:rsid w:val="00BF7DA2"/>
    <w:rsid w:val="00C012A3"/>
    <w:rsid w:val="00C02C8A"/>
    <w:rsid w:val="00C054BC"/>
    <w:rsid w:val="00C131F8"/>
    <w:rsid w:val="00C16C1D"/>
    <w:rsid w:val="00C16F19"/>
    <w:rsid w:val="00C254C9"/>
    <w:rsid w:val="00C33CFB"/>
    <w:rsid w:val="00C343C4"/>
    <w:rsid w:val="00C354DF"/>
    <w:rsid w:val="00C431ED"/>
    <w:rsid w:val="00C439DF"/>
    <w:rsid w:val="00C44CA4"/>
    <w:rsid w:val="00C4548C"/>
    <w:rsid w:val="00C474B0"/>
    <w:rsid w:val="00C52160"/>
    <w:rsid w:val="00C52A7B"/>
    <w:rsid w:val="00C62AE0"/>
    <w:rsid w:val="00C6324C"/>
    <w:rsid w:val="00C655C4"/>
    <w:rsid w:val="00C679AA"/>
    <w:rsid w:val="00C724CF"/>
    <w:rsid w:val="00C75972"/>
    <w:rsid w:val="00C82792"/>
    <w:rsid w:val="00C86DCF"/>
    <w:rsid w:val="00C90B14"/>
    <w:rsid w:val="00C948FD"/>
    <w:rsid w:val="00CA0A27"/>
    <w:rsid w:val="00CA1660"/>
    <w:rsid w:val="00CA7262"/>
    <w:rsid w:val="00CB3E08"/>
    <w:rsid w:val="00CB43D5"/>
    <w:rsid w:val="00CB57A5"/>
    <w:rsid w:val="00CC08FC"/>
    <w:rsid w:val="00CC2232"/>
    <w:rsid w:val="00CC76F9"/>
    <w:rsid w:val="00CD066B"/>
    <w:rsid w:val="00CD4320"/>
    <w:rsid w:val="00CD46E2"/>
    <w:rsid w:val="00CD7E24"/>
    <w:rsid w:val="00CE5E44"/>
    <w:rsid w:val="00D00847"/>
    <w:rsid w:val="00D00D0B"/>
    <w:rsid w:val="00D02FCA"/>
    <w:rsid w:val="00D04B69"/>
    <w:rsid w:val="00D060C0"/>
    <w:rsid w:val="00D16098"/>
    <w:rsid w:val="00D17980"/>
    <w:rsid w:val="00D21C13"/>
    <w:rsid w:val="00D26A8A"/>
    <w:rsid w:val="00D26B2A"/>
    <w:rsid w:val="00D272D7"/>
    <w:rsid w:val="00D337D4"/>
    <w:rsid w:val="00D51E8D"/>
    <w:rsid w:val="00D537FA"/>
    <w:rsid w:val="00D5547D"/>
    <w:rsid w:val="00D73300"/>
    <w:rsid w:val="00D80D99"/>
    <w:rsid w:val="00D81738"/>
    <w:rsid w:val="00D873AF"/>
    <w:rsid w:val="00D92A4F"/>
    <w:rsid w:val="00D9503C"/>
    <w:rsid w:val="00DA081E"/>
    <w:rsid w:val="00DA7F79"/>
    <w:rsid w:val="00DB3D78"/>
    <w:rsid w:val="00DB3E57"/>
    <w:rsid w:val="00DB4E73"/>
    <w:rsid w:val="00DB74BC"/>
    <w:rsid w:val="00DC0A8A"/>
    <w:rsid w:val="00DD27B5"/>
    <w:rsid w:val="00DD3B9D"/>
    <w:rsid w:val="00DD73EF"/>
    <w:rsid w:val="00DE23E8"/>
    <w:rsid w:val="00DE38D7"/>
    <w:rsid w:val="00DF56CB"/>
    <w:rsid w:val="00E0128B"/>
    <w:rsid w:val="00E01BF0"/>
    <w:rsid w:val="00E028A5"/>
    <w:rsid w:val="00E03FBA"/>
    <w:rsid w:val="00E10391"/>
    <w:rsid w:val="00E144A1"/>
    <w:rsid w:val="00E210B4"/>
    <w:rsid w:val="00E23703"/>
    <w:rsid w:val="00E40120"/>
    <w:rsid w:val="00E403DA"/>
    <w:rsid w:val="00E46915"/>
    <w:rsid w:val="00E64E17"/>
    <w:rsid w:val="00E67083"/>
    <w:rsid w:val="00E75FE3"/>
    <w:rsid w:val="00E81999"/>
    <w:rsid w:val="00E82579"/>
    <w:rsid w:val="00E82D68"/>
    <w:rsid w:val="00E906D8"/>
    <w:rsid w:val="00E96858"/>
    <w:rsid w:val="00EA1726"/>
    <w:rsid w:val="00EA35B8"/>
    <w:rsid w:val="00EA3D3C"/>
    <w:rsid w:val="00EA48CA"/>
    <w:rsid w:val="00EA7CD9"/>
    <w:rsid w:val="00EB20C0"/>
    <w:rsid w:val="00EB4FC3"/>
    <w:rsid w:val="00EC5FC8"/>
    <w:rsid w:val="00EC6585"/>
    <w:rsid w:val="00EC7CC3"/>
    <w:rsid w:val="00ED08A6"/>
    <w:rsid w:val="00ED0FCB"/>
    <w:rsid w:val="00ED30C2"/>
    <w:rsid w:val="00ED3FFC"/>
    <w:rsid w:val="00F03425"/>
    <w:rsid w:val="00F052F9"/>
    <w:rsid w:val="00F05CD2"/>
    <w:rsid w:val="00F27CBC"/>
    <w:rsid w:val="00F3236F"/>
    <w:rsid w:val="00F3340A"/>
    <w:rsid w:val="00F40A29"/>
    <w:rsid w:val="00F42B29"/>
    <w:rsid w:val="00F4567A"/>
    <w:rsid w:val="00F45BD0"/>
    <w:rsid w:val="00F46494"/>
    <w:rsid w:val="00F47A38"/>
    <w:rsid w:val="00F54063"/>
    <w:rsid w:val="00F558AB"/>
    <w:rsid w:val="00F57F0A"/>
    <w:rsid w:val="00F61D89"/>
    <w:rsid w:val="00F63FD4"/>
    <w:rsid w:val="00F64621"/>
    <w:rsid w:val="00F72979"/>
    <w:rsid w:val="00F72F11"/>
    <w:rsid w:val="00F77433"/>
    <w:rsid w:val="00F822A4"/>
    <w:rsid w:val="00F86ABB"/>
    <w:rsid w:val="00F91CCC"/>
    <w:rsid w:val="00F971FA"/>
    <w:rsid w:val="00FA499A"/>
    <w:rsid w:val="00FC0629"/>
    <w:rsid w:val="00FC1029"/>
    <w:rsid w:val="00FD4DB9"/>
    <w:rsid w:val="00FD7648"/>
    <w:rsid w:val="00FE5638"/>
    <w:rsid w:val="00FE6108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Paragrafoelenco"/>
    <w:next w:val="Normale"/>
    <w:link w:val="Titolo1Carattere"/>
    <w:uiPriority w:val="2"/>
    <w:qFormat/>
    <w:rsid w:val="00D80D99"/>
    <w:pPr>
      <w:numPr>
        <w:numId w:val="25"/>
      </w:numPr>
      <w:spacing w:before="240"/>
      <w:contextualSpacing w:val="0"/>
      <w:outlineLvl w:val="0"/>
    </w:pPr>
    <w:rPr>
      <w:b/>
    </w:rPr>
  </w:style>
  <w:style w:type="paragraph" w:styleId="Titolo2">
    <w:name w:val="heading 2"/>
    <w:basedOn w:val="Titolo1"/>
    <w:next w:val="Normale"/>
    <w:link w:val="Titolo2Carattere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Titolo3">
    <w:name w:val="heading 3"/>
    <w:basedOn w:val="Normale"/>
    <w:next w:val="Normale"/>
    <w:link w:val="Titolo3Carattere"/>
    <w:uiPriority w:val="2"/>
    <w:qFormat/>
    <w:rsid w:val="00D80D99"/>
    <w:pPr>
      <w:keepNext/>
      <w:keepLines/>
      <w:numPr>
        <w:ilvl w:val="2"/>
        <w:numId w:val="25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itolo4">
    <w:name w:val="heading 4"/>
    <w:basedOn w:val="Titolo3"/>
    <w:next w:val="Normale"/>
    <w:link w:val="Titolo4Carattere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Titolo5">
    <w:name w:val="heading 5"/>
    <w:basedOn w:val="Titolo4"/>
    <w:next w:val="Normale"/>
    <w:link w:val="Titolo5Carattere"/>
    <w:uiPriority w:val="2"/>
    <w:qFormat/>
    <w:rsid w:val="00D80D99"/>
    <w:pPr>
      <w:numPr>
        <w:ilvl w:val="4"/>
      </w:numPr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724CF"/>
    <w:rPr>
      <w:rFonts w:ascii="Times New Roman" w:hAnsi="Times New Roman"/>
      <w:i/>
      <w:iCs/>
    </w:rPr>
  </w:style>
  <w:style w:type="paragraph" w:styleId="Paragrafoelenco">
    <w:name w:val="List Paragraph"/>
    <w:basedOn w:val="Normale"/>
    <w:uiPriority w:val="3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C724CF"/>
    <w:rPr>
      <w:rFonts w:ascii="Times New Roman" w:hAnsi="Times New Roman"/>
      <w:b/>
      <w:bCs/>
    </w:rPr>
  </w:style>
  <w:style w:type="paragraph" w:styleId="NormaleWeb">
    <w:name w:val="Normal (Web)"/>
    <w:basedOn w:val="Normale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000"/>
    <w:rPr>
      <w:rFonts w:ascii="Times New Roman" w:hAnsi="Times New Roman"/>
      <w:b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666"/>
  </w:style>
  <w:style w:type="table" w:styleId="Grigliatabella">
    <w:name w:val="Table Grid"/>
    <w:basedOn w:val="Tabellanormale"/>
    <w:uiPriority w:val="59"/>
    <w:rsid w:val="0011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766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7666"/>
    <w:rPr>
      <w:vertAlign w:val="superscript"/>
    </w:rPr>
  </w:style>
  <w:style w:type="paragraph" w:styleId="Didascalia">
    <w:name w:val="caption"/>
    <w:basedOn w:val="Normale"/>
    <w:next w:val="Nessunaspaziatura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Numeroriga">
    <w:name w:val="line number"/>
    <w:basedOn w:val="Carpredefinitoparagrafo"/>
    <w:uiPriority w:val="99"/>
    <w:semiHidden/>
    <w:unhideWhenUsed/>
    <w:rsid w:val="00117666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D066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D066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25A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A7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A7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A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A7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A1D8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D80D99"/>
    <w:rPr>
      <w:rFonts w:ascii="Times New Roman" w:hAnsi="Times New Roman" w:cs="Times New Roman"/>
      <w:b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essunaspaziatura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itolo4Carattere">
    <w:name w:val="Titolo 4 Carattere"/>
    <w:basedOn w:val="Carpredefinitoparagrafo"/>
    <w:link w:val="Titolo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ottotitolo"/>
    <w:next w:val="Normale"/>
    <w:uiPriority w:val="1"/>
    <w:qFormat/>
    <w:rsid w:val="00651CA2"/>
  </w:style>
  <w:style w:type="character" w:styleId="Enfasidelicata">
    <w:name w:val="Subtle Emphasis"/>
    <w:basedOn w:val="Carpredefinitoparagrafo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Riferimentointenso">
    <w:name w:val="Intense Reference"/>
    <w:basedOn w:val="Carpredefinitoparagrafo"/>
    <w:uiPriority w:val="32"/>
    <w:qFormat/>
    <w:rsid w:val="00C724CF"/>
    <w:rPr>
      <w:b/>
      <w:bCs/>
      <w:smallCaps/>
      <w:color w:val="auto"/>
      <w:spacing w:val="5"/>
    </w:rPr>
  </w:style>
  <w:style w:type="character" w:styleId="Titolodellibro">
    <w:name w:val="Book Title"/>
    <w:basedOn w:val="Carpredefinitoparagrafo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e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ED3F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EndNoteBibliographyTitle">
    <w:name w:val="EndNote Bibliography Title"/>
    <w:basedOn w:val="Normale"/>
    <w:rsid w:val="00ED3FFC"/>
    <w:pPr>
      <w:spacing w:before="0" w:after="0" w:line="259" w:lineRule="auto"/>
      <w:jc w:val="center"/>
    </w:pPr>
    <w:rPr>
      <w:rFonts w:ascii="Calibri" w:eastAsia="Calibri" w:hAnsi="Calibri" w:cs="Times New Roman"/>
      <w:sz w:val="22"/>
    </w:rPr>
  </w:style>
  <w:style w:type="paragraph" w:customStyle="1" w:styleId="EndNoteBibliography">
    <w:name w:val="EndNote Bibliography"/>
    <w:basedOn w:val="Normale"/>
    <w:rsid w:val="00ED3FFC"/>
    <w:pPr>
      <w:spacing w:before="0" w:after="160"/>
      <w:jc w:val="both"/>
    </w:pPr>
    <w:rPr>
      <w:rFonts w:ascii="Calibri" w:eastAsia="Calibri" w:hAnsi="Calibri" w:cs="Times New Roman"/>
      <w:sz w:val="22"/>
    </w:rPr>
  </w:style>
  <w:style w:type="table" w:customStyle="1" w:styleId="LightShading-Accent11">
    <w:name w:val="Light Shading - Accent 11"/>
    <w:basedOn w:val="Tabellanormale"/>
    <w:next w:val="Sfondochiaro-Colore11"/>
    <w:uiPriority w:val="30"/>
    <w:qFormat/>
    <w:rsid w:val="006903F1"/>
    <w:pPr>
      <w:spacing w:after="0" w:line="240" w:lineRule="auto"/>
    </w:pPr>
    <w:rPr>
      <w:rFonts w:ascii="Calibri" w:eastAsia="Calibri" w:hAnsi="Calibri" w:cs="Times New Roman"/>
      <w:color w:val="365F91"/>
      <w:sz w:val="24"/>
      <w:szCs w:val="24"/>
      <w:lang w:val="it-IT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fondochiaro-Colore11">
    <w:name w:val="Sfondo chiaro - Colore 11"/>
    <w:basedOn w:val="Tabellanormale"/>
    <w:uiPriority w:val="60"/>
    <w:rsid w:val="006903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55FD1"/>
    <w:pPr>
      <w:spacing w:before="0" w:after="0"/>
    </w:pPr>
    <w:rPr>
      <w:rFonts w:ascii="Courier" w:hAnsi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55FD1"/>
    <w:rPr>
      <w:rFonts w:ascii="Courier" w:hAnsi="Courier"/>
      <w:sz w:val="20"/>
      <w:szCs w:val="20"/>
    </w:rPr>
  </w:style>
  <w:style w:type="table" w:customStyle="1" w:styleId="Elencochiaro-Colore11">
    <w:name w:val="Elenco chiaro - Colore 11"/>
    <w:basedOn w:val="Tabellanormale"/>
    <w:uiPriority w:val="61"/>
    <w:rsid w:val="00911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5B3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25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25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ED3F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EndNoteBibliographyTitle">
    <w:name w:val="EndNote Bibliography Title"/>
    <w:basedOn w:val="Normal"/>
    <w:rsid w:val="00ED3FFC"/>
    <w:pPr>
      <w:spacing w:before="0" w:after="0" w:line="259" w:lineRule="auto"/>
      <w:jc w:val="center"/>
    </w:pPr>
    <w:rPr>
      <w:rFonts w:ascii="Calibri" w:eastAsia="Calibri" w:hAnsi="Calibri" w:cs="Times New Roman"/>
      <w:sz w:val="22"/>
    </w:rPr>
  </w:style>
  <w:style w:type="paragraph" w:customStyle="1" w:styleId="EndNoteBibliography">
    <w:name w:val="EndNote Bibliography"/>
    <w:basedOn w:val="Normal"/>
    <w:rsid w:val="00ED3FFC"/>
    <w:pPr>
      <w:spacing w:before="0" w:after="160"/>
      <w:jc w:val="both"/>
    </w:pPr>
    <w:rPr>
      <w:rFonts w:ascii="Calibri" w:eastAsia="Calibri" w:hAnsi="Calibri" w:cs="Times New Roman"/>
      <w:sz w:val="22"/>
    </w:rPr>
  </w:style>
  <w:style w:type="table" w:customStyle="1" w:styleId="LightShading-Accent11">
    <w:name w:val="Light Shading - Accent 11"/>
    <w:basedOn w:val="TableNormal"/>
    <w:next w:val="Sfondochiaro-Colore11"/>
    <w:uiPriority w:val="30"/>
    <w:qFormat/>
    <w:rsid w:val="006903F1"/>
    <w:pPr>
      <w:spacing w:after="0" w:line="240" w:lineRule="auto"/>
    </w:pPr>
    <w:rPr>
      <w:rFonts w:ascii="Calibri" w:eastAsia="Calibri" w:hAnsi="Calibri" w:cs="Times New Roman"/>
      <w:color w:val="365F91"/>
      <w:sz w:val="24"/>
      <w:szCs w:val="24"/>
      <w:lang w:val="it-IT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fondochiaro-Colore11">
    <w:name w:val="Sfondo chiaro - Colore 11"/>
    <w:basedOn w:val="TableNormal"/>
    <w:uiPriority w:val="60"/>
    <w:rsid w:val="006903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FD1"/>
    <w:pPr>
      <w:spacing w:before="0" w:after="0"/>
    </w:pPr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FD1"/>
    <w:rPr>
      <w:rFonts w:ascii="Courier" w:hAnsi="Courier"/>
      <w:sz w:val="20"/>
      <w:szCs w:val="20"/>
    </w:rPr>
  </w:style>
  <w:style w:type="table" w:customStyle="1" w:styleId="Elencochiaro-Colore11">
    <w:name w:val="Elenco chiaro - Colore 11"/>
    <w:basedOn w:val="TableNormal"/>
    <w:uiPriority w:val="61"/>
    <w:rsid w:val="00911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fondomedio1-Colore11">
    <w:name w:val="Sfondo medio 1 - Colore 11"/>
    <w:basedOn w:val="TableNormal"/>
    <w:uiPriority w:val="63"/>
    <w:rsid w:val="005B3C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3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78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2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human-regulatory/overview/public-health-threats/coronavirus-disease-covid-19/guidance-medicine-developers-other-stakeholders-covid-19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human-regulatory/post-authorisation/referral-procedures/article-53-opinion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8553ED7-0A97-F543-B4ED-41A1EC7F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3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cometico</cp:lastModifiedBy>
  <cp:revision>4</cp:revision>
  <cp:lastPrinted>2013-10-03T12:51:00Z</cp:lastPrinted>
  <dcterms:created xsi:type="dcterms:W3CDTF">2020-10-21T16:29:00Z</dcterms:created>
  <dcterms:modified xsi:type="dcterms:W3CDTF">2020-10-27T07:26:00Z</dcterms:modified>
</cp:coreProperties>
</file>