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Times New Roman" w:hAnsi="Times New Roman" w:cs="Times New Roman"/>
          <w:sz w:val="16"/>
          <w:szCs w:val="16"/>
          <w:vertAlign w:val="baseline"/>
          <w:lang w:val="en-US" w:eastAsia="zh-CN"/>
        </w:rPr>
      </w:pPr>
      <w:r>
        <w:rPr>
          <w:rFonts w:hint="eastAsia" w:ascii="Times New Roman" w:hAnsi="Times New Roman" w:cs="Times New Roman"/>
          <w:b/>
          <w:bCs/>
          <w:sz w:val="21"/>
          <w:szCs w:val="21"/>
          <w:vertAlign w:val="baseline"/>
          <w:lang w:val="en-US" w:eastAsia="zh-CN"/>
        </w:rPr>
        <w:t xml:space="preserve">Supplymental Table1: </w:t>
      </w:r>
      <w:r>
        <w:rPr>
          <w:rFonts w:hint="eastAsia" w:ascii="Times New Roman" w:hAnsi="Times New Roman" w:cs="Times New Roman"/>
          <w:sz w:val="21"/>
          <w:szCs w:val="21"/>
          <w:vertAlign w:val="baseline"/>
          <w:lang w:val="en-US" w:eastAsia="zh-CN"/>
        </w:rPr>
        <w:t>Subgroup analysis of the associations between serum magnesium levels and in-hospital mortality in cox regression model.</w:t>
      </w:r>
    </w:p>
    <w:tbl>
      <w:tblPr>
        <w:tblStyle w:val="3"/>
        <w:tblW w:w="0" w:type="auto"/>
        <w:tblInd w:w="0" w:type="dxa"/>
        <w:tblBorders>
          <w:top w:val="single" w:color="auto" w:sz="12" w:space="0"/>
          <w:left w:val="none" w:color="auto" w:sz="0" w:space="0"/>
          <w:bottom w:val="single" w:color="auto" w:sz="12" w:space="0"/>
          <w:right w:val="none" w:color="auto" w:sz="0" w:space="0"/>
          <w:insideH w:val="single" w:color="auto" w:sz="12" w:space="0"/>
          <w:insideV w:val="single" w:color="auto" w:sz="1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3"/>
        <w:gridCol w:w="1342"/>
        <w:gridCol w:w="1293"/>
        <w:gridCol w:w="756"/>
        <w:gridCol w:w="1390"/>
        <w:gridCol w:w="1244"/>
        <w:gridCol w:w="944"/>
      </w:tblGrid>
      <w:tr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3" w:type="dxa"/>
            <w:vMerge w:val="restart"/>
            <w:tcBorders>
              <w:bottom w:val="single" w:color="auto" w:sz="4" w:space="0"/>
              <w:right w:val="nil"/>
            </w:tcBorders>
          </w:tcPr>
          <w:p>
            <w:pPr>
              <w:jc w:val="left"/>
              <w:rPr>
                <w:rFonts w:hint="default" w:ascii="Times New Roman" w:hAnsi="Times New Roman" w:cs="Times New Roman" w:eastAsiaTheme="minorEastAsia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Variables</w:t>
            </w:r>
          </w:p>
        </w:tc>
        <w:tc>
          <w:tcPr>
            <w:tcW w:w="6025" w:type="dxa"/>
            <w:gridSpan w:val="5"/>
            <w:tcBorders>
              <w:left w:val="nil"/>
              <w:bottom w:val="single" w:color="auto" w:sz="4" w:space="0"/>
              <w:right w:val="nil"/>
            </w:tcBorders>
          </w:tcPr>
          <w:p>
            <w:pPr>
              <w:jc w:val="center"/>
              <w:rPr>
                <w:rFonts w:hint="default" w:ascii="Times New Roman" w:hAnsi="Times New Roman" w:cs="Times New Roman" w:eastAsiaTheme="minorEastAsia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Serum 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Mg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levels (mmol/L)</w:t>
            </w:r>
          </w:p>
        </w:tc>
        <w:tc>
          <w:tcPr>
            <w:tcW w:w="944" w:type="dxa"/>
            <w:vMerge w:val="restart"/>
            <w:tcBorders>
              <w:left w:val="nil"/>
              <w:bottom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I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nteraction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P value</w:t>
            </w:r>
          </w:p>
        </w:tc>
      </w:tr>
      <w:tr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3" w:type="dxa"/>
            <w:vMerge w:val="continue"/>
            <w:tcBorders>
              <w:top w:val="single" w:color="auto" w:sz="4" w:space="0"/>
              <w:bottom w:val="single" w:color="auto" w:sz="4" w:space="0"/>
              <w:right w:val="nil"/>
            </w:tcBorders>
          </w:tcPr>
          <w:p>
            <w:pPr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&lt;1.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</w:t>
            </w:r>
          </w:p>
        </w:tc>
        <w:tc>
          <w:tcPr>
            <w:tcW w:w="129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≥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1.8; &lt;2.0</w:t>
            </w:r>
          </w:p>
        </w:tc>
        <w:tc>
          <w:tcPr>
            <w:tcW w:w="75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≥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2.0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,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≤ 2.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</w:p>
        </w:tc>
        <w:tc>
          <w:tcPr>
            <w:tcW w:w="139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&gt;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2; 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≤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2.4</w:t>
            </w:r>
          </w:p>
        </w:tc>
        <w:tc>
          <w:tcPr>
            <w:tcW w:w="124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&gt;2.4</w:t>
            </w:r>
          </w:p>
        </w:tc>
        <w:tc>
          <w:tcPr>
            <w:tcW w:w="94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</w:rPr>
            </w:pPr>
          </w:p>
        </w:tc>
      </w:tr>
      <w:tr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3" w:type="dxa"/>
            <w:tcBorders>
              <w:top w:val="single" w:color="auto" w:sz="4" w:space="0"/>
              <w:right w:val="nil"/>
            </w:tcBorders>
          </w:tcPr>
          <w:p>
            <w:pPr>
              <w:jc w:val="left"/>
              <w:rPr>
                <w:rFonts w:hint="default" w:ascii="Times New Roman" w:hAnsi="Times New Roman" w:cs="Times New Roman" w:eastAsiaTheme="minorEastAsia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</w:rPr>
              <w:t>G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ender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Female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Male</w:t>
            </w:r>
          </w:p>
          <w:p>
            <w:pPr>
              <w:jc w:val="left"/>
              <w:rPr>
                <w:rFonts w:hint="default" w:ascii="Times New Roman" w:hAnsi="Times New Roman" w:cs="Times New Roman" w:eastAsiaTheme="minorEastAsia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</w:rPr>
              <w:t>A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ge,years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&lt;6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≥6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</w:p>
          <w:p>
            <w:pPr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</w:rPr>
              <w:t>E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thnicity</w:t>
            </w:r>
          </w:p>
          <w:p>
            <w:pPr>
              <w:ind w:firstLine="160" w:firstLineChars="100"/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African American</w:t>
            </w:r>
          </w:p>
          <w:p>
            <w:pPr>
              <w:ind w:firstLine="160" w:firstLineChars="100"/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Asian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Caucasian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Hispanic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Native American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Others</w:t>
            </w:r>
          </w:p>
          <w:p>
            <w:pPr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</w:rPr>
              <w:t>H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ypertension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 w:eastAsiaTheme="minorEastAsia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No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Yes</w:t>
            </w:r>
          </w:p>
          <w:p>
            <w:pPr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CHF</w:t>
            </w:r>
          </w:p>
          <w:p>
            <w:pPr>
              <w:ind w:firstLine="160" w:firstLineChars="100"/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No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Yes</w:t>
            </w:r>
          </w:p>
          <w:p>
            <w:pPr>
              <w:jc w:val="left"/>
              <w:rPr>
                <w:rFonts w:hint="default" w:ascii="Times New Roman" w:hAnsi="Times New Roman" w:cs="Times New Roman" w:eastAsiaTheme="minorEastAsia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</w:rPr>
              <w:t>D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iabetes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No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Yes</w:t>
            </w:r>
          </w:p>
          <w:p>
            <w:pPr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PVD</w:t>
            </w:r>
          </w:p>
          <w:p>
            <w:pPr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No</w:t>
            </w:r>
          </w:p>
          <w:p>
            <w:pPr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Yes</w:t>
            </w:r>
          </w:p>
          <w:p>
            <w:pPr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Prior MI</w:t>
            </w:r>
          </w:p>
          <w:p>
            <w:pPr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No</w:t>
            </w:r>
          </w:p>
          <w:p>
            <w:pPr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Yes</w:t>
            </w:r>
          </w:p>
          <w:p>
            <w:pPr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Atrial fibrillation</w:t>
            </w:r>
          </w:p>
          <w:p>
            <w:pPr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No</w:t>
            </w:r>
          </w:p>
          <w:p>
            <w:pPr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Yes</w:t>
            </w:r>
          </w:p>
          <w:p>
            <w:pPr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</w:rPr>
              <w:t>V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alvular disease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No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Yes</w:t>
            </w:r>
          </w:p>
          <w:p>
            <w:pPr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Cardiogenic shock</w:t>
            </w:r>
          </w:p>
          <w:p>
            <w:pPr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No</w:t>
            </w:r>
          </w:p>
          <w:p>
            <w:pPr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Yes</w:t>
            </w:r>
          </w:p>
          <w:p>
            <w:pPr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Cardiac arrest</w:t>
            </w:r>
          </w:p>
          <w:p>
            <w:pPr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No</w:t>
            </w:r>
          </w:p>
          <w:p>
            <w:pPr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Yes</w:t>
            </w:r>
          </w:p>
          <w:p>
            <w:pPr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</w:rPr>
              <w:t>H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C</w:t>
            </w:r>
          </w:p>
          <w:p>
            <w:pPr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No</w:t>
            </w:r>
          </w:p>
          <w:p>
            <w:pPr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Yes</w:t>
            </w:r>
          </w:p>
          <w:p>
            <w:pPr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Norepinephrine</w:t>
            </w:r>
          </w:p>
          <w:p>
            <w:pPr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No</w:t>
            </w:r>
          </w:p>
          <w:p>
            <w:pPr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Yes</w:t>
            </w:r>
          </w:p>
          <w:p>
            <w:pPr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Dopamine</w:t>
            </w:r>
          </w:p>
          <w:p>
            <w:pPr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No</w:t>
            </w:r>
          </w:p>
          <w:p>
            <w:pPr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Yes</w:t>
            </w:r>
          </w:p>
          <w:p>
            <w:pPr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Epinephrine</w:t>
            </w:r>
          </w:p>
          <w:p>
            <w:pPr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No</w:t>
            </w:r>
          </w:p>
          <w:p>
            <w:pPr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Yes</w:t>
            </w:r>
          </w:p>
          <w:p>
            <w:pPr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Mg supplyment</w:t>
            </w:r>
          </w:p>
          <w:p>
            <w:pPr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No</w:t>
            </w:r>
          </w:p>
          <w:p>
            <w:pPr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Yes</w:t>
            </w:r>
          </w:p>
          <w:p>
            <w:pPr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</w:rPr>
              <w:t>H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 (beats/min)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&lt;83</w:t>
            </w:r>
          </w:p>
          <w:p>
            <w:pPr>
              <w:ind w:firstLine="160" w:firstLineChars="100"/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≥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83</w:t>
            </w:r>
          </w:p>
          <w:p>
            <w:pPr>
              <w:jc w:val="left"/>
              <w:rPr>
                <w:rFonts w:hint="default" w:ascii="Times New Roman" w:hAnsi="Times New Roman" w:cs="Times New Roman" w:eastAsiaTheme="minorEastAsia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</w:rPr>
              <w:t>SBP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mmHg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 w:eastAsiaTheme="minorEastAsia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&lt;122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≥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122</w:t>
            </w:r>
          </w:p>
          <w:p>
            <w:pPr>
              <w:jc w:val="left"/>
              <w:rPr>
                <w:rFonts w:hint="default" w:ascii="Times New Roman" w:hAnsi="Times New Roman" w:cs="Times New Roman" w:eastAsiaTheme="minorEastAsia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</w:rPr>
              <w:t>DBP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mmHg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 w:eastAsiaTheme="minorEastAsia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&lt;70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≥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70</w:t>
            </w:r>
          </w:p>
          <w:p>
            <w:pPr>
              <w:jc w:val="left"/>
              <w:rPr>
                <w:rFonts w:hint="default" w:ascii="Times New Roman" w:hAnsi="Times New Roman" w:cs="Times New Roman" w:eastAsiaTheme="minorEastAsia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</w:rPr>
              <w:t>MBP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mmHg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&lt;88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≥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88</w:t>
            </w:r>
          </w:p>
          <w:p>
            <w:pPr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</w:rPr>
              <w:t>WBC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K/uL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&lt;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12.3</w:t>
            </w:r>
          </w:p>
          <w:p>
            <w:pPr>
              <w:ind w:firstLine="160" w:firstLineChars="100"/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≥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12.3</w:t>
            </w:r>
          </w:p>
          <w:p>
            <w:pPr>
              <w:jc w:val="left"/>
              <w:rPr>
                <w:rFonts w:hint="default" w:ascii="Times New Roman" w:hAnsi="Times New Roman" w:cs="Times New Roman" w:eastAsiaTheme="minorEastAsia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</w:rPr>
              <w:t>P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latelet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K/uL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&lt;223</w:t>
            </w:r>
          </w:p>
          <w:p>
            <w:pPr>
              <w:ind w:firstLine="160" w:firstLineChars="100"/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≥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223</w:t>
            </w:r>
          </w:p>
          <w:p>
            <w:pPr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Hb, (g/dL)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 w:eastAsiaTheme="minorEastAsia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&lt;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13.1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≥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13.1</w:t>
            </w:r>
          </w:p>
          <w:p>
            <w:pPr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</w:rPr>
              <w:t>RBC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K/uL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 w:eastAsiaTheme="minorEastAsia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&lt;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3.96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 w:eastAsiaTheme="minorEastAsia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≥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3.96</w:t>
            </w:r>
          </w:p>
          <w:p>
            <w:pPr>
              <w:jc w:val="left"/>
              <w:rPr>
                <w:rFonts w:hint="default" w:ascii="Times New Roman" w:hAnsi="Times New Roman" w:cs="Times New Roman" w:eastAsiaTheme="minorEastAsia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</w:rPr>
              <w:t>BUN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, mg/dL 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&lt;21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≥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21</w:t>
            </w:r>
          </w:p>
          <w:p>
            <w:pPr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</w:rPr>
              <w:t>C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mg/dL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&lt;1.17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≥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1.17</w:t>
            </w:r>
          </w:p>
          <w:p>
            <w:pPr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</w:rPr>
              <w:t>G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lucose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mg/dL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&lt;158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≥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158</w:t>
            </w:r>
          </w:p>
          <w:p>
            <w:pPr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Potassium, mmol/L</w:t>
            </w:r>
          </w:p>
          <w:p>
            <w:pPr>
              <w:ind w:firstLine="160" w:firstLineChars="100"/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&lt;4.3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≥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4.3</w:t>
            </w:r>
          </w:p>
          <w:p>
            <w:pPr>
              <w:jc w:val="left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Sodium, mmol/L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&lt;140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≥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140</w:t>
            </w:r>
          </w:p>
          <w:p>
            <w:pPr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Bicarbonate,mmol/L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&lt;25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≥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25</w:t>
            </w:r>
          </w:p>
          <w:p>
            <w:pPr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Calcium,mg/dL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&lt;8.6</w:t>
            </w:r>
          </w:p>
          <w:p>
            <w:pPr>
              <w:ind w:firstLine="160" w:firstLineChars="100"/>
              <w:jc w:val="left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≥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8.6</w:t>
            </w:r>
          </w:p>
        </w:tc>
        <w:tc>
          <w:tcPr>
            <w:tcW w:w="1342" w:type="dxa"/>
            <w:tcBorders>
              <w:top w:val="single" w:color="auto" w:sz="4" w:space="0"/>
              <w:left w:val="nil"/>
              <w:right w:val="nil"/>
            </w:tcBorders>
          </w:tcPr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1.31 (1.00, 1.72)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0.89 (0.6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1.16)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1.16 (0.8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(0.86, 1.3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1.7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(0.82, 3.6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(0.41, 3.46)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(0.86, 1.30)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2.29 (1.0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5.06)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/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(0.18, 2.18)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1.18 (0.9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1.4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1.3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1.13 (0.8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1.53)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1.22 (0.9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1.5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0.81 (0.56, 1.16)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1.09 (0.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1.3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1.08 (0.5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, 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2.00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1.10 (0.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1.35)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(0.68, 1.6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1.17 (0.94, 1.45)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1.08 (0.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1.3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1.46 (0.65, 3.2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1.09 (0.8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1.34)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1.15 (0.7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1.74)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(0.81, 1.25)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1.64 (1.1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2.39)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(0.94, 1.3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(0.25, 1.4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1.10 (0.89, 1.37)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1.16 (0.80, 1.6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(0.9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1.3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1.40 (0.2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8.25)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1.31)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1.4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3.10)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1.3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(0.84, 1.49)</w:t>
            </w:r>
          </w:p>
          <w:p>
            <w:pPr>
              <w:jc w:val="both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0.9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1.30)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1.12 (0.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1.40)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1.10 (0.8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1.07 (0.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1.44)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1.07 (0.8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1.36)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1.12 (0.84, 1.49)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(0.89, 1.4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(0.7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1.30 (0.9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1.85)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(0.81, 1.25)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1.12 (0.86, 1.4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1.3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(0.80, 1.2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1.21 (0.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1.63)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0.9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(0.78, 1.2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1.36 (0.99, 1.88)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1.69 (1.09, 2.6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1.00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(0.81, 1.2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1.81)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(0.83, 1.27)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1.16 (0.8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1.61)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1.02 (0.8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1.28)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(0.91, 1.73)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1.30)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1.04 (0.79, 1.36)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1.15 (0.89, 1.4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0.9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(0.7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(0.83, 1.5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0.98 (0.78, 1.23)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1.25 (0.9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1.72)</w:t>
            </w:r>
          </w:p>
        </w:tc>
        <w:tc>
          <w:tcPr>
            <w:tcW w:w="1293" w:type="dxa"/>
            <w:tcBorders>
              <w:top w:val="single" w:color="auto" w:sz="4" w:space="0"/>
              <w:left w:val="nil"/>
              <w:right w:val="nil"/>
            </w:tcBorders>
          </w:tcPr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0.94 (0.70, 1.26)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0.77 (0.60, 0.99)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0.95 (0.67, 1.37)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0.79 (0.63, 0.99)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0.75 (0.28, 1.99)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0.18 (0.02, 1.38)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0.84 (0.68, 1.03)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1.52 (0.70, 3.28)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/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0.83 (0.35, 1.99)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0.89 (0.65, 1.22)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0.81 (0.64, 1.03)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0.85 (0.67, 1.08)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0.80 (0.58, 1.10)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0.93 (0.75, 1.16)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0.60 (0.40, 0.89)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0.86 (0.71, 1.05)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0.58 (0.29, 1.17)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0.86 (0.69, 1.06)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0.75 (0.48, 1.18)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0.94 (0.76, 1.17)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0.57 (0.38, 0.85)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0.84 (0.69, 1.03)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0.75 (0.34, 1.64)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0.84 (0.68, 1.04)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0.90 (0.59, 1.38)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0.81 (0.65, 1.00)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1.04 (0.70, 1.55)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0.82 (0.67, 1.00)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1.13 (0.52, 2.43)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0.83 (0.66, 1.03)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0.94 (0.65, 1.36)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0.85 (0.70, 1.02)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/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0.86 (0.7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1.04)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0.5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1.55)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0.82 (0.77, 1.00)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1.23 (0.62, 2.43)</w:t>
            </w:r>
          </w:p>
          <w:p>
            <w:pPr>
              <w:jc w:val="both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0.79 (0.5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1.09)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0.93 (0.7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1.18)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0.67 (0.4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0.93)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(0.69, 1.1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0.75 (0.55, 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(0.70, 1.12)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0.7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(0.53, 1.02)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0.7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(0.5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0.9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0.78 (0.59, 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(0.68, 1.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0.7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(0.56, 1.06)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0.88 (0.70, 1.10)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0.72 (0.50, 1.04)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1.22 (0.7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1.9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(0.65, 0.98)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0.85 (0.56, 1.28)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0.7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(0.5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0.87 (0.69, 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(0.56, 1.13)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(0.69, 1.0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0.7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(0.55, 0.98)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0.93 (0.72, 1.20)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0.78 (0.61, 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(0.64, 1.1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0.85 (0.6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</w:tc>
        <w:tc>
          <w:tcPr>
            <w:tcW w:w="756" w:type="dxa"/>
            <w:tcBorders>
              <w:top w:val="single" w:color="auto" w:sz="4" w:space="0"/>
              <w:left w:val="nil"/>
              <w:right w:val="nil"/>
            </w:tcBorders>
          </w:tcPr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both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ref</w:t>
            </w:r>
          </w:p>
        </w:tc>
        <w:tc>
          <w:tcPr>
            <w:tcW w:w="1390" w:type="dxa"/>
            <w:tcBorders>
              <w:top w:val="single" w:color="auto" w:sz="4" w:space="0"/>
              <w:left w:val="nil"/>
              <w:right w:val="nil"/>
            </w:tcBorders>
          </w:tcPr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1.97 (1.46, 2.67)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(1.08, 1.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1.61 (1.10, 2.35)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(1.27, 2.00)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2.85 (1.3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6.1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0.47 (0.06, 3.63)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(1.27, 1.96)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2.7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(1.12, 6.6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(0.09, 26.4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(0.4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3.4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1.36 (0.9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1.9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1.71 (1.3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2.1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1.98)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1.61 (1.1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2.1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1.7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(1.35, 2.1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1.3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(0.9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1.94)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1.60 (1.3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1.96)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(0.79, 3.1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(1.29, 1.99)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1.57 (1.0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2.44)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1.67 (1.32, 2.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1.34 (0.93, 1.93)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(1.26, 1.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4.2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1.65 (1.33, 2.0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1.41 (0.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2.22)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1.55 (1.2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1.9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2.52)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1.53 (1.25, 1.88)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5.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1.9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1.60 (1.1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2.2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(1.32, 1.96)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4.74)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1.63 (1.3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1.99)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0.88 (0.37, 2.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5, 1.8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52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, 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both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1.68 (1.2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2.3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(1.19, 1.95)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1.69 (1.31, 2.17)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1.50 (1.1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2.04)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1.61 (1.2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2.0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1.55 (1.1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2.11)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(1.27, 2.0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1.54 (1.12, 2.1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2.9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1.39 (1.1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1.7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1.58 (1.19, 2.08)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2.13)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(1.19, 1.95)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1.70 (1.2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2.33)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1.45 (1.15, 1.83)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1.9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(1.3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2.79)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1.7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2.9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1.48 (1.2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1.35 (0.8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2.16)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1.96 (1.3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2.7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1.3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(1.08, 1.7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(1.07, 2.28)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(1.24, 1.9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(1.18, 2.10)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1.62 (1.24, 2.11)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1.3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(1.03, 1.73)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(1.4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2.53)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1.47 (1.1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1.87)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1.81 (1.3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 2.5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</w:tc>
        <w:tc>
          <w:tcPr>
            <w:tcW w:w="1244" w:type="dxa"/>
            <w:tcBorders>
              <w:top w:val="single" w:color="auto" w:sz="4" w:space="0"/>
              <w:left w:val="nil"/>
              <w:right w:val="nil"/>
            </w:tcBorders>
          </w:tcPr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1.80 (1.32,2.45)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1.51 (1.18,1.93)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2.24 (1.59,3.17)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1.37 (1.09,1.73)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2.78 (1.25,6.20)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0.45 (0.10,2.05)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1.65 (1.34,2.04)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0.94 (0.36,2.47)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/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2.13 (0.8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,5.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(1.15,2.24)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1.61 (1.2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,2.04)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1.76 (1.39,2.23)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1.35 (0.97,1.8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1.77 (1.4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,2.2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,1.79)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(1.34,2.00)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1.28 (0.63,2.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(1.36,2.07)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,2.0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1.74 (1.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,2.18)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1.25 (0.85,1.8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(1.31,1.95)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(0.80,3.4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1.77 (1.43,2.19)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0.9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(0.5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,1.4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1.3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(1.08,1.71)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1.96 (1.37,2.8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(1.3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,1.97)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1.49 (0.69,3.21)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,1.9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(1.13,2.3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1.66 (1.3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,2.0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/</w:t>
            </w:r>
          </w:p>
          <w:p>
            <w:p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1.69 (1.39,2.0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0.39 (0.1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,1.2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1.3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(1.08,1.71)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 (1.37,2.8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both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1.72 (1.26,2.3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1.52 (1.19,1.9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,2.0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(1.15,2.16)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1.68 (1.3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,2.14)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1.4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,1.99)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1.64 (1.29,2.08)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1.46 (1.0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,2.03)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1.75 (1.19,2.58)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1.47 (1.18,1.83)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1.7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(1.35,2.2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1.44 (1.08,1.92)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1.3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,1.74)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(1.5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,2.77)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(0.94,1.52)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3.02 (2.1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,4.17)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3.07 (1.9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,4.86)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1.30 (1.05,1.61)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1.65 (1.06,2.5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1.4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(1.16,1.78)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1.45 (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1.00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,2.1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1.56 (1.2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,1.95)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2.09 (1.47,2.96)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1.40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(1.11,1.76)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1.4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(1.0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,1.96)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1.71 (1.33,2.20)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(1.18,1.93)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1.56 (1.15,2.1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1.32 (1.04,1.6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2.1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 xml:space="preserve"> (1.55,2.9</w:t>
            </w: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8</w:t>
            </w:r>
            <w:r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)</w:t>
            </w:r>
          </w:p>
        </w:tc>
        <w:tc>
          <w:tcPr>
            <w:tcW w:w="944" w:type="dxa"/>
            <w:tcBorders>
              <w:top w:val="single" w:color="auto" w:sz="4" w:space="0"/>
              <w:left w:val="nil"/>
            </w:tcBorders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0.270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0.168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0.272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0.495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0.544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0.206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0.766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0.895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0.230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0.781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0.018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0.201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0.103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0.985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0.045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0.017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0.089</w:t>
            </w:r>
            <w:bookmarkStart w:id="0" w:name="_GoBack"/>
            <w:bookmarkEnd w:id="0"/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0.549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0.497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0.876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0.907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0.276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0.690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0.147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&lt;0.001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0.009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0.737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0.248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0.179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0.756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0.440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16"/>
                <w:szCs w:val="16"/>
                <w:vertAlign w:val="baseline"/>
                <w:lang w:val="en-US" w:eastAsia="zh-CN"/>
              </w:rPr>
              <w:t>0.160</w:t>
            </w:r>
          </w:p>
        </w:tc>
      </w:tr>
    </w:tbl>
    <w:p/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9876253"/>
    <w:rsid w:val="26BD6BBD"/>
    <w:rsid w:val="28276D01"/>
    <w:rsid w:val="2FD574E7"/>
    <w:rsid w:val="36A529FE"/>
    <w:rsid w:val="3CEE7B76"/>
    <w:rsid w:val="3E644961"/>
    <w:rsid w:val="4C065216"/>
    <w:rsid w:val="4EF16C55"/>
    <w:rsid w:val="50770581"/>
    <w:rsid w:val="56CE4DE1"/>
    <w:rsid w:val="57007BD5"/>
    <w:rsid w:val="619E6C6C"/>
    <w:rsid w:val="7C7E4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ZHH</cp:lastModifiedBy>
  <dcterms:modified xsi:type="dcterms:W3CDTF">2020-12-30T12:17:37Z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