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4C6A0F27" w:rsidR="00654E8F" w:rsidRPr="00241D72" w:rsidRDefault="00654E8F" w:rsidP="0001436A">
      <w:pPr>
        <w:pStyle w:val="SupplementaryMaterial"/>
        <w:rPr>
          <w:b w:val="0"/>
        </w:rPr>
      </w:pPr>
      <w:r w:rsidRPr="00241D72">
        <w:t>Supplementary Material</w:t>
      </w:r>
    </w:p>
    <w:p w14:paraId="0FE890AB" w14:textId="6E2BA222" w:rsidR="00FD3B41" w:rsidRPr="00241D72" w:rsidRDefault="00654E8F" w:rsidP="00FD3B41">
      <w:pPr>
        <w:pStyle w:val="1"/>
      </w:pPr>
      <w:r w:rsidRPr="00241D72">
        <w:t xml:space="preserve">Supplementary </w:t>
      </w:r>
      <w:r w:rsidR="00CC7229" w:rsidRPr="00241D72">
        <w:t>Tables</w:t>
      </w:r>
    </w:p>
    <w:p w14:paraId="40398C8A" w14:textId="51C36957" w:rsidR="00B917E7" w:rsidRPr="00241D72" w:rsidRDefault="00B917E7" w:rsidP="00B917E7">
      <w:r w:rsidRPr="00241D72">
        <w:rPr>
          <w:b/>
          <w:bCs/>
        </w:rPr>
        <w:t>Supplementary Table 1</w:t>
      </w:r>
      <w:r w:rsidRPr="00241D72">
        <w:t>. Overview of the assessment tools used in this study and their respective scoring systems</w:t>
      </w:r>
    </w:p>
    <w:tbl>
      <w:tblPr>
        <w:tblW w:w="9913" w:type="dxa"/>
        <w:tblCellMar>
          <w:left w:w="0" w:type="dxa"/>
          <w:right w:w="0" w:type="dxa"/>
        </w:tblCellMar>
        <w:tblLook w:val="0420" w:firstRow="1" w:lastRow="0" w:firstColumn="0" w:lastColumn="0" w:noHBand="0" w:noVBand="1"/>
      </w:tblPr>
      <w:tblGrid>
        <w:gridCol w:w="946"/>
        <w:gridCol w:w="1779"/>
        <w:gridCol w:w="4259"/>
        <w:gridCol w:w="2929"/>
      </w:tblGrid>
      <w:tr w:rsidR="00CC7229" w:rsidRPr="00241D72" w14:paraId="16A2E22B" w14:textId="77777777" w:rsidTr="009B30B1">
        <w:trPr>
          <w:trHeight w:val="172"/>
        </w:trPr>
        <w:tc>
          <w:tcPr>
            <w:tcW w:w="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hideMark/>
          </w:tcPr>
          <w:p w14:paraId="6C2AB6DF" w14:textId="77777777" w:rsidR="00CC7229" w:rsidRPr="00241D72" w:rsidRDefault="00CC7229" w:rsidP="009B30B1">
            <w:pPr>
              <w:rPr>
                <w:rFonts w:asciiTheme="majorBidi" w:hAnsiTheme="majorBidi" w:cstheme="majorBidi"/>
                <w:sz w:val="22"/>
              </w:rPr>
            </w:pP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66E17" w14:textId="77777777" w:rsidR="00CC7229" w:rsidRPr="00241D72" w:rsidRDefault="00CC7229" w:rsidP="009B30B1">
            <w:pPr>
              <w:snapToGrid w:val="0"/>
              <w:rPr>
                <w:rFonts w:asciiTheme="majorBidi" w:hAnsiTheme="majorBidi" w:cstheme="majorBidi"/>
                <w:b/>
                <w:sz w:val="22"/>
              </w:rPr>
            </w:pPr>
            <w:r w:rsidRPr="00241D72">
              <w:rPr>
                <w:rFonts w:asciiTheme="majorBidi" w:hAnsiTheme="majorBidi" w:cstheme="majorBidi"/>
                <w:b/>
                <w:sz w:val="22"/>
              </w:rPr>
              <w:t>Aim</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AA438C" w14:textId="77777777" w:rsidR="00CC7229" w:rsidRPr="00241D72" w:rsidRDefault="00CC7229" w:rsidP="009B30B1">
            <w:pPr>
              <w:snapToGrid w:val="0"/>
              <w:rPr>
                <w:rFonts w:asciiTheme="majorBidi" w:hAnsiTheme="majorBidi" w:cstheme="majorBidi"/>
                <w:b/>
                <w:sz w:val="22"/>
              </w:rPr>
            </w:pPr>
            <w:r w:rsidRPr="00241D72">
              <w:rPr>
                <w:rFonts w:asciiTheme="majorBidi" w:hAnsiTheme="majorBidi" w:cstheme="majorBidi"/>
                <w:b/>
                <w:sz w:val="22"/>
              </w:rPr>
              <w:t>Test</w:t>
            </w: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EE0783" w14:textId="77777777" w:rsidR="00CC7229" w:rsidRPr="00241D72" w:rsidRDefault="00CC7229" w:rsidP="009B30B1">
            <w:pPr>
              <w:snapToGrid w:val="0"/>
              <w:rPr>
                <w:rFonts w:asciiTheme="majorBidi" w:hAnsiTheme="majorBidi" w:cstheme="majorBidi"/>
                <w:b/>
                <w:sz w:val="22"/>
              </w:rPr>
            </w:pPr>
            <w:r w:rsidRPr="00241D72">
              <w:rPr>
                <w:rFonts w:asciiTheme="majorBidi" w:hAnsiTheme="majorBidi" w:cstheme="majorBidi"/>
                <w:b/>
                <w:sz w:val="22"/>
              </w:rPr>
              <w:t>Scoring and criteria</w:t>
            </w:r>
          </w:p>
        </w:tc>
      </w:tr>
      <w:tr w:rsidR="00CC7229" w:rsidRPr="00241D72" w14:paraId="677EF5EA" w14:textId="77777777" w:rsidTr="009B30B1">
        <w:trPr>
          <w:trHeight w:val="709"/>
        </w:trPr>
        <w:tc>
          <w:tcPr>
            <w:tcW w:w="94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14:paraId="01CB3A3B" w14:textId="77777777" w:rsidR="00CC7229" w:rsidRPr="00241D72" w:rsidRDefault="00CC7229" w:rsidP="009B30B1">
            <w:pPr>
              <w:ind w:left="113" w:right="113"/>
              <w:jc w:val="center"/>
              <w:rPr>
                <w:rFonts w:asciiTheme="majorBidi" w:hAnsiTheme="majorBidi" w:cstheme="majorBidi"/>
                <w:b/>
                <w:sz w:val="22"/>
              </w:rPr>
            </w:pPr>
            <w:r w:rsidRPr="00241D72">
              <w:rPr>
                <w:rFonts w:asciiTheme="majorBidi" w:hAnsiTheme="majorBidi" w:cstheme="majorBidi"/>
                <w:b/>
                <w:sz w:val="22"/>
              </w:rPr>
              <w:t>Questionnaires</w:t>
            </w: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59C28" w14:textId="5686C743" w:rsidR="00CC7229" w:rsidRPr="00241D72" w:rsidRDefault="00357619" w:rsidP="009B30B1">
            <w:pPr>
              <w:snapToGrid w:val="0"/>
              <w:rPr>
                <w:rFonts w:asciiTheme="majorBidi" w:hAnsiTheme="majorBidi" w:cstheme="majorBidi"/>
                <w:sz w:val="22"/>
              </w:rPr>
            </w:pPr>
            <w:r w:rsidRPr="00241D72">
              <w:rPr>
                <w:rFonts w:asciiTheme="majorBidi" w:hAnsiTheme="majorBidi" w:cstheme="majorBidi"/>
                <w:sz w:val="22"/>
              </w:rPr>
              <w:t>D</w:t>
            </w:r>
            <w:r w:rsidR="00CC7229" w:rsidRPr="00241D72">
              <w:rPr>
                <w:rFonts w:asciiTheme="majorBidi" w:hAnsiTheme="majorBidi" w:cstheme="majorBidi"/>
                <w:sz w:val="22"/>
              </w:rPr>
              <w:t>egree of vertigo/dizziness</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C4A99C" w14:textId="540DA375" w:rsidR="00CC7229" w:rsidRPr="00241D72" w:rsidRDefault="00931BBC" w:rsidP="009B30B1">
            <w:pPr>
              <w:snapToGrid w:val="0"/>
              <w:rPr>
                <w:rFonts w:asciiTheme="majorBidi" w:hAnsiTheme="majorBidi" w:cstheme="majorBidi"/>
                <w:sz w:val="22"/>
                <w:lang w:eastAsia="ja-JP"/>
              </w:rPr>
            </w:pPr>
            <w:r w:rsidRPr="00241D72">
              <w:rPr>
                <w:rFonts w:asciiTheme="majorBidi" w:hAnsiTheme="majorBidi" w:cstheme="majorBidi" w:hint="eastAsia"/>
                <w:sz w:val="22"/>
                <w:lang w:eastAsia="ja-JP"/>
              </w:rPr>
              <w:t>D</w:t>
            </w:r>
            <w:r w:rsidRPr="00241D72">
              <w:rPr>
                <w:rFonts w:asciiTheme="majorBidi" w:hAnsiTheme="majorBidi" w:cstheme="majorBidi"/>
                <w:sz w:val="22"/>
                <w:lang w:eastAsia="ja-JP"/>
              </w:rPr>
              <w:t>HI</w:t>
            </w:r>
            <w:r w:rsidR="002F6762" w:rsidRPr="00241D72">
              <w:rPr>
                <w:rFonts w:asciiTheme="majorBidi" w:hAnsiTheme="majorBidi" w:cstheme="majorBidi"/>
                <w:sz w:val="22"/>
                <w:lang w:eastAsia="ja-JP"/>
              </w:rPr>
              <w:t xml:space="preserve"> </w:t>
            </w:r>
            <w:r w:rsidRPr="00241D72">
              <w:rPr>
                <w:rFonts w:asciiTheme="majorBidi" w:hAnsiTheme="majorBidi" w:cstheme="majorBidi"/>
                <w:sz w:val="22"/>
                <w:lang w:eastAsia="ja-JP"/>
              </w:rPr>
              <w:fldChar w:fldCharType="begin" w:fldLock="1"/>
            </w:r>
            <w:r w:rsidR="00AE6E68" w:rsidRPr="00241D72">
              <w:rPr>
                <w:rFonts w:asciiTheme="majorBidi" w:hAnsiTheme="majorBidi" w:cstheme="majorBidi"/>
                <w:sz w:val="22"/>
                <w:lang w:eastAsia="ja-JP"/>
              </w:rPr>
              <w:instrText>ADDIN CSL_CITATION {"citationItems":[{"id":"ITEM-1","itemData":{"ISSN":"0886-4470","PMID":"2317323","abstract":"Conventional vestibulometric techniques are inadequate for quantifying the impact of dizziness on everyday life. The 25-item Dizziness Handicap Inventory (DHI) was developed to evaluate the self-perceived handicapping effects imposed by vestibular system disease. The development of the preliminary (37 items) and final versions (25 items) of the DHI are described. The items were subgrouped into three content domains representing functional, emotional, and physical aspects of dizziness and unsteadiness. Cronbach's alpha coefficient was employed to measure reliability based on consistency of the preliminary version. The final version of the DHI was administered to 106 consecutive patients and demonstrated good internal consistency reliability. With the exception of the physical subscale, the mean values for DHI scale scores increased significantly with increases in the frequency of dizziness episodes. Test-retest reliability was high.","author":[{"dropping-particle":"","family":"Jacobson","given":"G P","non-dropping-particle":"","parse-names":false,"suffix":""},{"dropping-particle":"","family":"Newman","given":"C W","non-dropping-particle":"","parse-names":false,"suffix":""}],"container-title":"Archives of otolaryngology--head &amp; neck surgery","id":"ITEM-1","issue":"4","issued":{"date-parts":[["1990","4"]]},"page":"424-7","title":"The development of the Dizziness Handicap Inventory.","type":"article-journal","volume":"116"},"uris":["http://www.mendeley.com/documents/?uuid=8ed7369e-bb52-313c-ab8e-4c79993d36e9"]}],"mendeley":{"formattedCitation":"(1)","plainTextFormattedCitation":"(1)","previouslyFormattedCitation":"(1)"},"properties":{"noteIndex":0},"schema":"https://github.com/citation-style-language/schema/raw/master/csl-citation.json"}</w:instrText>
            </w:r>
            <w:r w:rsidRPr="00241D72">
              <w:rPr>
                <w:rFonts w:asciiTheme="majorBidi" w:hAnsiTheme="majorBidi" w:cstheme="majorBidi"/>
                <w:sz w:val="22"/>
                <w:lang w:eastAsia="ja-JP"/>
              </w:rPr>
              <w:fldChar w:fldCharType="separate"/>
            </w:r>
            <w:r w:rsidRPr="00241D72">
              <w:rPr>
                <w:rFonts w:asciiTheme="majorBidi" w:hAnsiTheme="majorBidi" w:cstheme="majorBidi"/>
                <w:sz w:val="22"/>
                <w:lang w:eastAsia="ja-JP"/>
              </w:rPr>
              <w:t>(1)</w:t>
            </w:r>
            <w:r w:rsidRPr="00241D72">
              <w:rPr>
                <w:rFonts w:asciiTheme="majorBidi" w:hAnsiTheme="majorBidi" w:cstheme="majorBidi"/>
                <w:sz w:val="22"/>
                <w:lang w:eastAsia="ja-JP"/>
              </w:rPr>
              <w:fldChar w:fldCharType="end"/>
            </w:r>
          </w:p>
          <w:p w14:paraId="7FABB8FC" w14:textId="77777777" w:rsidR="00CC7229" w:rsidRPr="00241D72" w:rsidRDefault="00CC7229" w:rsidP="009B30B1">
            <w:pPr>
              <w:snapToGrid w:val="0"/>
              <w:rPr>
                <w:rFonts w:asciiTheme="majorBidi" w:hAnsiTheme="majorBidi" w:cstheme="majorBidi"/>
                <w:sz w:val="22"/>
              </w:rPr>
            </w:pP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E48A4A" w14:textId="129D2986"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100-point scale, 25 items</w:t>
            </w:r>
          </w:p>
          <w:p w14:paraId="4F9A24B4" w14:textId="324EBC84"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Sub-grouped into three domains: Physical (P), Emotional (E), Functional (F)</w:t>
            </w:r>
          </w:p>
        </w:tc>
      </w:tr>
      <w:tr w:rsidR="00CC7229" w:rsidRPr="00241D72" w14:paraId="4799C8C6" w14:textId="77777777" w:rsidTr="009B30B1">
        <w:trPr>
          <w:trHeight w:val="536"/>
        </w:trPr>
        <w:tc>
          <w:tcPr>
            <w:tcW w:w="946" w:type="dxa"/>
            <w:vMerge/>
            <w:tcBorders>
              <w:top w:val="single" w:sz="8" w:space="0" w:color="000000"/>
              <w:left w:val="single" w:sz="8" w:space="0" w:color="000000"/>
              <w:bottom w:val="single" w:sz="8" w:space="0" w:color="000000"/>
              <w:right w:val="single" w:sz="8" w:space="0" w:color="000000"/>
            </w:tcBorders>
            <w:vAlign w:val="center"/>
            <w:hideMark/>
          </w:tcPr>
          <w:p w14:paraId="0CACFAC3" w14:textId="77777777" w:rsidR="00CC7229" w:rsidRPr="00241D72" w:rsidRDefault="00CC7229" w:rsidP="009B30B1">
            <w:pPr>
              <w:rPr>
                <w:rFonts w:asciiTheme="majorBidi" w:hAnsiTheme="majorBidi" w:cstheme="majorBidi"/>
                <w:b/>
                <w:sz w:val="22"/>
              </w:rPr>
            </w:pP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1CBBC4"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Anxiety and depression</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5C3F7E" w14:textId="0B0697B2"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 xml:space="preserve">HADS </w:t>
            </w:r>
            <w:r w:rsidRPr="00241D72">
              <w:rPr>
                <w:rFonts w:asciiTheme="majorBidi" w:hAnsiTheme="majorBidi" w:cstheme="majorBidi"/>
                <w:sz w:val="22"/>
              </w:rPr>
              <w:fldChar w:fldCharType="begin" w:fldLock="1"/>
            </w:r>
            <w:r w:rsidR="00AE6E68" w:rsidRPr="00241D72">
              <w:rPr>
                <w:rFonts w:asciiTheme="majorBidi" w:hAnsiTheme="majorBidi" w:cstheme="majorBidi"/>
                <w:sz w:val="22"/>
              </w:rPr>
              <w:instrText>ADDIN CSL_CITATION {"citationItems":[{"id":"ITEM-1","itemData":{"ISSN":"0001-690X","PMID":"6880820","abstract":"A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departments.","author":[{"dropping-particle":"","family":"Zigmond","given":"A S","non-dropping-particle":"","parse-names":false,"suffix":""},{"dropping-particle":"","family":"Snaith","given":"R P","non-dropping-particle":"","parse-names":false,"suffix":""}],"container-title":"Acta psychiatrica Scandinavica","id":"ITEM-1","issue":"6","issued":{"date-parts":[["1983","6"]]},"page":"361-70","title":"The hospital anxiety and depression scale.","type":"article-journal","volume":"67"},"uris":["http://www.mendeley.com/documents/?uuid=26c9886f-3b10-3b9d-bd56-87e72c928881"]}],"mendeley":{"formattedCitation":"(2)","plainTextFormattedCitation":"(2)","previouslyFormattedCitation":"(2)"},"properties":{"noteIndex":0},"schema":"https://github.com/citation-style-language/schema/raw/master/csl-citation.json"}</w:instrText>
            </w:r>
            <w:r w:rsidRPr="00241D72">
              <w:rPr>
                <w:rFonts w:asciiTheme="majorBidi" w:hAnsiTheme="majorBidi" w:cstheme="majorBidi"/>
                <w:sz w:val="22"/>
              </w:rPr>
              <w:fldChar w:fldCharType="separate"/>
            </w:r>
            <w:r w:rsidR="00931BBC" w:rsidRPr="00241D72">
              <w:rPr>
                <w:rFonts w:asciiTheme="majorBidi" w:hAnsiTheme="majorBidi" w:cstheme="majorBidi"/>
                <w:sz w:val="22"/>
              </w:rPr>
              <w:t>(2)</w:t>
            </w:r>
            <w:r w:rsidRPr="00241D72">
              <w:rPr>
                <w:rFonts w:asciiTheme="majorBidi" w:hAnsiTheme="majorBidi" w:cstheme="majorBidi"/>
                <w:sz w:val="22"/>
              </w:rPr>
              <w:fldChar w:fldCharType="end"/>
            </w: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CB730"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Anxiety (A) 21-point scale,</w:t>
            </w:r>
          </w:p>
          <w:p w14:paraId="730C9449"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7 questions</w:t>
            </w:r>
          </w:p>
          <w:p w14:paraId="44A1AB48" w14:textId="11A2EEB2"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Depression (D) 21-point scale,</w:t>
            </w:r>
          </w:p>
          <w:p w14:paraId="0934BF41"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7 questions</w:t>
            </w:r>
          </w:p>
        </w:tc>
      </w:tr>
      <w:tr w:rsidR="00CC7229" w:rsidRPr="00241D72" w14:paraId="45638F35" w14:textId="77777777" w:rsidTr="009B30B1">
        <w:trPr>
          <w:trHeight w:val="687"/>
        </w:trPr>
        <w:tc>
          <w:tcPr>
            <w:tcW w:w="946" w:type="dxa"/>
            <w:vMerge/>
            <w:tcBorders>
              <w:top w:val="single" w:sz="8" w:space="0" w:color="000000"/>
              <w:left w:val="single" w:sz="8" w:space="0" w:color="000000"/>
              <w:bottom w:val="single" w:sz="8" w:space="0" w:color="000000"/>
              <w:right w:val="single" w:sz="8" w:space="0" w:color="000000"/>
            </w:tcBorders>
            <w:vAlign w:val="center"/>
            <w:hideMark/>
          </w:tcPr>
          <w:p w14:paraId="71B83B8E" w14:textId="77777777" w:rsidR="00CC7229" w:rsidRPr="00241D72" w:rsidRDefault="00CC7229" w:rsidP="009B30B1">
            <w:pPr>
              <w:rPr>
                <w:rFonts w:asciiTheme="majorBidi" w:hAnsiTheme="majorBidi" w:cstheme="majorBidi"/>
                <w:b/>
                <w:sz w:val="22"/>
              </w:rPr>
            </w:pP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D19871"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OD</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D20995" w14:textId="2C8A9EB0"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 xml:space="preserve">OD questionnaire </w:t>
            </w:r>
            <w:r w:rsidRPr="00241D72">
              <w:rPr>
                <w:rFonts w:asciiTheme="majorBidi" w:hAnsiTheme="majorBidi" w:cstheme="majorBidi"/>
                <w:sz w:val="22"/>
              </w:rPr>
              <w:fldChar w:fldCharType="begin" w:fldLock="1"/>
            </w:r>
            <w:r w:rsidR="00AE6E68" w:rsidRPr="00241D72">
              <w:rPr>
                <w:rFonts w:asciiTheme="majorBidi" w:hAnsiTheme="majorBidi" w:cstheme="majorBidi"/>
                <w:sz w:val="22"/>
              </w:rPr>
              <w:instrText>ADDIN CSL_CITATION {"citationItems":[{"id":"ITEM-1","itemData":{"DOI":"10.1253/jcj.27.200","ISSN":"0047-1828","abstract":"Orthostatic dysregulation is a common condition that is found mainly in adolescent age. The cardinal symptoms are induced by postural change, and a dysfunction of the autonomic nerve system is considered as underlying condition. Clinical symptoms, specially standing ECG and the effect of several agencies to the ECG in the disease were studied and the possible mechanism was discussed.","author":[{"dropping-particle":"","family":"Okuni","given":"Masahiko","non-dropping-particle":"","parse-names":false,"suffix":""}],"container-title":"Japanese Circulation Journal","id":"ITEM-1","issue":"2","issued":{"date-parts":[["1963"]]},"page":"200-204","publisher":"The Japanese Circulation Society","title":"Orthostatic Dysregulation in Childhood with Special Reference to the Standing Electrocardiogram : Conference on Neurocirculatory Asthenia &amp; Allied Diseases and Orthostatic Hypotensive Diseases.","type":"article-journal","volume":"27"},"uris":["http://www.mendeley.com/documents/?uuid=138443ff-c320-39fa-ab0a-c0a5472a68b1"]},{"id":"ITEM-2","itemData":{"DOI":"10.1111/j.1442-200X.2008.02783.x","ISSN":"13288067","author":[{"dropping-particle":"","family":"Tanaka","given":"Hidetaka","non-dropping-particle":"","parse-names":false,"suffix":""},{"dropping-particle":"","family":"Fujita","given":"Yukihiko","non-dropping-particle":"","parse-names":false,"suffix":""},{"dropping-particle":"","family":"Takenaka","given":"Yoshito","non-dropping-particle":"","parse-names":false,"suffix":""},{"dropping-particle":"","family":"Kajiwara","given":"Souhei","non-dropping-particle":"","parse-names":false,"suffix":""},{"dropping-particle":"","family":"Masutani","given":"Satoshi","non-dropping-particle":"","parse-names":false,"suffix":""},{"dropping-particle":"","family":"Ishizaki","given":"Yuko","non-dropping-particle":"","parse-names":false,"suffix":""},{"dropping-particle":"","family":"Matsushima","given":"Reiko","non-dropping-particle":"","parse-names":false,"suffix":""},{"dropping-particle":"","family":"Shiokawa","given":"Hirosato","non-dropping-particle":"","parse-names":false,"suffix":""},{"dropping-particle":"","family":"Shiota","given":"Madoka","non-dropping-particle":"","parse-names":false,"suffix":""},{"dropping-particle":"","family":"Ishitani","given":"Nobuo","non-dropping-particle":"","parse-names":false,"suffix":""},{"dropping-particle":"","family":"Kajiura","given":"Mitsugu","non-dropping-particle":"","parse-names":false,"suffix":""},{"dropping-particle":"","family":"Honda","given":"Kazuo","non-dropping-particle":"","parse-names":false,"suffix":""}],"container-title":"Pediatrics International","id":"ITEM-2","issue":"1","issued":{"date-parts":[["2009","2","1"]]},"page":"169-179","publisher":"Wiley/Blackwell (10.1111)","title":"Japanese clinical guidelines for juvenile orthostatic dysregulation version 1","type":"article-journal","volume":"51"},"uris":["http://www.mendeley.com/documents/?uuid=ff05dca1-c502-35dd-80e0-9909b77827da"]}],"mendeley":{"formattedCitation":"(3,4)","plainTextFormattedCitation":"(3,4)","previouslyFormattedCitation":"(3,4)"},"properties":{"noteIndex":0},"schema":"https://github.com/citation-style-language/schema/raw/master/csl-citation.json"}</w:instrText>
            </w:r>
            <w:r w:rsidRPr="00241D72">
              <w:rPr>
                <w:rFonts w:asciiTheme="majorBidi" w:hAnsiTheme="majorBidi" w:cstheme="majorBidi"/>
                <w:sz w:val="22"/>
              </w:rPr>
              <w:fldChar w:fldCharType="separate"/>
            </w:r>
            <w:r w:rsidR="00931BBC" w:rsidRPr="00241D72">
              <w:rPr>
                <w:rFonts w:asciiTheme="majorBidi" w:hAnsiTheme="majorBidi" w:cstheme="majorBidi"/>
                <w:sz w:val="22"/>
              </w:rPr>
              <w:t>(3,4)</w:t>
            </w:r>
            <w:r w:rsidRPr="00241D72">
              <w:rPr>
                <w:rFonts w:asciiTheme="majorBidi" w:hAnsiTheme="majorBidi" w:cstheme="majorBidi"/>
                <w:sz w:val="22"/>
              </w:rPr>
              <w:fldChar w:fldCharType="end"/>
            </w: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C66D80"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11-point scale, 11 questions</w:t>
            </w:r>
          </w:p>
        </w:tc>
      </w:tr>
      <w:tr w:rsidR="00CC7229" w:rsidRPr="00241D72" w14:paraId="1B2A2BF1" w14:textId="77777777" w:rsidTr="009B30B1">
        <w:trPr>
          <w:trHeight w:val="401"/>
        </w:trPr>
        <w:tc>
          <w:tcPr>
            <w:tcW w:w="946" w:type="dxa"/>
            <w:vMerge/>
            <w:tcBorders>
              <w:top w:val="single" w:sz="8" w:space="0" w:color="000000"/>
              <w:left w:val="single" w:sz="8" w:space="0" w:color="000000"/>
              <w:bottom w:val="single" w:sz="8" w:space="0" w:color="000000"/>
              <w:right w:val="single" w:sz="8" w:space="0" w:color="000000"/>
            </w:tcBorders>
            <w:vAlign w:val="center"/>
            <w:hideMark/>
          </w:tcPr>
          <w:p w14:paraId="323CB43C" w14:textId="77777777" w:rsidR="00CC7229" w:rsidRPr="00241D72" w:rsidRDefault="00CC7229" w:rsidP="009B30B1">
            <w:pPr>
              <w:rPr>
                <w:rFonts w:asciiTheme="majorBidi" w:hAnsiTheme="majorBidi" w:cstheme="majorBidi"/>
                <w:b/>
                <w:sz w:val="22"/>
              </w:rPr>
            </w:pP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DB350A"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Motion sickness</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8EB945" w14:textId="53BE4A51"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 xml:space="preserve">Motion sickness scores </w:t>
            </w:r>
            <w:r w:rsidRPr="00241D72">
              <w:rPr>
                <w:rFonts w:asciiTheme="majorBidi" w:hAnsiTheme="majorBidi" w:cstheme="majorBidi"/>
                <w:sz w:val="22"/>
              </w:rPr>
              <w:fldChar w:fldCharType="begin" w:fldLock="1"/>
            </w:r>
            <w:r w:rsidR="00AE6E68" w:rsidRPr="00241D72">
              <w:rPr>
                <w:rFonts w:asciiTheme="majorBidi" w:hAnsiTheme="majorBidi" w:cstheme="majorBidi"/>
                <w:sz w:val="22"/>
              </w:rPr>
              <w:instrText>ADDIN CSL_CITATION {"citationItems":[{"id":"ITEM-1","itemData":{"ISSN":"0001-9402","PMID":"5648730","author":[{"dropping-particle":"","family":"Graybiel","given":"A","non-dropping-particle":"","parse-names":false,"suffix":""},{"dropping-particle":"","family":"Wood","given":"C D","non-dropping-particle":"","parse-names":false,"suffix":""},{"dropping-particle":"","family":"Miller","given":"E F","non-dropping-particle":"","parse-names":false,"suffix":""},{"dropping-particle":"","family":"Cramer","given":"D B","non-dropping-particle":"","parse-names":false,"suffix":""}],"container-title":"Aerospace medicine","id":"ITEM-1","issue":"5","issued":{"date-parts":[["1968","5"]]},"page":"453-5","title":"Diagnostic criteria for grading the severity of acute motion sickness.","type":"article-journal","volume":"39"},"uris":["http://www.mendeley.com/documents/?uuid=1f199e66-2e3c-3534-97c7-3963e41610ef"]}],"mendeley":{"formattedCitation":"(5)","plainTextFormattedCitation":"(5)","previouslyFormattedCitation":"(6)"},"properties":{"noteIndex":0},"schema":"https://github.com/citation-style-language/schema/raw/master/csl-citation.json"}</w:instrText>
            </w:r>
            <w:r w:rsidRPr="00241D72">
              <w:rPr>
                <w:rFonts w:asciiTheme="majorBidi" w:hAnsiTheme="majorBidi" w:cstheme="majorBidi"/>
                <w:sz w:val="22"/>
              </w:rPr>
              <w:fldChar w:fldCharType="separate"/>
            </w:r>
            <w:r w:rsidR="00AE6E68" w:rsidRPr="00241D72">
              <w:rPr>
                <w:rFonts w:asciiTheme="majorBidi" w:hAnsiTheme="majorBidi" w:cstheme="majorBidi"/>
                <w:sz w:val="22"/>
              </w:rPr>
              <w:t>(5)</w:t>
            </w:r>
            <w:r w:rsidRPr="00241D72">
              <w:rPr>
                <w:rFonts w:asciiTheme="majorBidi" w:hAnsiTheme="majorBidi" w:cstheme="majorBidi"/>
                <w:sz w:val="22"/>
              </w:rPr>
              <w:fldChar w:fldCharType="end"/>
            </w: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66507A"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56-point scale, 6 questions</w:t>
            </w:r>
          </w:p>
        </w:tc>
      </w:tr>
      <w:tr w:rsidR="00CC7229" w:rsidRPr="00241D72" w14:paraId="07F8CFBB" w14:textId="77777777" w:rsidTr="009B30B1">
        <w:trPr>
          <w:trHeight w:val="431"/>
        </w:trPr>
        <w:tc>
          <w:tcPr>
            <w:tcW w:w="946" w:type="dxa"/>
            <w:vMerge/>
            <w:tcBorders>
              <w:top w:val="single" w:sz="8" w:space="0" w:color="000000"/>
              <w:left w:val="single" w:sz="8" w:space="0" w:color="000000"/>
              <w:bottom w:val="single" w:sz="8" w:space="0" w:color="000000"/>
              <w:right w:val="single" w:sz="8" w:space="0" w:color="000000"/>
            </w:tcBorders>
            <w:vAlign w:val="center"/>
            <w:hideMark/>
          </w:tcPr>
          <w:p w14:paraId="3BE48B4D" w14:textId="77777777" w:rsidR="00CC7229" w:rsidRPr="00241D72" w:rsidRDefault="00CC7229" w:rsidP="009B30B1">
            <w:pPr>
              <w:rPr>
                <w:rFonts w:asciiTheme="majorBidi" w:hAnsiTheme="majorBidi" w:cstheme="majorBidi"/>
                <w:b/>
                <w:sz w:val="22"/>
              </w:rPr>
            </w:pP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0DF24"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 xml:space="preserve">Sleep disorder </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3D3D93" w14:textId="66E7AC89"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 xml:space="preserve">ESS </w:t>
            </w:r>
            <w:r w:rsidRPr="00241D72">
              <w:rPr>
                <w:rFonts w:asciiTheme="majorBidi" w:hAnsiTheme="majorBidi" w:cstheme="majorBidi"/>
                <w:sz w:val="22"/>
              </w:rPr>
              <w:fldChar w:fldCharType="begin" w:fldLock="1"/>
            </w:r>
            <w:r w:rsidR="00AE6E68" w:rsidRPr="00241D72">
              <w:rPr>
                <w:rFonts w:asciiTheme="majorBidi" w:hAnsiTheme="majorBidi" w:cstheme="majorBidi"/>
                <w:sz w:val="22"/>
              </w:rPr>
              <w:instrText>ADDIN CSL_CITATION {"citationItems":[{"id":"ITEM-1","itemData":{"DOI":"10.1016/j.sleep.2008.04.015","ISSN":"13899457","PMID":"18824408","abstract":"BACKGROUND Various Japanese versions of the Epworth Sleepiness Scale (ESS) have been used, but none was developed via standard procedures. Here we report on the construction and testing of the developer-authorized Japanese version of the ESS (JESS). METHODS Developing the JESS involved translations, back translations, a pilot study, and psychometric testing. We identified questions in the ESS that were difficult to answer or were inappropriate in Japan, proposed possible replacements for those questions, and tested them with analyses based on item response theory (IRT) and classical test theory. The subjects were healthy people and patients with narcolepsy, idiopathic hypersomnia, or obstructive sleep apnea syndrome. RESULTS We identified two of our proposed questions as appropriate replacements for two problematic questions in the ESS. The JESS had very few missing data. Internal consistency reliability and test-retest reliability were high. The patients had significantly higher JESS scores than did the healthy people, and higher JESS scores were associated with worse daytime function, as measured with the Pittsburgh Sleep Quality Index. CONCLUSIONS In Japan, the JESS provides reliable and valid information on daytime sleepiness. Researchers who use the ESS with other populations should combine their knowledge of local conditions with the results of psychometric tests.","author":[{"dropping-particle":"","family":"Takegami","given":"Misa","non-dropping-particle":"","parse-names":false,"suffix":""},{"dropping-particle":"","family":"Suzukamo","given":"Yoshimi","non-dropping-particle":"","parse-names":false,"suffix":""},{"dropping-particle":"","family":"Wakita","given":"Takafumi","non-dropping-particle":"","parse-names":false,"suffix":""},{"dropping-particle":"","family":"Noguchi","given":"Hiroyuki","non-dropping-particle":"","parse-names":false,"suffix":""},{"dropping-particle":"","family":"Chin","given":"Kazuo","non-dropping-particle":"","parse-names":false,"suffix":""},{"dropping-particle":"","family":"Kadotani","given":"Hiroshi","non-dropping-particle":"","parse-names":false,"suffix":""},{"dropping-particle":"","family":"Inoue","given":"Yuichi","non-dropping-particle":"","parse-names":false,"suffix":""},{"dropping-particle":"","family":"Oka","given":"Yasunori","non-dropping-particle":"","parse-names":false,"suffix":""},{"dropping-particle":"","family":"Nakamura","given":"Takaya","non-dropping-particle":"","parse-names":false,"suffix":""},{"dropping-particle":"","family":"Green","given":"Joseph","non-dropping-particle":"","parse-names":false,"suffix":""},{"dropping-particle":"","family":"Johns","given":"Murray W.","non-dropping-particle":"","parse-names":false,"suffix":""},{"dropping-particle":"","family":"Fukuhara","given":"Shunichi","non-dropping-particle":"","parse-names":false,"suffix":""}],"container-title":"Sleep Medicine","id":"ITEM-1","issue":"5","issued":{"date-parts":[["2009","5"]]},"page":"556-565","title":"Development of a Japanese version of the Epworth Sleepiness Scale (JESS) based on Item Response Theory","type":"article-journal","volume":"10"},"uris":["http://www.mendeley.com/documents/?uuid=cdcf0fa0-5bbd-3f9a-880f-b9615c73ec78"]}],"mendeley":{"formattedCitation":"(6)","plainTextFormattedCitation":"(6)","previouslyFormattedCitation":"(7)"},"properties":{"noteIndex":0},"schema":"https://github.com/citation-style-language/schema/raw/master/csl-citation.json"}</w:instrText>
            </w:r>
            <w:r w:rsidRPr="00241D72">
              <w:rPr>
                <w:rFonts w:asciiTheme="majorBidi" w:hAnsiTheme="majorBidi" w:cstheme="majorBidi"/>
                <w:sz w:val="22"/>
              </w:rPr>
              <w:fldChar w:fldCharType="separate"/>
            </w:r>
            <w:r w:rsidR="00AE6E68" w:rsidRPr="00241D72">
              <w:rPr>
                <w:rFonts w:asciiTheme="majorBidi" w:hAnsiTheme="majorBidi" w:cstheme="majorBidi"/>
                <w:sz w:val="22"/>
              </w:rPr>
              <w:t>(6)</w:t>
            </w:r>
            <w:r w:rsidRPr="00241D72">
              <w:rPr>
                <w:rFonts w:asciiTheme="majorBidi" w:hAnsiTheme="majorBidi" w:cstheme="majorBidi"/>
                <w:sz w:val="22"/>
              </w:rPr>
              <w:fldChar w:fldCharType="end"/>
            </w: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6FED8B"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24-point scale, 8 questions</w:t>
            </w:r>
          </w:p>
        </w:tc>
      </w:tr>
      <w:tr w:rsidR="00CC7229" w:rsidRPr="00241D72" w14:paraId="0922C126" w14:textId="77777777" w:rsidTr="009B30B1">
        <w:trPr>
          <w:trHeight w:val="477"/>
        </w:trPr>
        <w:tc>
          <w:tcPr>
            <w:tcW w:w="94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btLr"/>
            <w:hideMark/>
          </w:tcPr>
          <w:p w14:paraId="6F45F16D" w14:textId="77777777" w:rsidR="00CC7229" w:rsidRPr="00241D72" w:rsidRDefault="00CC7229" w:rsidP="009B30B1">
            <w:pPr>
              <w:ind w:left="113" w:right="113"/>
              <w:jc w:val="center"/>
              <w:rPr>
                <w:rFonts w:asciiTheme="majorBidi" w:hAnsiTheme="majorBidi" w:cstheme="majorBidi"/>
                <w:b/>
                <w:sz w:val="22"/>
              </w:rPr>
            </w:pPr>
            <w:r w:rsidRPr="00241D72">
              <w:rPr>
                <w:rFonts w:asciiTheme="majorBidi" w:hAnsiTheme="majorBidi" w:cstheme="majorBidi"/>
                <w:b/>
                <w:sz w:val="22"/>
              </w:rPr>
              <w:t>Tests</w:t>
            </w: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94BE126"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Postural stability</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096711" w14:textId="6CB64CE9"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 xml:space="preserve">Stabilometry </w:t>
            </w:r>
            <w:r w:rsidRPr="00241D72">
              <w:rPr>
                <w:rFonts w:asciiTheme="majorBidi" w:hAnsiTheme="majorBidi" w:cstheme="majorBidi"/>
                <w:sz w:val="22"/>
              </w:rPr>
              <w:fldChar w:fldCharType="begin" w:fldLock="1"/>
            </w:r>
            <w:r w:rsidR="00AE6E68" w:rsidRPr="00241D72">
              <w:rPr>
                <w:rFonts w:asciiTheme="majorBidi" w:hAnsiTheme="majorBidi" w:cstheme="majorBidi"/>
                <w:sz w:val="22"/>
              </w:rPr>
              <w:instrText>ADDIN CSL_CITATION {"citationItems":[{"id":"ITEM-1","itemData":{"DOI":"10.1016/j.gaitpost.2014.12.007","ISSN":"09666362","PMID":"25891528","abstract":"UNLABELLED We investigated test to retest reliability and intraindividual variability of Romberg ratios in quiet stance posturography. Thirty-six healthy young adults (17 males, 19 females aged 15-38 years) were divided into 3 groups with different time-intervals between consecutive trials (20 min, 3h and 24h respectively). Each group performed 5 posturography recordings in a randomized order of eyes open (EO) or closed (EC)+once after 3 months. We measured the torque variance in posturography and calculated Romberg ratios. Total postural sway as well as sway above and below 0.1Hz was analyzed. RESULTS Test to retest reliability was found to be poor for Romberg ratios (intraclass correlation coefficients (ICC) &lt;0.4) despite that the individual EO and EC posturography recordings were consistent. For sway &gt;0.1Hz the Romberg ratios were found to be more consistent (fair to good, ICC 0.49-0.71). The variation between two consecutive tests (absolute difference (%)) was high when using the traditional Romberg ratio (EC/EO), but became less varied if an alternate formula that includes the total postural sway was used ((EC-EO)/(EC+EO)×100). CONCLUSION In healthy young adults the evaluation of ratios from repeated quiet stance posturography show great intraindividual inconsistency. This questions the Romberg ratio as being a reliable tool for evaluation of postural performance and determination of sensory preference in postural control, at least in healthy controls. Whether test-retest reliability is acceptable in patient cohorts needs to be evaluated for proper validity of intervention and outcome studies and for detection of clinical relevance.","author":[{"dropping-particle":"","family":"Tjernström","given":"Fredrik","non-dropping-particle":"","parse-names":false,"suffix":""},{"dropping-particle":"","family":"Björklund","given":"Måns","non-dropping-particle":"","parse-names":false,"suffix":""},{"dropping-particle":"","family":"Malmström","given":"Eva-Maj","non-dropping-particle":"","parse-names":false,"suffix":""}],"container-title":"Gait &amp; Posture","id":"ITEM-1","issue":"1","issued":{"date-parts":[["2015","6"]]},"page":"27-31","title":"Romberg ratio in quiet stance posturography—Test to retest reliability","type":"article-journal","volume":"42"},"uris":["http://www.mendeley.com/documents/?uuid=78984e77-7e2a-32d0-add9-ce9834e5f730"]}],"mendeley":{"formattedCitation":"(7)","plainTextFormattedCitation":"(7)","previouslyFormattedCitation":"(8)"},"properties":{"noteIndex":0},"schema":"https://github.com/citation-style-language/schema/raw/master/csl-citation.json"}</w:instrText>
            </w:r>
            <w:r w:rsidRPr="00241D72">
              <w:rPr>
                <w:rFonts w:asciiTheme="majorBidi" w:hAnsiTheme="majorBidi" w:cstheme="majorBidi"/>
                <w:sz w:val="22"/>
              </w:rPr>
              <w:fldChar w:fldCharType="separate"/>
            </w:r>
            <w:r w:rsidR="00AE6E68" w:rsidRPr="00241D72">
              <w:rPr>
                <w:rFonts w:asciiTheme="majorBidi" w:hAnsiTheme="majorBidi" w:cstheme="majorBidi"/>
                <w:sz w:val="22"/>
              </w:rPr>
              <w:t>(7)</w:t>
            </w:r>
            <w:r w:rsidRPr="00241D72">
              <w:rPr>
                <w:rFonts w:asciiTheme="majorBidi" w:hAnsiTheme="majorBidi" w:cstheme="majorBidi"/>
                <w:sz w:val="22"/>
              </w:rPr>
              <w:fldChar w:fldCharType="end"/>
            </w:r>
          </w:p>
          <w:p w14:paraId="46C3BF1B" w14:textId="190470C5" w:rsidR="00CC7229" w:rsidRPr="00241D72" w:rsidRDefault="00CC7229" w:rsidP="009B30B1">
            <w:pPr>
              <w:tabs>
                <w:tab w:val="left" w:pos="1240"/>
              </w:tabs>
              <w:snapToGrid w:val="0"/>
              <w:rPr>
                <w:rFonts w:asciiTheme="majorBidi" w:hAnsiTheme="majorBidi" w:cstheme="majorBidi"/>
                <w:sz w:val="22"/>
              </w:rPr>
            </w:pPr>
            <w:r w:rsidRPr="00241D72">
              <w:rPr>
                <w:rFonts w:asciiTheme="majorBidi" w:hAnsiTheme="majorBidi" w:cstheme="majorBidi"/>
                <w:sz w:val="22"/>
              </w:rPr>
              <w:t xml:space="preserve">RR was defined as the ratio of </w:t>
            </w:r>
            <w:r w:rsidR="000333DE" w:rsidRPr="00241D72">
              <w:rPr>
                <w:rFonts w:asciiTheme="majorBidi" w:hAnsiTheme="majorBidi" w:cstheme="majorBidi"/>
                <w:sz w:val="22"/>
              </w:rPr>
              <w:t xml:space="preserve">body sway area or length with eyes </w:t>
            </w:r>
            <w:r w:rsidRPr="00241D72">
              <w:rPr>
                <w:rFonts w:asciiTheme="majorBidi" w:hAnsiTheme="majorBidi" w:cstheme="majorBidi"/>
                <w:sz w:val="22"/>
              </w:rPr>
              <w:t>closed</w:t>
            </w:r>
            <w:r w:rsidR="000333DE" w:rsidRPr="00241D72">
              <w:rPr>
                <w:rFonts w:asciiTheme="majorBidi" w:hAnsiTheme="majorBidi" w:cstheme="majorBidi"/>
                <w:sz w:val="22"/>
              </w:rPr>
              <w:t xml:space="preserve"> to same parameters with eyes </w:t>
            </w:r>
            <w:r w:rsidRPr="00241D72">
              <w:rPr>
                <w:rFonts w:asciiTheme="majorBidi" w:hAnsiTheme="majorBidi" w:cstheme="majorBidi"/>
                <w:sz w:val="22"/>
              </w:rPr>
              <w:t xml:space="preserve">open </w:t>
            </w: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875708" w14:textId="3B3D6331"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 xml:space="preserve">Large RR area or length indicated </w:t>
            </w:r>
            <w:r w:rsidR="000333DE" w:rsidRPr="00241D72">
              <w:rPr>
                <w:rFonts w:asciiTheme="majorBidi" w:hAnsiTheme="majorBidi" w:cstheme="majorBidi"/>
                <w:sz w:val="22"/>
              </w:rPr>
              <w:t xml:space="preserve">poor </w:t>
            </w:r>
            <w:r w:rsidRPr="00241D72">
              <w:rPr>
                <w:rFonts w:asciiTheme="majorBidi" w:hAnsiTheme="majorBidi" w:cstheme="majorBidi"/>
                <w:sz w:val="22"/>
              </w:rPr>
              <w:t xml:space="preserve">static balance </w:t>
            </w:r>
          </w:p>
        </w:tc>
      </w:tr>
      <w:tr w:rsidR="00CC7229" w:rsidRPr="00241D72" w14:paraId="10EF4A69" w14:textId="77777777" w:rsidTr="009B30B1">
        <w:trPr>
          <w:trHeight w:val="515"/>
        </w:trPr>
        <w:tc>
          <w:tcPr>
            <w:tcW w:w="946"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tbRl"/>
          </w:tcPr>
          <w:p w14:paraId="15589038" w14:textId="77777777" w:rsidR="00CC7229" w:rsidRPr="00241D72" w:rsidRDefault="00CC7229" w:rsidP="009B30B1">
            <w:pPr>
              <w:rPr>
                <w:rFonts w:asciiTheme="majorBidi" w:hAnsiTheme="majorBidi" w:cstheme="majorBidi"/>
                <w:sz w:val="22"/>
              </w:rPr>
            </w:pP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A17DC7"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Otolith function</w:t>
            </w:r>
          </w:p>
          <w:p w14:paraId="2B62EF12"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(Saccule)</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35F518" w14:textId="77777777" w:rsidR="00CC7229" w:rsidRPr="00241D72" w:rsidRDefault="00CC7229" w:rsidP="009B30B1">
            <w:pPr>
              <w:tabs>
                <w:tab w:val="left" w:pos="1370"/>
              </w:tabs>
              <w:snapToGrid w:val="0"/>
              <w:rPr>
                <w:rFonts w:asciiTheme="majorBidi" w:hAnsiTheme="majorBidi" w:cstheme="majorBidi"/>
                <w:sz w:val="22"/>
              </w:rPr>
            </w:pPr>
            <w:r w:rsidRPr="00241D72">
              <w:rPr>
                <w:rFonts w:asciiTheme="majorBidi" w:hAnsiTheme="majorBidi" w:cstheme="majorBidi"/>
                <w:sz w:val="22"/>
              </w:rPr>
              <w:t xml:space="preserve">cVEMP </w:t>
            </w:r>
            <w:r w:rsidRPr="00241D72">
              <w:rPr>
                <w:rFonts w:asciiTheme="majorBidi" w:hAnsiTheme="majorBidi" w:cstheme="majorBidi"/>
                <w:sz w:val="22"/>
              </w:rPr>
              <w:fldChar w:fldCharType="begin" w:fldLock="1"/>
            </w:r>
            <w:r w:rsidR="00AE6E68" w:rsidRPr="00241D72">
              <w:rPr>
                <w:rFonts w:asciiTheme="majorBidi" w:hAnsiTheme="majorBidi" w:cstheme="majorBidi"/>
                <w:sz w:val="22"/>
              </w:rPr>
              <w:instrText>ADDIN CSL_CITATION {"citationItems":[{"id":"ITEM-1","itemData":{"DOI":"10.1007/978-4-431-85908-6","ISBN":"9784431859086 (online)","abstract":"This monograph on the vestibular evoked myogenic potential (VEMP) has been written by leading investigators in the field and reviews the most recent studies in VEMP. The research encompasses the neurophysiological bases, methods of recording, and applications for common vestibular disorders such as Meniere's disease, vestibular neuritis, and acoustic neuroma. Also included is information on clinical applications to children and on ocular VEMP (oVEMP), a new variant of VEMP. Readers are provided with a full explanation of the principles and unique attributes of the VEMP test, proposed as a new method for assessing the individual saccule function, and will learn how the VEMP and caloric tests compare. Clinicians and scientists in particular can deepen their understanding of vestibular disorders with the knowledge contained in this monograph, which also serves as a quick reference for those interested in the vestibular system and this important new clinical test. Basics -- Overview of the Vestibular System -- Sound Sensitivity of the Vestibular End-Organs and Sound-Evoked Vestibulocollic Reflexes in Mammals -- Recording and Assessing VEMPs -- VEMP Variants -- Clinical Applications -- Meniere{u2019}s Disease and Related Disorders: Detection of Saccular Endolymphatic Hydrops -- Vestibular Neuritis (Neurolabyrinthitis) and Other Peripheral Vestibulopathies: Detection of Inferior Vestibular Nerve Damage -- Superior Canal Dehiscence Syndrome and VEMPs: Detection of Hypersensitivity of the Vestibular System to Sound -- Migraine-Associated Vertigo and VEMPs: Detection of Vestibular Signs in a Common but Unclear Entity -- Acoustic Neuroma and Other Cerebellopontine Angle Tumors: Detecting a Neoplasm in the Cerebellopontine Angle -- Disorders of the Central Nervous System and VEMPs: Detecting Lesions in the Vestibulospinal Pathway -- Pediatric Applications -- Neurootological Application of VEMP Recording During Infancy and Childhood.","author":[{"dropping-particle":"","family":"Murofushi","given":"Toshihisa.","non-dropping-particle":"","parse-names":false,"suffix":""},{"dropping-particle":"","family":"Kaga","given":"Kimitaka","non-dropping-particle":"","parse-names":false,"suffix":""}],"id":"ITEM-1","issued":{"date-parts":[["2009"]]},"number-of-pages":"112","publisher":"Springer Japan","publisher-place":"Tokyo","title":"Vestibular evoked myogenic potential : its basics and clinical applications.","type":"book"},"uris":["http://www.mendeley.com/documents/?uuid=2bd30bbe-9d10-3d6a-9aae-fcaac0e132d7"]}],"mendeley":{"formattedCitation":"(8)","plainTextFormattedCitation":"(8)","previouslyFormattedCitation":"(9)"},"properties":{"noteIndex":0},"schema":"https://github.com/citation-style-language/schema/raw/master/csl-citation.json"}</w:instrText>
            </w:r>
            <w:r w:rsidRPr="00241D72">
              <w:rPr>
                <w:rFonts w:asciiTheme="majorBidi" w:hAnsiTheme="majorBidi" w:cstheme="majorBidi"/>
                <w:sz w:val="22"/>
              </w:rPr>
              <w:fldChar w:fldCharType="separate"/>
            </w:r>
            <w:r w:rsidR="00AE6E68" w:rsidRPr="00241D72">
              <w:rPr>
                <w:rFonts w:asciiTheme="majorBidi" w:hAnsiTheme="majorBidi" w:cstheme="majorBidi"/>
                <w:sz w:val="22"/>
              </w:rPr>
              <w:t>(8)</w:t>
            </w:r>
            <w:r w:rsidRPr="00241D72">
              <w:rPr>
                <w:rFonts w:asciiTheme="majorBidi" w:hAnsiTheme="majorBidi" w:cstheme="majorBidi"/>
                <w:sz w:val="22"/>
              </w:rPr>
              <w:fldChar w:fldCharType="end"/>
            </w:r>
          </w:p>
          <w:p w14:paraId="0D7A4CBA" w14:textId="597901A3" w:rsidR="00AE6E68" w:rsidRPr="00241D72" w:rsidRDefault="009B30B1" w:rsidP="009B30B1">
            <w:pPr>
              <w:tabs>
                <w:tab w:val="left" w:pos="1370"/>
              </w:tabs>
              <w:snapToGrid w:val="0"/>
              <w:rPr>
                <w:rFonts w:asciiTheme="majorBidi" w:hAnsiTheme="majorBidi" w:cstheme="majorBidi"/>
                <w:sz w:val="22"/>
                <w:lang w:eastAsia="ja-JP"/>
              </w:rPr>
            </w:pPr>
            <w:r w:rsidRPr="00241D72">
              <w:rPr>
                <w:rFonts w:asciiTheme="majorBidi" w:hAnsiTheme="majorBidi" w:cstheme="majorBidi"/>
                <w:sz w:val="22"/>
                <w:lang w:eastAsia="ja-JP"/>
              </w:rPr>
              <w:t>AR</w:t>
            </w:r>
            <w:r w:rsidR="00AE6E68" w:rsidRPr="00241D72">
              <w:rPr>
                <w:rFonts w:asciiTheme="majorBidi" w:hAnsiTheme="majorBidi" w:cstheme="majorBidi"/>
                <w:sz w:val="22"/>
                <w:lang w:eastAsia="ja-JP"/>
              </w:rPr>
              <w:t xml:space="preserve"> was defined as the difference </w:t>
            </w:r>
            <w:r w:rsidR="003155A7" w:rsidRPr="00241D72">
              <w:t>between the large amplitude (AL) and small amplitude (AS) of peak 13 to peak n23 divided by the sum of both amplitudes presented as a percent</w:t>
            </w:r>
            <w:r w:rsidR="008A5099">
              <w:t>age</w:t>
            </w:r>
            <w:r w:rsidR="003155A7" w:rsidRPr="00241D72">
              <w:t>, i.e., [(AL-AS)</w:t>
            </w:r>
            <w:r w:rsidR="008A5099">
              <w:t xml:space="preserve"> </w:t>
            </w:r>
            <w:r w:rsidR="003155A7" w:rsidRPr="00241D72">
              <w:t>/</w:t>
            </w:r>
            <w:r w:rsidR="008A5099">
              <w:t xml:space="preserve"> </w:t>
            </w:r>
            <w:r w:rsidR="003155A7" w:rsidRPr="00241D72">
              <w:t>(AL</w:t>
            </w:r>
            <w:r w:rsidR="008A5099">
              <w:t xml:space="preserve"> </w:t>
            </w:r>
            <w:r w:rsidR="003155A7" w:rsidRPr="00241D72">
              <w:t>+</w:t>
            </w:r>
            <w:r w:rsidR="008A5099">
              <w:t xml:space="preserve"> </w:t>
            </w:r>
            <w:r w:rsidR="003155A7" w:rsidRPr="00241D72">
              <w:t>AS)]</w:t>
            </w:r>
            <w:r w:rsidR="008A5099">
              <w:t xml:space="preserve"> </w:t>
            </w:r>
            <w:r w:rsidR="008A5099">
              <w:rPr>
                <w:rFonts w:cs="Times New Roman"/>
              </w:rPr>
              <w:t>×</w:t>
            </w:r>
            <w:r w:rsidR="008A5099">
              <w:t xml:space="preserve"> </w:t>
            </w:r>
            <w:r w:rsidR="003155A7" w:rsidRPr="00241D72">
              <w:t>100</w:t>
            </w:r>
            <w:r w:rsidR="00956C73">
              <w:t xml:space="preserve"> </w:t>
            </w:r>
            <w:r w:rsidR="00AE6E68" w:rsidRPr="00241D72">
              <w:rPr>
                <w:rFonts w:asciiTheme="majorBidi" w:hAnsiTheme="majorBidi" w:cstheme="majorBidi"/>
                <w:sz w:val="22"/>
                <w:lang w:eastAsia="ja-JP"/>
              </w:rPr>
              <w:t>(%). The normal range of AR was defined as less than 33%.</w:t>
            </w: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DE299E" w14:textId="66A3911E" w:rsidR="00CC7229" w:rsidRPr="00241D72" w:rsidRDefault="00AE6E68" w:rsidP="009B30B1">
            <w:pPr>
              <w:snapToGrid w:val="0"/>
              <w:rPr>
                <w:rFonts w:asciiTheme="majorBidi" w:hAnsiTheme="majorBidi" w:cstheme="majorBidi"/>
                <w:sz w:val="22"/>
              </w:rPr>
            </w:pPr>
            <w:r w:rsidRPr="00241D72">
              <w:rPr>
                <w:rFonts w:asciiTheme="majorBidi" w:hAnsiTheme="majorBidi" w:cstheme="majorBidi"/>
                <w:sz w:val="22"/>
              </w:rPr>
              <w:t>Small</w:t>
            </w:r>
            <w:r w:rsidR="00CC7229" w:rsidRPr="00241D72">
              <w:rPr>
                <w:rFonts w:asciiTheme="majorBidi" w:hAnsiTheme="majorBidi" w:cstheme="majorBidi"/>
                <w:sz w:val="22"/>
              </w:rPr>
              <w:t xml:space="preserve"> </w:t>
            </w:r>
            <w:r w:rsidRPr="00241D72">
              <w:rPr>
                <w:rFonts w:asciiTheme="majorBidi" w:hAnsiTheme="majorBidi" w:cstheme="majorBidi"/>
                <w:sz w:val="22"/>
              </w:rPr>
              <w:t>AR</w:t>
            </w:r>
            <w:r w:rsidR="00CC7229" w:rsidRPr="00241D72">
              <w:rPr>
                <w:rFonts w:asciiTheme="majorBidi" w:hAnsiTheme="majorBidi" w:cstheme="majorBidi"/>
                <w:sz w:val="22"/>
              </w:rPr>
              <w:t xml:space="preserve"> indicated good saccule-inferior vestibular nerve function </w:t>
            </w:r>
          </w:p>
        </w:tc>
      </w:tr>
      <w:tr w:rsidR="00CC7229" w:rsidRPr="00241D72" w14:paraId="5E04FAF1" w14:textId="77777777" w:rsidTr="009B30B1">
        <w:trPr>
          <w:trHeight w:val="515"/>
        </w:trPr>
        <w:tc>
          <w:tcPr>
            <w:tcW w:w="946"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tbRl"/>
          </w:tcPr>
          <w:p w14:paraId="47065C39" w14:textId="77777777" w:rsidR="00CC7229" w:rsidRPr="00241D72" w:rsidRDefault="00CC7229" w:rsidP="009B30B1">
            <w:pPr>
              <w:rPr>
                <w:rFonts w:asciiTheme="majorBidi" w:hAnsiTheme="majorBidi" w:cstheme="majorBidi"/>
                <w:sz w:val="22"/>
              </w:rPr>
            </w:pP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0CD022"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Semicircular canal and Otolith function</w:t>
            </w:r>
          </w:p>
          <w:p w14:paraId="38998D35"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(Utricle)</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CAF075" w14:textId="2A44960C" w:rsidR="00CC7229" w:rsidRPr="00241D72" w:rsidRDefault="00CC7229" w:rsidP="009B30B1">
            <w:pPr>
              <w:tabs>
                <w:tab w:val="left" w:pos="1370"/>
              </w:tabs>
              <w:snapToGrid w:val="0"/>
              <w:rPr>
                <w:rFonts w:asciiTheme="majorBidi" w:hAnsiTheme="majorBidi" w:cstheme="majorBidi"/>
                <w:sz w:val="22"/>
              </w:rPr>
            </w:pPr>
            <w:r w:rsidRPr="00241D72">
              <w:rPr>
                <w:rFonts w:asciiTheme="majorBidi" w:hAnsiTheme="majorBidi" w:cstheme="majorBidi"/>
                <w:sz w:val="22"/>
              </w:rPr>
              <w:t>Caloric test</w:t>
            </w:r>
            <w:r w:rsidR="002F6762" w:rsidRPr="00241D72">
              <w:rPr>
                <w:rFonts w:asciiTheme="majorBidi" w:hAnsiTheme="majorBidi" w:cstheme="majorBidi"/>
                <w:sz w:val="22"/>
              </w:rPr>
              <w:t xml:space="preserve"> </w:t>
            </w:r>
            <w:r w:rsidR="00AE6E68" w:rsidRPr="00241D72">
              <w:rPr>
                <w:rFonts w:asciiTheme="majorBidi" w:hAnsiTheme="majorBidi" w:cstheme="majorBidi"/>
                <w:sz w:val="22"/>
              </w:rPr>
              <w:fldChar w:fldCharType="begin" w:fldLock="1"/>
            </w:r>
            <w:r w:rsidR="00AE6E68" w:rsidRPr="00241D72">
              <w:rPr>
                <w:rFonts w:asciiTheme="majorBidi" w:hAnsiTheme="majorBidi" w:cstheme="majorBidi"/>
                <w:sz w:val="22"/>
              </w:rPr>
              <w:instrText>ADDIN CSL_CITATION {"citationItems":[{"id":"ITEM-1","itemData":{"DOI":"10.1159/000274383","ISSN":"1423-0275","abstract":"In our investigation of 341 patients complaining about vertigo. We tried to obtain data on the clinical value of electronystagmo-graphy. We performed the posture lest with all patients and the caloric test will 262 of them. In 52 of these 341 cases a spontaneous or positional nystagmus was observed by direct observation, whilst in 230 cases a spontaneous or positional nystagmus was recorded. Of 85 normal control subjects only once a nystagmus was found in the posture test. It appeared that in purely vestibular disturbances a direction changing positional nystagmus occurs quite often, whereas in typically central disturbances often nystagmus forms are present, which always beat in the same direction and in which no influence of position can he seen. Of the 255 patients on whom a quantitative calorie test was the our investigation of 341 patients complaining about vertigo. We tried to obtain data on llii\" clinical value of eleetronystagmography. We performed the posture lest with the patients and the caloric test will 263 of them. In 52 of these 341 cases a spontaneous or positional nystagmus was observed by direct observation, whilst in 230 cases a spontaneous or positional nystagmus was recorded. Of 85 normal control subjects only once a nystagmus was found in the posture test. It appeared thai in purely vestibular disturbances a direction changing positional nystagmus occurs quite often, whereas in typically central disturbances often nystagmus forms are present, which always beat in the same direction and in which no influence of position can he seen. Of the 255 patients on whom a quantitative calorie lest was given in literature of about 70% limited to one.side, to 30% lateral eases. From our findings it follows that eleetronystagmography is indispensable in clinical practice, especially for insurance cases, etc., in diagnosing disability. Also to verify Whether complaints of vertigo due to vestibular disease have an organic basis, nystagmography is essential. © 1962 S. Karger AG, Basel.","author":[{"dropping-particle":"","family":"Jongkees","given":"L.B.W.","non-dropping-particle":"","parse-names":false,"suffix":""},{"dropping-particle":"","family":"Maas","given":"J.P.M.","non-dropping-particle":"","parse-names":false,"suffix":""},{"dropping-particle":"","family":"Philipszoon","given":"A.J.","non-dropping-particle":"","parse-names":false,"suffix":""}],"container-title":"ORL","id":"ITEM-1","issue":"2","issued":{"date-parts":[["1962"]]},"page":"65-93","publisher":"Karger Publishers","title":"Clinical Nystagmography","type":"article-journal","volume":"24"},"uris":["http://www.mendeley.com/documents/?uuid=52358590-7490-3f1a-b1ca-c098bf0cc913"]}],"mendeley":{"formattedCitation":"(9)","plainTextFormattedCitation":"(9)"},"properties":{"noteIndex":0},"schema":"https://github.com/citation-style-language/schema/raw/master/csl-citation.json"}</w:instrText>
            </w:r>
            <w:r w:rsidR="00AE6E68" w:rsidRPr="00241D72">
              <w:rPr>
                <w:rFonts w:asciiTheme="majorBidi" w:hAnsiTheme="majorBidi" w:cstheme="majorBidi"/>
                <w:sz w:val="22"/>
              </w:rPr>
              <w:fldChar w:fldCharType="separate"/>
            </w:r>
            <w:r w:rsidR="00AE6E68" w:rsidRPr="00241D72">
              <w:rPr>
                <w:rFonts w:asciiTheme="majorBidi" w:hAnsiTheme="majorBidi" w:cstheme="majorBidi"/>
                <w:sz w:val="22"/>
              </w:rPr>
              <w:t>(9)</w:t>
            </w:r>
            <w:r w:rsidR="00AE6E68" w:rsidRPr="00241D72">
              <w:rPr>
                <w:rFonts w:asciiTheme="majorBidi" w:hAnsiTheme="majorBidi" w:cstheme="majorBidi"/>
                <w:sz w:val="22"/>
              </w:rPr>
              <w:fldChar w:fldCharType="end"/>
            </w:r>
          </w:p>
          <w:p w14:paraId="7BB5F7C3" w14:textId="220B18C3" w:rsidR="000333DE" w:rsidRPr="00241D72" w:rsidRDefault="00AE6E68" w:rsidP="002F6762">
            <w:pPr>
              <w:tabs>
                <w:tab w:val="left" w:pos="1370"/>
              </w:tabs>
              <w:snapToGrid w:val="0"/>
              <w:rPr>
                <w:rFonts w:asciiTheme="majorBidi" w:hAnsiTheme="majorBidi" w:cstheme="majorBidi"/>
                <w:sz w:val="22"/>
                <w:lang w:eastAsia="ja-JP"/>
              </w:rPr>
            </w:pPr>
            <w:r w:rsidRPr="00241D72">
              <w:rPr>
                <w:rFonts w:asciiTheme="majorBidi" w:hAnsiTheme="majorBidi" w:cstheme="majorBidi" w:hint="eastAsia"/>
                <w:sz w:val="22"/>
                <w:lang w:eastAsia="ja-JP"/>
              </w:rPr>
              <w:t>C</w:t>
            </w:r>
            <w:r w:rsidRPr="00241D72">
              <w:rPr>
                <w:rFonts w:asciiTheme="majorBidi" w:hAnsiTheme="majorBidi" w:cstheme="majorBidi"/>
                <w:sz w:val="22"/>
                <w:lang w:eastAsia="ja-JP"/>
              </w:rPr>
              <w:t xml:space="preserve">anal paresis% (CP%) was </w:t>
            </w:r>
            <w:r w:rsidR="000333DE" w:rsidRPr="00241D72">
              <w:rPr>
                <w:rFonts w:asciiTheme="majorBidi" w:hAnsiTheme="majorBidi" w:cstheme="majorBidi"/>
                <w:sz w:val="22"/>
                <w:lang w:eastAsia="ja-JP"/>
              </w:rPr>
              <w:t>calculated using the following equation</w:t>
            </w:r>
            <w:r w:rsidR="002F6762" w:rsidRPr="00241D72">
              <w:rPr>
                <w:rFonts w:asciiTheme="majorBidi" w:hAnsiTheme="majorBidi" w:cstheme="majorBidi"/>
                <w:sz w:val="22"/>
                <w:lang w:eastAsia="ja-JP"/>
              </w:rPr>
              <w:t xml:space="preserve">: </w:t>
            </w:r>
          </w:p>
          <w:p w14:paraId="0577C047" w14:textId="1EC1B95F" w:rsidR="00CC7229" w:rsidRPr="00241D72" w:rsidRDefault="00AE6E68" w:rsidP="002F6762">
            <w:pPr>
              <w:tabs>
                <w:tab w:val="left" w:pos="1370"/>
              </w:tabs>
              <w:snapToGrid w:val="0"/>
              <w:rPr>
                <w:rFonts w:asciiTheme="majorBidi" w:hAnsiTheme="majorBidi" w:cstheme="majorBidi"/>
                <w:sz w:val="22"/>
                <w:lang w:eastAsia="ja-JP"/>
              </w:rPr>
            </w:pPr>
            <w:r w:rsidRPr="00241D72">
              <w:rPr>
                <w:rFonts w:asciiTheme="majorBidi" w:hAnsiTheme="majorBidi" w:cstheme="majorBidi"/>
                <w:sz w:val="22"/>
                <w:lang w:eastAsia="ja-JP"/>
              </w:rPr>
              <w:t>[(MVS of the right warm</w:t>
            </w:r>
            <w:r w:rsidR="00F82D94" w:rsidRPr="00241D72">
              <w:rPr>
                <w:rFonts w:asciiTheme="majorBidi" w:hAnsiTheme="majorBidi" w:cstheme="majorBidi"/>
                <w:sz w:val="22"/>
                <w:lang w:eastAsia="ja-JP"/>
              </w:rPr>
              <w:t xml:space="preserve"> </w:t>
            </w:r>
            <w:r w:rsidRPr="00241D72">
              <w:rPr>
                <w:rFonts w:asciiTheme="majorBidi" w:hAnsiTheme="majorBidi" w:cstheme="majorBidi"/>
                <w:sz w:val="22"/>
                <w:lang w:eastAsia="ja-JP"/>
              </w:rPr>
              <w:t>(RW)+ MVS of the right warm</w:t>
            </w:r>
            <w:r w:rsidR="00F82D94" w:rsidRPr="00241D72">
              <w:rPr>
                <w:rFonts w:asciiTheme="majorBidi" w:hAnsiTheme="majorBidi" w:cstheme="majorBidi"/>
                <w:sz w:val="22"/>
                <w:lang w:eastAsia="ja-JP"/>
              </w:rPr>
              <w:t xml:space="preserve"> </w:t>
            </w:r>
            <w:r w:rsidRPr="00241D72">
              <w:rPr>
                <w:rFonts w:asciiTheme="majorBidi" w:hAnsiTheme="majorBidi" w:cstheme="majorBidi"/>
                <w:sz w:val="22"/>
                <w:lang w:eastAsia="ja-JP"/>
              </w:rPr>
              <w:t xml:space="preserve">(RW))-(MVS of the left </w:t>
            </w:r>
            <w:r w:rsidRPr="00241D72">
              <w:rPr>
                <w:rFonts w:asciiTheme="majorBidi" w:hAnsiTheme="majorBidi" w:cstheme="majorBidi"/>
                <w:sz w:val="22"/>
                <w:lang w:eastAsia="ja-JP"/>
              </w:rPr>
              <w:lastRenderedPageBreak/>
              <w:t>warm</w:t>
            </w:r>
            <w:r w:rsidR="00F82D94" w:rsidRPr="00241D72">
              <w:rPr>
                <w:rFonts w:asciiTheme="majorBidi" w:hAnsiTheme="majorBidi" w:cstheme="majorBidi"/>
                <w:sz w:val="22"/>
                <w:lang w:eastAsia="ja-JP"/>
              </w:rPr>
              <w:t xml:space="preserve"> </w:t>
            </w:r>
            <w:r w:rsidRPr="00241D72">
              <w:rPr>
                <w:rFonts w:asciiTheme="majorBidi" w:hAnsiTheme="majorBidi" w:cstheme="majorBidi"/>
                <w:sz w:val="22"/>
                <w:lang w:eastAsia="ja-JP"/>
              </w:rPr>
              <w:t>(LW)+ MVS of the left cold</w:t>
            </w:r>
            <w:r w:rsidR="00F82D94" w:rsidRPr="00241D72">
              <w:rPr>
                <w:rFonts w:asciiTheme="majorBidi" w:hAnsiTheme="majorBidi" w:cstheme="majorBidi"/>
                <w:sz w:val="22"/>
                <w:lang w:eastAsia="ja-JP"/>
              </w:rPr>
              <w:t xml:space="preserve"> </w:t>
            </w:r>
            <w:r w:rsidRPr="00241D72">
              <w:rPr>
                <w:rFonts w:asciiTheme="majorBidi" w:hAnsiTheme="majorBidi" w:cstheme="majorBidi"/>
                <w:sz w:val="22"/>
                <w:lang w:eastAsia="ja-JP"/>
              </w:rPr>
              <w:t>(LC))]/(RW+RC+LW+LC)x100(%</w:t>
            </w:r>
            <w:r w:rsidR="00241D72" w:rsidRPr="00241D72">
              <w:rPr>
                <w:rFonts w:asciiTheme="majorBidi" w:hAnsiTheme="majorBidi" w:cstheme="majorBidi"/>
                <w:sz w:val="22"/>
                <w:lang w:eastAsia="ja-JP"/>
              </w:rPr>
              <w:t>). The</w:t>
            </w:r>
            <w:r w:rsidRPr="00241D72">
              <w:rPr>
                <w:rFonts w:asciiTheme="majorBidi" w:hAnsiTheme="majorBidi" w:cstheme="majorBidi"/>
                <w:sz w:val="22"/>
                <w:lang w:eastAsia="ja-JP"/>
              </w:rPr>
              <w:t xml:space="preserve"> normal range of the CP% was defined as less than </w:t>
            </w:r>
            <w:r w:rsidR="004E2A52" w:rsidRPr="00241D72">
              <w:rPr>
                <w:rFonts w:asciiTheme="majorBidi" w:hAnsiTheme="majorBidi" w:cstheme="majorBidi"/>
                <w:sz w:val="22"/>
                <w:lang w:eastAsia="ja-JP"/>
              </w:rPr>
              <w:t>20</w:t>
            </w:r>
            <w:r w:rsidRPr="00241D72">
              <w:rPr>
                <w:rFonts w:asciiTheme="majorBidi" w:hAnsiTheme="majorBidi" w:cstheme="majorBidi"/>
                <w:sz w:val="22"/>
                <w:lang w:eastAsia="ja-JP"/>
              </w:rPr>
              <w:t>%.</w:t>
            </w: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181C5D" w14:textId="081637FA" w:rsidR="00CC7229" w:rsidRPr="00241D72" w:rsidRDefault="004E2A52" w:rsidP="009B30B1">
            <w:pPr>
              <w:snapToGrid w:val="0"/>
              <w:rPr>
                <w:rFonts w:asciiTheme="majorBidi" w:hAnsiTheme="majorBidi" w:cstheme="majorBidi"/>
                <w:sz w:val="22"/>
              </w:rPr>
            </w:pPr>
            <w:r w:rsidRPr="00241D72">
              <w:rPr>
                <w:rFonts w:asciiTheme="majorBidi" w:hAnsiTheme="majorBidi" w:cstheme="majorBidi"/>
                <w:sz w:val="22"/>
              </w:rPr>
              <w:lastRenderedPageBreak/>
              <w:t>Small</w:t>
            </w:r>
            <w:r w:rsidR="00AE6E68" w:rsidRPr="00241D72">
              <w:rPr>
                <w:rFonts w:asciiTheme="majorBidi" w:hAnsiTheme="majorBidi" w:cstheme="majorBidi"/>
                <w:sz w:val="22"/>
              </w:rPr>
              <w:t xml:space="preserve"> CP%</w:t>
            </w:r>
            <w:r w:rsidR="00CC7229" w:rsidRPr="00241D72">
              <w:rPr>
                <w:rFonts w:asciiTheme="majorBidi" w:hAnsiTheme="majorBidi" w:cstheme="majorBidi"/>
                <w:sz w:val="22"/>
              </w:rPr>
              <w:t xml:space="preserve"> </w:t>
            </w:r>
            <w:r w:rsidR="000333DE" w:rsidRPr="00241D72">
              <w:rPr>
                <w:rFonts w:asciiTheme="majorBidi" w:hAnsiTheme="majorBidi" w:cstheme="majorBidi"/>
                <w:sz w:val="22"/>
              </w:rPr>
              <w:t xml:space="preserve">(&lt;20%) </w:t>
            </w:r>
            <w:r w:rsidR="00CC7229" w:rsidRPr="00241D72">
              <w:rPr>
                <w:rFonts w:asciiTheme="majorBidi" w:hAnsiTheme="majorBidi" w:cstheme="majorBidi"/>
                <w:sz w:val="22"/>
              </w:rPr>
              <w:t xml:space="preserve">indicated normal utricle-superior vestibular nerve function </w:t>
            </w:r>
          </w:p>
        </w:tc>
      </w:tr>
      <w:tr w:rsidR="00CC7229" w:rsidRPr="00241D72" w14:paraId="5591BAD8" w14:textId="77777777" w:rsidTr="009B30B1">
        <w:trPr>
          <w:trHeight w:val="663"/>
        </w:trPr>
        <w:tc>
          <w:tcPr>
            <w:tcW w:w="946"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tbRl"/>
          </w:tcPr>
          <w:p w14:paraId="001BE39E" w14:textId="77777777" w:rsidR="00CC7229" w:rsidRPr="00241D72" w:rsidRDefault="00CC7229" w:rsidP="009B30B1">
            <w:pPr>
              <w:rPr>
                <w:rFonts w:asciiTheme="majorBidi" w:hAnsiTheme="majorBidi" w:cstheme="majorBidi"/>
                <w:sz w:val="22"/>
              </w:rPr>
            </w:pP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7E5BC"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OD</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9B124B"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 xml:space="preserve">HUT test </w:t>
            </w:r>
            <w:r w:rsidRPr="00241D72">
              <w:rPr>
                <w:rFonts w:asciiTheme="majorBidi" w:hAnsiTheme="majorBidi" w:cstheme="majorBidi"/>
                <w:sz w:val="22"/>
              </w:rPr>
              <w:fldChar w:fldCharType="begin" w:fldLock="1"/>
            </w:r>
            <w:r w:rsidR="00AE6E68" w:rsidRPr="00241D72">
              <w:rPr>
                <w:rFonts w:asciiTheme="majorBidi" w:hAnsiTheme="majorBidi" w:cstheme="majorBidi"/>
                <w:sz w:val="22"/>
              </w:rPr>
              <w:instrText>ADDIN CSL_CITATION {"citationItems":[{"id":"ITEM-1","itemData":{"ISBN":"9783642880773","abstract":"VI Kranken lassen sich deuten und verstehen, sondern auch Besonderheiten bei Gesunden, weil der Anteil von Herz, Gefäßen und vegetativem Nerven­ system an der Kreislauffunktion in individueller Weise zum Ausdruck kommt. Das wird aus dieser Darstellung, wie ich hoffe, hervorgehen. Den anfangs gehegten Plan, auch die therapeutischen Folgerungen zu be­ sprechen, die sich unmittelbar aus dem Ausfall der Regulationsprüfung er­ geben, habe ich wieder fallen gelassen. Denn eine solche Darstellung hätte sich, wenn sie einigen Wert haben sollte, nicht mit dem kurzen Hinweis auf einige Behandlungsverfahren oder Arzneimittel begnügen können, son­ dern hätte ausführlich sein müssen. Das aber hätte schließlich die Aufgabe des Buches überschritten: die Leistungsfähigkeit einer differential-diagnosti- 8chen Methode grundsätzlich zu zeigen und für ihren praktischen Gebrauch Wegweiser zu sein. Heidelberg, März 1938. F. SCHELLONG Vorwort zur 2. Auflage Seit dem ersten Erscheinen dieses Buches ist die Regulationsprüfung des Kreislaufs nach SCHELLONG - auch »SCHELLONG-Test« genannt - zu einem festen Bestandteil der Diagnostik geworden. Bei der Neubearbeitung habe ich mich vor allem von dem Gesichtspunkt leiten lassen, daß dieses Buch in der Praxis und im Krankenhaus ein Helfer bei der Erkennung und Beurtei­ lung von Kreislaufstörungen sein soll. Es ist gegen die »Regulationsprüfung « eingewandt worden, daß sie allein ohne Bestimmung von Schlag- und Minutenvolumen, sowie elastischem und peripherem Widerstand, eine Beurteilung des Kreislaufs nicht erlaube.","author":[{"dropping-particle":"","family":"Schellong","given":"Fritz","non-dropping-particle":"","parse-names":false,"suffix":""},{"dropping-particle":"","family":"Lüderitz","given":"Bernhard.","non-dropping-particle":"","parse-names":false,"suffix":""}],"id":"ITEM-1","issued":{"date-parts":[["1954"]]},"number-of-pages":"150","publisher":"Steinkopff","publisher-place":"Berlin","title":"Regulationsprüfung des Kreislaufs funktionelle Differentialdiagnose von Herz- und Gefässstörungen,","type":"book"},"uris":["http://www.mendeley.com/documents/?uuid=fdd95605-bde6-3434-a65a-cf13437d13ea"]},{"id":"ITEM-2","itemData":{"DOI":"10.1111/joim.12021","ISSN":"09546820","PMID":"23216860","abstract":"Orthostatic hypotension (OH) is a relatively common heterogenous and multifactorial disorder, traditionally classified as neurogenic (less common but often more severe) or nonneurogenic (more common, with no direct signs of autonomic nervous system disease). The different clinical variants of orthostatic intolerance include initial, classical and delayed OH as well as postural tachycardia syndrome. Orthostatic instability may induce syncopal attacks either alone or in combination with other mechanisms, and is often dismissed as a precipitating factor. Moreover, prevalent OH is an independent risk factor for all-cause mortality and cardiovascular morbidity, and the majority of patients with OH are asymptomatic or have few nonspecific symptoms. Management of symptomatic orthostatic intolerance includes both nonpharmacological and pharmacological methods, but it is not always successful and may lead to complications. Future studies of OH should focus on mechanisms that lead to neurogenic and nonneurogenic OH, novel diagnostic methods and more effective therapeutic modalities.","author":[{"dropping-particle":"","family":"Fedorowski","given":"A.","non-dropping-particle":"","parse-names":false,"suffix":""},{"dropping-particle":"","family":"Melander","given":"O.","non-dropping-particle":"","parse-names":false,"suffix":""}],"container-title":"Journal of Internal Medicine","id":"ITEM-2","issue":"4","issued":{"date-parts":[["2013","4"]]},"page":"322-335","title":"Syndromes of orthostatic intolerance: a hidden danger","type":"article-journal","volume":"273"},"uris":["http://www.mendeley.com/documents/?uuid=2123d189-f5aa-325e-a8d9-91fd240dd9cd"]}],"mendeley":{"formattedCitation":"(10,11)","plainTextFormattedCitation":"(10,11)","previouslyFormattedCitation":"(10,11)"},"properties":{"noteIndex":0},"schema":"https://github.com/citation-style-language/schema/raw/master/csl-citation.json"}</w:instrText>
            </w:r>
            <w:r w:rsidRPr="00241D72">
              <w:rPr>
                <w:rFonts w:asciiTheme="majorBidi" w:hAnsiTheme="majorBidi" w:cstheme="majorBidi"/>
                <w:sz w:val="22"/>
              </w:rPr>
              <w:fldChar w:fldCharType="separate"/>
            </w:r>
            <w:r w:rsidR="00931BBC" w:rsidRPr="00241D72">
              <w:rPr>
                <w:rFonts w:asciiTheme="majorBidi" w:hAnsiTheme="majorBidi" w:cstheme="majorBidi"/>
                <w:sz w:val="22"/>
              </w:rPr>
              <w:t>(10,11)</w:t>
            </w:r>
            <w:r w:rsidRPr="00241D72">
              <w:rPr>
                <w:rFonts w:asciiTheme="majorBidi" w:hAnsiTheme="majorBidi" w:cstheme="majorBidi"/>
                <w:sz w:val="22"/>
              </w:rPr>
              <w:fldChar w:fldCharType="end"/>
            </w:r>
          </w:p>
          <w:p w14:paraId="6935461F" w14:textId="36B47284" w:rsidR="00AE6E68" w:rsidRPr="00241D72" w:rsidRDefault="00AE6E68" w:rsidP="009B30B1">
            <w:pPr>
              <w:snapToGrid w:val="0"/>
              <w:rPr>
                <w:rFonts w:asciiTheme="majorBidi" w:hAnsiTheme="majorBidi" w:cstheme="majorBidi"/>
                <w:sz w:val="22"/>
              </w:rPr>
            </w:pPr>
            <w:r w:rsidRPr="00241D72">
              <w:rPr>
                <w:rFonts w:asciiTheme="majorBidi" w:hAnsiTheme="majorBidi" w:cstheme="majorBidi"/>
                <w:sz w:val="22"/>
              </w:rPr>
              <w:t>The HUT test was performed according to the method established by the Japan Society of Neurovegetative Research in 2015</w:t>
            </w:r>
            <w:r w:rsidR="008E5C33" w:rsidRPr="00241D72">
              <w:rPr>
                <w:rFonts w:asciiTheme="majorBidi" w:hAnsiTheme="majorBidi" w:cstheme="majorBidi"/>
                <w:sz w:val="22"/>
              </w:rPr>
              <w:t xml:space="preserve"> </w:t>
            </w:r>
            <w:r w:rsidRPr="00241D72">
              <w:rPr>
                <w:rFonts w:asciiTheme="majorBidi" w:hAnsiTheme="majorBidi" w:cstheme="majorBidi"/>
                <w:sz w:val="22"/>
              </w:rPr>
              <w:t>(29). Non-invasive oscillatory measurements of blood pressure (BP) and pulse rate were performed four times using an automated sphygmomanometer (ES-H55P; Terumo, Tokyo, Japan) at the following time</w:t>
            </w:r>
            <w:r w:rsidR="00BA49E3" w:rsidRPr="00241D72">
              <w:rPr>
                <w:rFonts w:asciiTheme="majorBidi" w:hAnsiTheme="majorBidi" w:cstheme="majorBidi"/>
                <w:sz w:val="22"/>
              </w:rPr>
              <w:t>-</w:t>
            </w:r>
            <w:r w:rsidRPr="00241D72">
              <w:rPr>
                <w:rFonts w:asciiTheme="majorBidi" w:hAnsiTheme="majorBidi" w:cstheme="majorBidi"/>
                <w:sz w:val="22"/>
              </w:rPr>
              <w:t>points: (</w:t>
            </w:r>
            <w:r w:rsidR="000333DE" w:rsidRPr="00241D72">
              <w:rPr>
                <w:rFonts w:asciiTheme="majorBidi" w:hAnsiTheme="majorBidi" w:cstheme="majorBidi"/>
                <w:sz w:val="22"/>
              </w:rPr>
              <w:t>1</w:t>
            </w:r>
            <w:r w:rsidRPr="00241D72">
              <w:rPr>
                <w:rFonts w:asciiTheme="majorBidi" w:hAnsiTheme="majorBidi" w:cstheme="majorBidi"/>
                <w:sz w:val="22"/>
              </w:rPr>
              <w:t xml:space="preserve">) after 10 min in a </w:t>
            </w:r>
            <w:r w:rsidR="000333DE" w:rsidRPr="00241D72">
              <w:rPr>
                <w:rFonts w:asciiTheme="majorBidi" w:hAnsiTheme="majorBidi" w:cstheme="majorBidi"/>
                <w:sz w:val="22"/>
              </w:rPr>
              <w:t xml:space="preserve">supine </w:t>
            </w:r>
            <w:r w:rsidRPr="00241D72">
              <w:rPr>
                <w:rFonts w:asciiTheme="majorBidi" w:hAnsiTheme="majorBidi" w:cstheme="majorBidi"/>
                <w:sz w:val="22"/>
              </w:rPr>
              <w:t>position, (2) after 10 s of standing, (3) after 1 min of standing, and (4) after 10 min of standing</w:t>
            </w:r>
            <w:r w:rsidR="000333DE" w:rsidRPr="00241D72">
              <w:rPr>
                <w:rFonts w:asciiTheme="majorBidi" w:hAnsiTheme="majorBidi" w:cstheme="majorBidi"/>
                <w:sz w:val="22"/>
              </w:rPr>
              <w:t xml:space="preserve"> </w:t>
            </w:r>
            <w:r w:rsidRPr="00241D72">
              <w:rPr>
                <w:rFonts w:asciiTheme="majorBidi" w:hAnsiTheme="majorBidi" w:cstheme="majorBidi"/>
                <w:sz w:val="22"/>
              </w:rPr>
              <w:t xml:space="preserve">(29). The cuff of the BP-recording device was attached to the left arm, which was supported at the heart level throughout the study. The testing was conducted during the daytime in a quiet environment at a constant room temperature of 22–25 °C to exclude the effects of chronobiologic factors on the outcomes of the test. The participants maintained a regular meal schedule but were restricted from smoking and caffeine ingestion for 6 hours before the examination. The intake of foods and medications with sympathomimetic activity was also </w:t>
            </w:r>
            <w:r w:rsidRPr="00241D72">
              <w:rPr>
                <w:rFonts w:asciiTheme="majorBidi" w:hAnsiTheme="majorBidi" w:cstheme="majorBidi"/>
                <w:sz w:val="22"/>
              </w:rPr>
              <w:lastRenderedPageBreak/>
              <w:t xml:space="preserve">prohibited before the study. The </w:t>
            </w:r>
            <w:r w:rsidR="00F43CE5" w:rsidRPr="00241D72">
              <w:rPr>
                <w:rFonts w:asciiTheme="majorBidi" w:hAnsiTheme="majorBidi" w:cstheme="majorBidi"/>
                <w:sz w:val="22"/>
              </w:rPr>
              <w:t xml:space="preserve">results </w:t>
            </w:r>
            <w:r w:rsidRPr="00241D72">
              <w:rPr>
                <w:rFonts w:asciiTheme="majorBidi" w:hAnsiTheme="majorBidi" w:cstheme="majorBidi"/>
                <w:sz w:val="22"/>
              </w:rPr>
              <w:t>were determined as positive or negative according to the outcome of the HUT test and the international scientific definition of OD.</w:t>
            </w: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CFFFE9" w14:textId="439A00B4" w:rsidR="00CC7229" w:rsidRPr="00241D72" w:rsidRDefault="00F43CE5" w:rsidP="009B30B1">
            <w:pPr>
              <w:snapToGrid w:val="0"/>
              <w:rPr>
                <w:rFonts w:asciiTheme="majorBidi" w:hAnsiTheme="majorBidi" w:cstheme="majorBidi"/>
                <w:sz w:val="22"/>
              </w:rPr>
            </w:pPr>
            <w:r w:rsidRPr="00241D72">
              <w:rPr>
                <w:rFonts w:asciiTheme="majorBidi" w:hAnsiTheme="majorBidi" w:cstheme="majorBidi"/>
                <w:sz w:val="22"/>
              </w:rPr>
              <w:lastRenderedPageBreak/>
              <w:t xml:space="preserve">Results of the test were considered positive </w:t>
            </w:r>
            <w:r w:rsidR="00CC7229" w:rsidRPr="00241D72">
              <w:rPr>
                <w:rFonts w:asciiTheme="majorBidi" w:hAnsiTheme="majorBidi" w:cstheme="majorBidi"/>
                <w:sz w:val="22"/>
              </w:rPr>
              <w:t>when meeting either of the following criteria</w:t>
            </w:r>
            <w:r w:rsidRPr="00241D72">
              <w:rPr>
                <w:rFonts w:asciiTheme="majorBidi" w:hAnsiTheme="majorBidi" w:cstheme="majorBidi"/>
                <w:sz w:val="22"/>
              </w:rPr>
              <w:t xml:space="preserve"> was met</w:t>
            </w:r>
            <w:r w:rsidR="00CC7229" w:rsidRPr="00241D72">
              <w:rPr>
                <w:rFonts w:asciiTheme="majorBidi" w:hAnsiTheme="majorBidi" w:cstheme="majorBidi"/>
                <w:sz w:val="22"/>
              </w:rPr>
              <w:t>:</w:t>
            </w:r>
          </w:p>
          <w:p w14:paraId="35994FA8" w14:textId="477D45C9"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BP drop ≥</w:t>
            </w:r>
            <w:r w:rsidR="00F43CE5" w:rsidRPr="00241D72">
              <w:rPr>
                <w:rFonts w:asciiTheme="majorBidi" w:hAnsiTheme="majorBidi" w:cstheme="majorBidi"/>
                <w:sz w:val="22"/>
              </w:rPr>
              <w:t xml:space="preserve"> </w:t>
            </w:r>
            <w:r w:rsidRPr="00241D72">
              <w:rPr>
                <w:rFonts w:asciiTheme="majorBidi" w:hAnsiTheme="majorBidi" w:cstheme="majorBidi"/>
                <w:sz w:val="22"/>
              </w:rPr>
              <w:t xml:space="preserve">20/10 mmHg 10 s, 1 min, or 10 min </w:t>
            </w:r>
            <w:r w:rsidR="00F43CE5" w:rsidRPr="00241D72">
              <w:rPr>
                <w:rFonts w:asciiTheme="majorBidi" w:hAnsiTheme="majorBidi" w:cstheme="majorBidi"/>
                <w:sz w:val="22"/>
              </w:rPr>
              <w:t xml:space="preserve">after </w:t>
            </w:r>
            <w:r w:rsidRPr="00241D72">
              <w:rPr>
                <w:rFonts w:asciiTheme="majorBidi" w:hAnsiTheme="majorBidi" w:cstheme="majorBidi"/>
                <w:sz w:val="22"/>
              </w:rPr>
              <w:t xml:space="preserve">standing; HR ≥120/min or </w:t>
            </w:r>
            <w:r w:rsidR="00F43CE5" w:rsidRPr="00241D72">
              <w:rPr>
                <w:rFonts w:asciiTheme="majorBidi" w:hAnsiTheme="majorBidi" w:cstheme="majorBidi"/>
                <w:sz w:val="22"/>
              </w:rPr>
              <w:t xml:space="preserve">an increase of </w:t>
            </w:r>
            <w:r w:rsidRPr="00241D72">
              <w:rPr>
                <w:rFonts w:asciiTheme="majorBidi" w:hAnsiTheme="majorBidi" w:cstheme="majorBidi"/>
                <w:sz w:val="22"/>
              </w:rPr>
              <w:t>30</w:t>
            </w:r>
            <w:r w:rsidR="00F43CE5" w:rsidRPr="00241D72">
              <w:rPr>
                <w:rFonts w:asciiTheme="majorBidi" w:hAnsiTheme="majorBidi" w:cstheme="majorBidi"/>
                <w:sz w:val="22"/>
              </w:rPr>
              <w:t xml:space="preserve"> beats</w:t>
            </w:r>
            <w:r w:rsidRPr="00241D72">
              <w:rPr>
                <w:rFonts w:asciiTheme="majorBidi" w:hAnsiTheme="majorBidi" w:cstheme="majorBidi"/>
                <w:sz w:val="22"/>
              </w:rPr>
              <w:t xml:space="preserve">/min </w:t>
            </w:r>
            <w:r w:rsidR="00F43CE5" w:rsidRPr="00241D72">
              <w:rPr>
                <w:rFonts w:asciiTheme="majorBidi" w:hAnsiTheme="majorBidi" w:cstheme="majorBidi"/>
                <w:sz w:val="22"/>
              </w:rPr>
              <w:t xml:space="preserve">over that at the </w:t>
            </w:r>
            <w:r w:rsidRPr="00241D72">
              <w:rPr>
                <w:rFonts w:asciiTheme="majorBidi" w:hAnsiTheme="majorBidi" w:cstheme="majorBidi"/>
                <w:sz w:val="22"/>
              </w:rPr>
              <w:t xml:space="preserve">supine </w:t>
            </w:r>
            <w:r w:rsidR="00F43CE5" w:rsidRPr="00241D72">
              <w:rPr>
                <w:rFonts w:asciiTheme="majorBidi" w:hAnsiTheme="majorBidi" w:cstheme="majorBidi"/>
                <w:sz w:val="22"/>
              </w:rPr>
              <w:t xml:space="preserve">position </w:t>
            </w:r>
            <w:r w:rsidRPr="00241D72">
              <w:rPr>
                <w:rFonts w:asciiTheme="majorBidi" w:hAnsiTheme="majorBidi" w:cstheme="majorBidi"/>
                <w:sz w:val="22"/>
              </w:rPr>
              <w:t xml:space="preserve">10 s, 1 min, or 10 min </w:t>
            </w:r>
            <w:r w:rsidR="00F43CE5" w:rsidRPr="00241D72">
              <w:rPr>
                <w:rFonts w:asciiTheme="majorBidi" w:hAnsiTheme="majorBidi" w:cstheme="majorBidi"/>
                <w:sz w:val="22"/>
              </w:rPr>
              <w:t xml:space="preserve">after </w:t>
            </w:r>
            <w:r w:rsidRPr="00241D72">
              <w:rPr>
                <w:rFonts w:asciiTheme="majorBidi" w:hAnsiTheme="majorBidi" w:cstheme="majorBidi"/>
                <w:sz w:val="22"/>
              </w:rPr>
              <w:t>standing</w:t>
            </w:r>
          </w:p>
        </w:tc>
      </w:tr>
      <w:tr w:rsidR="00CC7229" w:rsidRPr="00241D72" w14:paraId="3B88323D" w14:textId="77777777" w:rsidTr="009B30B1">
        <w:trPr>
          <w:trHeight w:val="156"/>
        </w:trPr>
        <w:tc>
          <w:tcPr>
            <w:tcW w:w="946" w:type="dxa"/>
            <w:tcBorders>
              <w:left w:val="single" w:sz="8" w:space="0" w:color="000000"/>
              <w:bottom w:val="single" w:sz="4" w:space="0" w:color="auto"/>
              <w:right w:val="single" w:sz="8" w:space="0" w:color="000000"/>
            </w:tcBorders>
            <w:shd w:val="clear" w:color="auto" w:fill="auto"/>
            <w:tcMar>
              <w:top w:w="72" w:type="dxa"/>
              <w:left w:w="144" w:type="dxa"/>
              <w:bottom w:w="72" w:type="dxa"/>
              <w:right w:w="144" w:type="dxa"/>
            </w:tcMar>
            <w:textDirection w:val="tbRl"/>
          </w:tcPr>
          <w:p w14:paraId="52B9D000" w14:textId="77777777" w:rsidR="00CC7229" w:rsidRPr="00241D72" w:rsidRDefault="00CC7229" w:rsidP="009B30B1">
            <w:pPr>
              <w:rPr>
                <w:rFonts w:asciiTheme="majorBidi" w:hAnsiTheme="majorBidi" w:cstheme="majorBidi"/>
                <w:sz w:val="22"/>
              </w:rPr>
            </w:pPr>
          </w:p>
        </w:tc>
        <w:tc>
          <w:tcPr>
            <w:tcW w:w="1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6D808B" w14:textId="77777777"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VOR</w:t>
            </w:r>
          </w:p>
        </w:tc>
        <w:tc>
          <w:tcPr>
            <w:tcW w:w="4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8914E6" w14:textId="77777777" w:rsidR="00CC7229" w:rsidRPr="00241D72" w:rsidRDefault="001B3834" w:rsidP="009B30B1">
            <w:pPr>
              <w:snapToGrid w:val="0"/>
              <w:rPr>
                <w:rFonts w:asciiTheme="majorBidi" w:hAnsiTheme="majorBidi" w:cstheme="majorBidi"/>
                <w:sz w:val="22"/>
              </w:rPr>
            </w:pPr>
            <w:r w:rsidRPr="00241D72">
              <w:rPr>
                <w:rFonts w:asciiTheme="majorBidi" w:hAnsiTheme="majorBidi" w:cstheme="majorBidi" w:hint="eastAsia"/>
                <w:sz w:val="22"/>
                <w:lang w:eastAsia="ja-JP"/>
              </w:rPr>
              <w:t>N</w:t>
            </w:r>
            <w:r w:rsidRPr="00241D72">
              <w:rPr>
                <w:rFonts w:asciiTheme="majorBidi" w:hAnsiTheme="majorBidi" w:cstheme="majorBidi"/>
                <w:sz w:val="22"/>
              </w:rPr>
              <w:t>ystagmus</w:t>
            </w:r>
          </w:p>
          <w:p w14:paraId="2CE92798" w14:textId="04BD9D04" w:rsidR="00AE6E68" w:rsidRPr="00241D72" w:rsidRDefault="00AE6E68" w:rsidP="009B30B1">
            <w:pPr>
              <w:snapToGrid w:val="0"/>
              <w:rPr>
                <w:rFonts w:asciiTheme="majorBidi" w:hAnsiTheme="majorBidi" w:cstheme="majorBidi"/>
                <w:sz w:val="22"/>
              </w:rPr>
            </w:pPr>
            <w:r w:rsidRPr="00241D72">
              <w:rPr>
                <w:rFonts w:asciiTheme="majorBidi" w:hAnsiTheme="majorBidi" w:cstheme="majorBidi"/>
                <w:sz w:val="22"/>
              </w:rPr>
              <w:t>Nystagmus was evaluated by the inf</w:t>
            </w:r>
            <w:r w:rsidR="00241D72">
              <w:rPr>
                <w:rFonts w:asciiTheme="majorBidi" w:hAnsiTheme="majorBidi" w:cstheme="majorBidi"/>
                <w:sz w:val="22"/>
              </w:rPr>
              <w:t>r</w:t>
            </w:r>
            <w:r w:rsidRPr="00241D72">
              <w:rPr>
                <w:rFonts w:asciiTheme="majorBidi" w:hAnsiTheme="majorBidi" w:cstheme="majorBidi"/>
                <w:sz w:val="22"/>
              </w:rPr>
              <w:t xml:space="preserve">ared CCD camera. When pathologic nystagmus (i.e. spontaneous nystagmus or positional nystagmus) </w:t>
            </w:r>
            <w:r w:rsidR="001D1E48" w:rsidRPr="00241D72">
              <w:rPr>
                <w:rFonts w:asciiTheme="majorBidi" w:hAnsiTheme="majorBidi" w:cstheme="majorBidi"/>
                <w:sz w:val="22"/>
              </w:rPr>
              <w:t xml:space="preserve">was </w:t>
            </w:r>
            <w:r w:rsidRPr="00241D72">
              <w:rPr>
                <w:rFonts w:asciiTheme="majorBidi" w:hAnsiTheme="majorBidi" w:cstheme="majorBidi"/>
                <w:sz w:val="22"/>
              </w:rPr>
              <w:t xml:space="preserve">observed, </w:t>
            </w:r>
            <w:r w:rsidR="00F43CE5" w:rsidRPr="00241D72">
              <w:rPr>
                <w:rFonts w:asciiTheme="majorBidi" w:hAnsiTheme="majorBidi" w:cstheme="majorBidi"/>
                <w:sz w:val="22"/>
              </w:rPr>
              <w:t>the test result was considered</w:t>
            </w:r>
            <w:r w:rsidRPr="00241D72">
              <w:rPr>
                <w:rFonts w:asciiTheme="majorBidi" w:hAnsiTheme="majorBidi" w:cstheme="majorBidi"/>
                <w:sz w:val="22"/>
              </w:rPr>
              <w:t xml:space="preserve"> positive.</w:t>
            </w:r>
          </w:p>
        </w:tc>
        <w:tc>
          <w:tcPr>
            <w:tcW w:w="2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A0B68F" w14:textId="793D6882" w:rsidR="00CC7229" w:rsidRPr="00241D72" w:rsidRDefault="00CC7229" w:rsidP="009B30B1">
            <w:pPr>
              <w:snapToGrid w:val="0"/>
              <w:rPr>
                <w:rFonts w:asciiTheme="majorBidi" w:hAnsiTheme="majorBidi" w:cstheme="majorBidi"/>
                <w:sz w:val="22"/>
              </w:rPr>
            </w:pPr>
            <w:r w:rsidRPr="00241D72">
              <w:rPr>
                <w:rFonts w:asciiTheme="majorBidi" w:hAnsiTheme="majorBidi" w:cstheme="majorBidi"/>
                <w:sz w:val="22"/>
              </w:rPr>
              <w:t xml:space="preserve">Positive if any nystagmus </w:t>
            </w:r>
            <w:r w:rsidR="00F43CE5" w:rsidRPr="00241D72">
              <w:rPr>
                <w:rFonts w:asciiTheme="majorBidi" w:hAnsiTheme="majorBidi" w:cstheme="majorBidi"/>
                <w:sz w:val="22"/>
              </w:rPr>
              <w:t xml:space="preserve">was </w:t>
            </w:r>
            <w:r w:rsidRPr="00241D72">
              <w:rPr>
                <w:rFonts w:asciiTheme="majorBidi" w:hAnsiTheme="majorBidi" w:cstheme="majorBidi"/>
                <w:sz w:val="22"/>
              </w:rPr>
              <w:t>observed</w:t>
            </w:r>
          </w:p>
        </w:tc>
      </w:tr>
    </w:tbl>
    <w:p w14:paraId="213B113A" w14:textId="77777777" w:rsidR="00F14922" w:rsidRPr="00241D72" w:rsidRDefault="002F6C3B" w:rsidP="002F6C3B">
      <w:r w:rsidRPr="00241D72">
        <w:t>Abbreviations:</w:t>
      </w:r>
      <w:r w:rsidR="00A058D9" w:rsidRPr="00241D72">
        <w:t xml:space="preserve"> </w:t>
      </w:r>
      <w:r w:rsidRPr="00241D72">
        <w:t xml:space="preserve">DHI: Dizziness Handicap Inventory; HADS: Hospital Anxiety and Depression Scale; OD: orthostatic dysregulation; ESS: Epworth Sleepiness Scale; RR: Romberg ratios; </w:t>
      </w:r>
      <w:r w:rsidR="009B30B1" w:rsidRPr="00241D72">
        <w:t xml:space="preserve">AR, asymmetry ratio; </w:t>
      </w:r>
      <w:r w:rsidRPr="00241D72">
        <w:t xml:space="preserve">cVEMP: cervical vestibular-evoked myogenic potential; </w:t>
      </w:r>
      <w:r w:rsidR="009B30B1" w:rsidRPr="00241D72">
        <w:t xml:space="preserve">CP%, canal paresis %; </w:t>
      </w:r>
      <w:r w:rsidRPr="00241D72">
        <w:t>MVS: maximum slow-phase velocity speed; HUT: head-up tilt; VOR: vestibulo-ocular reflex</w:t>
      </w:r>
    </w:p>
    <w:p w14:paraId="32E86966" w14:textId="5750854F" w:rsidR="002F6C3B" w:rsidRPr="00241D72" w:rsidRDefault="002F6C3B" w:rsidP="002F6C3B"/>
    <w:p w14:paraId="5A5DCD29" w14:textId="77777777" w:rsidR="00A83587" w:rsidRPr="00241D72" w:rsidRDefault="00A83587" w:rsidP="00A83587">
      <w:pPr>
        <w:rPr>
          <w:rFonts w:asciiTheme="majorBidi" w:hAnsiTheme="majorBidi" w:cstheme="majorBidi"/>
          <w:b/>
          <w:sz w:val="22"/>
        </w:rPr>
      </w:pPr>
    </w:p>
    <w:p w14:paraId="7DE7B3A7" w14:textId="77777777" w:rsidR="00F43CE5" w:rsidRPr="00241D72" w:rsidRDefault="00F43CE5">
      <w:pPr>
        <w:spacing w:before="0" w:after="200" w:line="276" w:lineRule="auto"/>
        <w:rPr>
          <w:b/>
          <w:bCs/>
        </w:rPr>
      </w:pPr>
      <w:r w:rsidRPr="00241D72">
        <w:rPr>
          <w:b/>
          <w:bCs/>
        </w:rPr>
        <w:br w:type="page"/>
      </w:r>
    </w:p>
    <w:p w14:paraId="5B9479FB" w14:textId="7DB14C5A" w:rsidR="00A83587" w:rsidRPr="00241D72" w:rsidRDefault="00A83587" w:rsidP="00A83587">
      <w:r w:rsidRPr="00241D72">
        <w:rPr>
          <w:b/>
          <w:bCs/>
        </w:rPr>
        <w:lastRenderedPageBreak/>
        <w:t>Supplementary Table 2</w:t>
      </w:r>
      <w:r w:rsidRPr="00241D72">
        <w:t>. Frequency of earthquake-related dizziness according to sex and age at different time</w:t>
      </w:r>
      <w:r w:rsidR="00357619" w:rsidRPr="00241D72">
        <w:t>-</w:t>
      </w:r>
      <w:r w:rsidRPr="00241D72">
        <w:t>points relative to the time of the earthquake in weeks (w)</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56"/>
        <w:gridCol w:w="553"/>
        <w:gridCol w:w="553"/>
        <w:gridCol w:w="553"/>
        <w:gridCol w:w="553"/>
        <w:gridCol w:w="553"/>
        <w:gridCol w:w="553"/>
        <w:gridCol w:w="553"/>
        <w:gridCol w:w="553"/>
        <w:gridCol w:w="553"/>
        <w:gridCol w:w="768"/>
        <w:gridCol w:w="553"/>
        <w:gridCol w:w="553"/>
        <w:gridCol w:w="553"/>
        <w:gridCol w:w="553"/>
        <w:gridCol w:w="553"/>
        <w:gridCol w:w="553"/>
        <w:gridCol w:w="553"/>
        <w:gridCol w:w="553"/>
        <w:gridCol w:w="554"/>
        <w:gridCol w:w="763"/>
      </w:tblGrid>
      <w:tr w:rsidR="00A83587" w:rsidRPr="00241D72" w14:paraId="5D0FF040" w14:textId="77777777" w:rsidTr="00283481">
        <w:trPr>
          <w:trHeight w:val="20"/>
        </w:trPr>
        <w:tc>
          <w:tcPr>
            <w:tcW w:w="620" w:type="pct"/>
            <w:tcBorders>
              <w:bottom w:val="single" w:sz="4" w:space="0" w:color="999999"/>
            </w:tcBorders>
            <w:shd w:val="clear" w:color="auto" w:fill="auto"/>
            <w:noWrap/>
          </w:tcPr>
          <w:p w14:paraId="6A187516" w14:textId="77777777" w:rsidR="00A83587" w:rsidRPr="00241D72" w:rsidRDefault="00A83587" w:rsidP="00283481">
            <w:pPr>
              <w:autoSpaceDE w:val="0"/>
              <w:autoSpaceDN w:val="0"/>
              <w:adjustRightInd w:val="0"/>
              <w:rPr>
                <w:rFonts w:asciiTheme="majorBidi" w:eastAsia="游明朝" w:hAnsiTheme="majorBidi" w:cstheme="majorBidi"/>
                <w:b/>
                <w:bCs/>
                <w:szCs w:val="24"/>
              </w:rPr>
            </w:pPr>
          </w:p>
        </w:tc>
        <w:tc>
          <w:tcPr>
            <w:tcW w:w="2190" w:type="pct"/>
            <w:gridSpan w:val="10"/>
            <w:tcBorders>
              <w:bottom w:val="single" w:sz="8" w:space="0" w:color="auto"/>
            </w:tcBorders>
          </w:tcPr>
          <w:p w14:paraId="4750C434" w14:textId="40552FCD"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Male</w:t>
            </w:r>
            <w:r w:rsidR="00A16986" w:rsidRPr="00241D72">
              <w:rPr>
                <w:rFonts w:asciiTheme="majorBidi" w:eastAsia="游明朝" w:hAnsiTheme="majorBidi" w:cstheme="majorBidi"/>
                <w:b/>
                <w:bCs/>
                <w:szCs w:val="24"/>
              </w:rPr>
              <w:t xml:space="preserve"> (n)</w:t>
            </w:r>
          </w:p>
        </w:tc>
        <w:tc>
          <w:tcPr>
            <w:tcW w:w="2190" w:type="pct"/>
            <w:gridSpan w:val="10"/>
            <w:tcBorders>
              <w:bottom w:val="single" w:sz="8" w:space="0" w:color="auto"/>
            </w:tcBorders>
          </w:tcPr>
          <w:p w14:paraId="0083D85C" w14:textId="421A5358"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Female</w:t>
            </w:r>
            <w:r w:rsidR="00A16986" w:rsidRPr="00241D72">
              <w:rPr>
                <w:rFonts w:asciiTheme="majorBidi" w:eastAsia="游明朝" w:hAnsiTheme="majorBidi" w:cstheme="majorBidi"/>
                <w:b/>
                <w:bCs/>
                <w:szCs w:val="24"/>
              </w:rPr>
              <w:t xml:space="preserve"> (n)</w:t>
            </w:r>
          </w:p>
        </w:tc>
      </w:tr>
      <w:tr w:rsidR="00A83587" w:rsidRPr="00241D72" w14:paraId="673A7E70" w14:textId="77777777" w:rsidTr="00283481">
        <w:trPr>
          <w:trHeight w:val="20"/>
        </w:trPr>
        <w:tc>
          <w:tcPr>
            <w:tcW w:w="620" w:type="pct"/>
            <w:tcBorders>
              <w:bottom w:val="single" w:sz="4" w:space="0" w:color="auto"/>
            </w:tcBorders>
            <w:shd w:val="clear" w:color="auto" w:fill="auto"/>
            <w:noWrap/>
          </w:tcPr>
          <w:p w14:paraId="4780B53F" w14:textId="77777777" w:rsidR="00A83587" w:rsidRPr="00241D72" w:rsidRDefault="00A83587" w:rsidP="00283481">
            <w:pPr>
              <w:autoSpaceDE w:val="0"/>
              <w:autoSpaceDN w:val="0"/>
              <w:adjustRightInd w:val="0"/>
              <w:rPr>
                <w:rFonts w:asciiTheme="majorBidi" w:eastAsia="游明朝" w:hAnsiTheme="majorBidi" w:cstheme="majorBidi"/>
                <w:b/>
                <w:bCs/>
                <w:szCs w:val="24"/>
              </w:rPr>
            </w:pPr>
          </w:p>
        </w:tc>
        <w:tc>
          <w:tcPr>
            <w:tcW w:w="211" w:type="pct"/>
            <w:tcBorders>
              <w:top w:val="single" w:sz="8" w:space="0" w:color="auto"/>
              <w:bottom w:val="single" w:sz="4" w:space="0" w:color="auto"/>
            </w:tcBorders>
            <w:shd w:val="clear" w:color="auto" w:fill="auto"/>
            <w:noWrap/>
          </w:tcPr>
          <w:p w14:paraId="2FB609B4"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10s</w:t>
            </w:r>
          </w:p>
        </w:tc>
        <w:tc>
          <w:tcPr>
            <w:tcW w:w="211" w:type="pct"/>
            <w:tcBorders>
              <w:top w:val="single" w:sz="8" w:space="0" w:color="auto"/>
              <w:bottom w:val="single" w:sz="4" w:space="0" w:color="auto"/>
            </w:tcBorders>
            <w:shd w:val="clear" w:color="auto" w:fill="auto"/>
            <w:noWrap/>
          </w:tcPr>
          <w:p w14:paraId="759F13BB"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20s</w:t>
            </w:r>
          </w:p>
        </w:tc>
        <w:tc>
          <w:tcPr>
            <w:tcW w:w="211" w:type="pct"/>
            <w:tcBorders>
              <w:top w:val="single" w:sz="8" w:space="0" w:color="auto"/>
              <w:bottom w:val="single" w:sz="4" w:space="0" w:color="auto"/>
            </w:tcBorders>
            <w:shd w:val="clear" w:color="auto" w:fill="auto"/>
            <w:noWrap/>
          </w:tcPr>
          <w:p w14:paraId="72C4E8DD"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30s</w:t>
            </w:r>
          </w:p>
        </w:tc>
        <w:tc>
          <w:tcPr>
            <w:tcW w:w="211" w:type="pct"/>
            <w:tcBorders>
              <w:top w:val="single" w:sz="8" w:space="0" w:color="auto"/>
              <w:bottom w:val="single" w:sz="4" w:space="0" w:color="auto"/>
            </w:tcBorders>
            <w:shd w:val="clear" w:color="auto" w:fill="auto"/>
            <w:noWrap/>
          </w:tcPr>
          <w:p w14:paraId="072650E9"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40s</w:t>
            </w:r>
          </w:p>
        </w:tc>
        <w:tc>
          <w:tcPr>
            <w:tcW w:w="211" w:type="pct"/>
            <w:tcBorders>
              <w:top w:val="single" w:sz="8" w:space="0" w:color="auto"/>
              <w:bottom w:val="single" w:sz="4" w:space="0" w:color="auto"/>
            </w:tcBorders>
            <w:shd w:val="clear" w:color="auto" w:fill="auto"/>
            <w:noWrap/>
          </w:tcPr>
          <w:p w14:paraId="63FAC067"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50s</w:t>
            </w:r>
          </w:p>
        </w:tc>
        <w:tc>
          <w:tcPr>
            <w:tcW w:w="211" w:type="pct"/>
            <w:tcBorders>
              <w:top w:val="single" w:sz="8" w:space="0" w:color="auto"/>
              <w:bottom w:val="single" w:sz="4" w:space="0" w:color="auto"/>
            </w:tcBorders>
            <w:shd w:val="clear" w:color="auto" w:fill="auto"/>
            <w:noWrap/>
          </w:tcPr>
          <w:p w14:paraId="25B40D61"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60s</w:t>
            </w:r>
          </w:p>
        </w:tc>
        <w:tc>
          <w:tcPr>
            <w:tcW w:w="211" w:type="pct"/>
            <w:tcBorders>
              <w:top w:val="single" w:sz="8" w:space="0" w:color="auto"/>
              <w:bottom w:val="single" w:sz="4" w:space="0" w:color="auto"/>
            </w:tcBorders>
            <w:shd w:val="clear" w:color="auto" w:fill="auto"/>
            <w:noWrap/>
          </w:tcPr>
          <w:p w14:paraId="0772138A"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70s</w:t>
            </w:r>
          </w:p>
        </w:tc>
        <w:tc>
          <w:tcPr>
            <w:tcW w:w="211" w:type="pct"/>
            <w:tcBorders>
              <w:top w:val="single" w:sz="8" w:space="0" w:color="auto"/>
              <w:bottom w:val="single" w:sz="4" w:space="0" w:color="auto"/>
            </w:tcBorders>
            <w:shd w:val="clear" w:color="auto" w:fill="auto"/>
            <w:noWrap/>
          </w:tcPr>
          <w:p w14:paraId="3E644BAE"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80s</w:t>
            </w:r>
          </w:p>
        </w:tc>
        <w:tc>
          <w:tcPr>
            <w:tcW w:w="211" w:type="pct"/>
            <w:tcBorders>
              <w:top w:val="single" w:sz="8" w:space="0" w:color="auto"/>
              <w:bottom w:val="single" w:sz="4" w:space="0" w:color="auto"/>
            </w:tcBorders>
            <w:shd w:val="clear" w:color="auto" w:fill="auto"/>
            <w:noWrap/>
          </w:tcPr>
          <w:p w14:paraId="28B8350B"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90s</w:t>
            </w:r>
          </w:p>
        </w:tc>
        <w:tc>
          <w:tcPr>
            <w:tcW w:w="293" w:type="pct"/>
            <w:tcBorders>
              <w:top w:val="single" w:sz="8" w:space="0" w:color="auto"/>
              <w:bottom w:val="single" w:sz="4" w:space="0" w:color="auto"/>
            </w:tcBorders>
          </w:tcPr>
          <w:p w14:paraId="3DD7B0E0"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Total</w:t>
            </w:r>
          </w:p>
        </w:tc>
        <w:tc>
          <w:tcPr>
            <w:tcW w:w="211" w:type="pct"/>
            <w:tcBorders>
              <w:top w:val="single" w:sz="8" w:space="0" w:color="auto"/>
              <w:bottom w:val="single" w:sz="4" w:space="0" w:color="auto"/>
            </w:tcBorders>
            <w:shd w:val="clear" w:color="auto" w:fill="auto"/>
            <w:noWrap/>
          </w:tcPr>
          <w:p w14:paraId="16A95EF7"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10s</w:t>
            </w:r>
          </w:p>
        </w:tc>
        <w:tc>
          <w:tcPr>
            <w:tcW w:w="211" w:type="pct"/>
            <w:tcBorders>
              <w:top w:val="single" w:sz="8" w:space="0" w:color="auto"/>
              <w:bottom w:val="single" w:sz="4" w:space="0" w:color="auto"/>
            </w:tcBorders>
            <w:shd w:val="clear" w:color="auto" w:fill="auto"/>
            <w:noWrap/>
          </w:tcPr>
          <w:p w14:paraId="7AACD82F"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20s</w:t>
            </w:r>
          </w:p>
        </w:tc>
        <w:tc>
          <w:tcPr>
            <w:tcW w:w="211" w:type="pct"/>
            <w:tcBorders>
              <w:top w:val="single" w:sz="8" w:space="0" w:color="auto"/>
              <w:bottom w:val="single" w:sz="4" w:space="0" w:color="auto"/>
            </w:tcBorders>
            <w:shd w:val="clear" w:color="auto" w:fill="auto"/>
            <w:noWrap/>
          </w:tcPr>
          <w:p w14:paraId="53EE7497"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30s</w:t>
            </w:r>
          </w:p>
        </w:tc>
        <w:tc>
          <w:tcPr>
            <w:tcW w:w="211" w:type="pct"/>
            <w:tcBorders>
              <w:top w:val="single" w:sz="8" w:space="0" w:color="auto"/>
              <w:bottom w:val="single" w:sz="4" w:space="0" w:color="auto"/>
            </w:tcBorders>
            <w:shd w:val="clear" w:color="auto" w:fill="auto"/>
            <w:noWrap/>
          </w:tcPr>
          <w:p w14:paraId="7DFBA5E2"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40s</w:t>
            </w:r>
          </w:p>
        </w:tc>
        <w:tc>
          <w:tcPr>
            <w:tcW w:w="211" w:type="pct"/>
            <w:tcBorders>
              <w:top w:val="single" w:sz="8" w:space="0" w:color="auto"/>
              <w:bottom w:val="single" w:sz="4" w:space="0" w:color="auto"/>
            </w:tcBorders>
            <w:shd w:val="clear" w:color="auto" w:fill="auto"/>
            <w:noWrap/>
          </w:tcPr>
          <w:p w14:paraId="3A17D7EC"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50s</w:t>
            </w:r>
          </w:p>
        </w:tc>
        <w:tc>
          <w:tcPr>
            <w:tcW w:w="211" w:type="pct"/>
            <w:tcBorders>
              <w:top w:val="single" w:sz="8" w:space="0" w:color="auto"/>
              <w:bottom w:val="single" w:sz="4" w:space="0" w:color="auto"/>
            </w:tcBorders>
            <w:shd w:val="clear" w:color="auto" w:fill="auto"/>
            <w:noWrap/>
          </w:tcPr>
          <w:p w14:paraId="3FC34649"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60s</w:t>
            </w:r>
          </w:p>
        </w:tc>
        <w:tc>
          <w:tcPr>
            <w:tcW w:w="211" w:type="pct"/>
            <w:tcBorders>
              <w:top w:val="single" w:sz="8" w:space="0" w:color="auto"/>
              <w:bottom w:val="single" w:sz="4" w:space="0" w:color="auto"/>
            </w:tcBorders>
            <w:shd w:val="clear" w:color="auto" w:fill="auto"/>
            <w:noWrap/>
          </w:tcPr>
          <w:p w14:paraId="416C3849"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70s</w:t>
            </w:r>
          </w:p>
        </w:tc>
        <w:tc>
          <w:tcPr>
            <w:tcW w:w="211" w:type="pct"/>
            <w:tcBorders>
              <w:top w:val="single" w:sz="8" w:space="0" w:color="auto"/>
              <w:bottom w:val="single" w:sz="4" w:space="0" w:color="auto"/>
            </w:tcBorders>
            <w:shd w:val="clear" w:color="auto" w:fill="auto"/>
            <w:noWrap/>
          </w:tcPr>
          <w:p w14:paraId="6FB81338"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80s</w:t>
            </w:r>
          </w:p>
        </w:tc>
        <w:tc>
          <w:tcPr>
            <w:tcW w:w="211" w:type="pct"/>
            <w:tcBorders>
              <w:top w:val="single" w:sz="8" w:space="0" w:color="auto"/>
              <w:bottom w:val="single" w:sz="4" w:space="0" w:color="auto"/>
            </w:tcBorders>
            <w:shd w:val="clear" w:color="auto" w:fill="auto"/>
            <w:noWrap/>
          </w:tcPr>
          <w:p w14:paraId="03C64F39"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90s</w:t>
            </w:r>
          </w:p>
        </w:tc>
        <w:tc>
          <w:tcPr>
            <w:tcW w:w="293" w:type="pct"/>
            <w:tcBorders>
              <w:top w:val="single" w:sz="8" w:space="0" w:color="auto"/>
              <w:bottom w:val="single" w:sz="4" w:space="0" w:color="auto"/>
            </w:tcBorders>
          </w:tcPr>
          <w:p w14:paraId="69D9E531" w14:textId="77777777" w:rsidR="00A83587" w:rsidRPr="00241D72" w:rsidRDefault="00A83587" w:rsidP="00283481">
            <w:pPr>
              <w:autoSpaceDE w:val="0"/>
              <w:autoSpaceDN w:val="0"/>
              <w:adjustRightInd w:val="0"/>
              <w:jc w:val="center"/>
              <w:rPr>
                <w:rFonts w:asciiTheme="majorBidi" w:eastAsia="游明朝" w:hAnsiTheme="majorBidi" w:cstheme="majorBidi"/>
                <w:b/>
                <w:bCs/>
                <w:szCs w:val="24"/>
              </w:rPr>
            </w:pPr>
            <w:r w:rsidRPr="00241D72">
              <w:rPr>
                <w:rFonts w:asciiTheme="majorBidi" w:eastAsia="游明朝" w:hAnsiTheme="majorBidi" w:cstheme="majorBidi"/>
                <w:b/>
                <w:bCs/>
                <w:szCs w:val="24"/>
              </w:rPr>
              <w:t>Total</w:t>
            </w:r>
          </w:p>
        </w:tc>
      </w:tr>
      <w:tr w:rsidR="00A83587" w:rsidRPr="00241D72" w14:paraId="13FDBF12" w14:textId="77777777" w:rsidTr="00283481">
        <w:trPr>
          <w:trHeight w:val="20"/>
        </w:trPr>
        <w:tc>
          <w:tcPr>
            <w:tcW w:w="620" w:type="pct"/>
            <w:tcBorders>
              <w:top w:val="single" w:sz="4" w:space="0" w:color="auto"/>
            </w:tcBorders>
            <w:shd w:val="clear" w:color="auto" w:fill="auto"/>
            <w:noWrap/>
            <w:hideMark/>
          </w:tcPr>
          <w:p w14:paraId="4A116F45" w14:textId="77777777" w:rsidR="00A83587" w:rsidRPr="00241D72" w:rsidRDefault="00A83587" w:rsidP="00283481">
            <w:pPr>
              <w:autoSpaceDE w:val="0"/>
              <w:autoSpaceDN w:val="0"/>
              <w:adjustRightInd w:val="0"/>
              <w:rPr>
                <w:rFonts w:asciiTheme="majorBidi" w:eastAsia="游明朝" w:hAnsiTheme="majorBidi" w:cstheme="majorBidi"/>
                <w:b/>
                <w:bCs/>
                <w:szCs w:val="24"/>
              </w:rPr>
            </w:pPr>
            <w:r w:rsidRPr="00241D72">
              <w:rPr>
                <w:rFonts w:asciiTheme="majorBidi" w:eastAsia="游明朝" w:hAnsiTheme="majorBidi" w:cstheme="majorBidi"/>
                <w:b/>
                <w:bCs/>
                <w:szCs w:val="24"/>
              </w:rPr>
              <w:t>2 w prior</w:t>
            </w:r>
          </w:p>
        </w:tc>
        <w:tc>
          <w:tcPr>
            <w:tcW w:w="211" w:type="pct"/>
            <w:tcBorders>
              <w:top w:val="single" w:sz="4" w:space="0" w:color="auto"/>
            </w:tcBorders>
            <w:shd w:val="clear" w:color="auto" w:fill="auto"/>
            <w:noWrap/>
            <w:hideMark/>
          </w:tcPr>
          <w:p w14:paraId="19E6891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tcBorders>
              <w:top w:val="single" w:sz="4" w:space="0" w:color="auto"/>
            </w:tcBorders>
            <w:shd w:val="clear" w:color="auto" w:fill="auto"/>
            <w:noWrap/>
            <w:hideMark/>
          </w:tcPr>
          <w:p w14:paraId="3C258408"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tcBorders>
              <w:top w:val="single" w:sz="4" w:space="0" w:color="auto"/>
            </w:tcBorders>
            <w:shd w:val="clear" w:color="auto" w:fill="auto"/>
            <w:noWrap/>
            <w:hideMark/>
          </w:tcPr>
          <w:p w14:paraId="0646F07D"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tcBorders>
              <w:top w:val="single" w:sz="4" w:space="0" w:color="auto"/>
            </w:tcBorders>
            <w:shd w:val="clear" w:color="auto" w:fill="auto"/>
            <w:noWrap/>
            <w:hideMark/>
          </w:tcPr>
          <w:p w14:paraId="6A84AD1F"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tcBorders>
              <w:top w:val="single" w:sz="4" w:space="0" w:color="auto"/>
            </w:tcBorders>
            <w:shd w:val="clear" w:color="auto" w:fill="auto"/>
            <w:noWrap/>
            <w:hideMark/>
          </w:tcPr>
          <w:p w14:paraId="7EF2639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tcBorders>
              <w:top w:val="single" w:sz="4" w:space="0" w:color="auto"/>
            </w:tcBorders>
            <w:shd w:val="clear" w:color="auto" w:fill="auto"/>
            <w:noWrap/>
            <w:hideMark/>
          </w:tcPr>
          <w:p w14:paraId="33E27B55"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tcBorders>
              <w:top w:val="single" w:sz="4" w:space="0" w:color="auto"/>
            </w:tcBorders>
            <w:shd w:val="clear" w:color="auto" w:fill="auto"/>
            <w:noWrap/>
            <w:hideMark/>
          </w:tcPr>
          <w:p w14:paraId="12A234A3"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tcBorders>
              <w:top w:val="single" w:sz="4" w:space="0" w:color="auto"/>
            </w:tcBorders>
            <w:shd w:val="clear" w:color="auto" w:fill="auto"/>
            <w:noWrap/>
            <w:hideMark/>
          </w:tcPr>
          <w:p w14:paraId="73CA130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tcBorders>
              <w:top w:val="single" w:sz="4" w:space="0" w:color="auto"/>
            </w:tcBorders>
            <w:shd w:val="clear" w:color="auto" w:fill="auto"/>
            <w:noWrap/>
            <w:hideMark/>
          </w:tcPr>
          <w:p w14:paraId="2A47D34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93" w:type="pct"/>
            <w:tcBorders>
              <w:top w:val="single" w:sz="4" w:space="0" w:color="auto"/>
            </w:tcBorders>
          </w:tcPr>
          <w:p w14:paraId="2080EA0A"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12</w:t>
            </w:r>
          </w:p>
        </w:tc>
        <w:tc>
          <w:tcPr>
            <w:tcW w:w="211" w:type="pct"/>
            <w:tcBorders>
              <w:top w:val="single" w:sz="4" w:space="0" w:color="auto"/>
            </w:tcBorders>
            <w:shd w:val="clear" w:color="auto" w:fill="auto"/>
            <w:noWrap/>
            <w:hideMark/>
          </w:tcPr>
          <w:p w14:paraId="0C9F51A9"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tcBorders>
              <w:top w:val="single" w:sz="4" w:space="0" w:color="auto"/>
            </w:tcBorders>
            <w:shd w:val="clear" w:color="auto" w:fill="auto"/>
            <w:noWrap/>
            <w:hideMark/>
          </w:tcPr>
          <w:p w14:paraId="570C7392"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11" w:type="pct"/>
            <w:tcBorders>
              <w:top w:val="single" w:sz="4" w:space="0" w:color="auto"/>
            </w:tcBorders>
            <w:shd w:val="clear" w:color="auto" w:fill="auto"/>
            <w:noWrap/>
            <w:hideMark/>
          </w:tcPr>
          <w:p w14:paraId="13BA843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tcBorders>
              <w:top w:val="single" w:sz="4" w:space="0" w:color="auto"/>
            </w:tcBorders>
            <w:shd w:val="clear" w:color="auto" w:fill="auto"/>
            <w:noWrap/>
            <w:hideMark/>
          </w:tcPr>
          <w:p w14:paraId="756E826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tcBorders>
              <w:top w:val="single" w:sz="4" w:space="0" w:color="auto"/>
            </w:tcBorders>
            <w:shd w:val="clear" w:color="auto" w:fill="auto"/>
            <w:noWrap/>
            <w:hideMark/>
          </w:tcPr>
          <w:p w14:paraId="2B8D7625"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11" w:type="pct"/>
            <w:tcBorders>
              <w:top w:val="single" w:sz="4" w:space="0" w:color="auto"/>
            </w:tcBorders>
            <w:shd w:val="clear" w:color="auto" w:fill="auto"/>
            <w:noWrap/>
            <w:hideMark/>
          </w:tcPr>
          <w:p w14:paraId="6CFA434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tcBorders>
              <w:top w:val="single" w:sz="4" w:space="0" w:color="auto"/>
            </w:tcBorders>
            <w:shd w:val="clear" w:color="auto" w:fill="auto"/>
            <w:noWrap/>
            <w:hideMark/>
          </w:tcPr>
          <w:p w14:paraId="57F3F2D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8</w:t>
            </w:r>
          </w:p>
        </w:tc>
        <w:tc>
          <w:tcPr>
            <w:tcW w:w="211" w:type="pct"/>
            <w:tcBorders>
              <w:top w:val="single" w:sz="4" w:space="0" w:color="auto"/>
            </w:tcBorders>
            <w:shd w:val="clear" w:color="auto" w:fill="auto"/>
            <w:noWrap/>
            <w:hideMark/>
          </w:tcPr>
          <w:p w14:paraId="44B7888E"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6</w:t>
            </w:r>
          </w:p>
        </w:tc>
        <w:tc>
          <w:tcPr>
            <w:tcW w:w="211" w:type="pct"/>
            <w:tcBorders>
              <w:top w:val="single" w:sz="4" w:space="0" w:color="auto"/>
            </w:tcBorders>
            <w:shd w:val="clear" w:color="auto" w:fill="auto"/>
            <w:noWrap/>
            <w:hideMark/>
          </w:tcPr>
          <w:p w14:paraId="4FFE8BBF"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93" w:type="pct"/>
            <w:tcBorders>
              <w:top w:val="single" w:sz="4" w:space="0" w:color="auto"/>
            </w:tcBorders>
          </w:tcPr>
          <w:p w14:paraId="73440842"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24</w:t>
            </w:r>
          </w:p>
        </w:tc>
      </w:tr>
      <w:tr w:rsidR="00A83587" w:rsidRPr="00241D72" w14:paraId="655157B6" w14:textId="77777777" w:rsidTr="00283481">
        <w:trPr>
          <w:trHeight w:val="20"/>
        </w:trPr>
        <w:tc>
          <w:tcPr>
            <w:tcW w:w="620" w:type="pct"/>
            <w:shd w:val="clear" w:color="auto" w:fill="auto"/>
            <w:noWrap/>
            <w:hideMark/>
          </w:tcPr>
          <w:p w14:paraId="0897C905" w14:textId="77777777" w:rsidR="00A83587" w:rsidRPr="00241D72" w:rsidRDefault="00A83587" w:rsidP="00283481">
            <w:pPr>
              <w:autoSpaceDE w:val="0"/>
              <w:autoSpaceDN w:val="0"/>
              <w:adjustRightInd w:val="0"/>
              <w:rPr>
                <w:rFonts w:asciiTheme="majorBidi" w:eastAsia="游明朝" w:hAnsiTheme="majorBidi" w:cstheme="majorBidi"/>
                <w:b/>
                <w:bCs/>
                <w:szCs w:val="24"/>
              </w:rPr>
            </w:pPr>
            <w:r w:rsidRPr="00241D72">
              <w:rPr>
                <w:rFonts w:asciiTheme="majorBidi" w:eastAsia="游明朝" w:hAnsiTheme="majorBidi" w:cstheme="majorBidi"/>
                <w:b/>
                <w:bCs/>
                <w:szCs w:val="24"/>
              </w:rPr>
              <w:t>After 2 w</w:t>
            </w:r>
          </w:p>
        </w:tc>
        <w:tc>
          <w:tcPr>
            <w:tcW w:w="211" w:type="pct"/>
            <w:shd w:val="clear" w:color="auto" w:fill="auto"/>
            <w:noWrap/>
            <w:hideMark/>
          </w:tcPr>
          <w:p w14:paraId="4207702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shd w:val="clear" w:color="auto" w:fill="auto"/>
            <w:noWrap/>
            <w:hideMark/>
          </w:tcPr>
          <w:p w14:paraId="3265550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shd w:val="clear" w:color="auto" w:fill="auto"/>
            <w:noWrap/>
            <w:hideMark/>
          </w:tcPr>
          <w:p w14:paraId="747B48AD"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38A006F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4</w:t>
            </w:r>
          </w:p>
        </w:tc>
        <w:tc>
          <w:tcPr>
            <w:tcW w:w="211" w:type="pct"/>
            <w:shd w:val="clear" w:color="auto" w:fill="auto"/>
            <w:noWrap/>
            <w:hideMark/>
          </w:tcPr>
          <w:p w14:paraId="6E37FDC8"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shd w:val="clear" w:color="auto" w:fill="auto"/>
            <w:noWrap/>
            <w:hideMark/>
          </w:tcPr>
          <w:p w14:paraId="750FC981"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79B250C5"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shd w:val="clear" w:color="auto" w:fill="auto"/>
            <w:noWrap/>
            <w:hideMark/>
          </w:tcPr>
          <w:p w14:paraId="48D19FF5"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2CF266BA"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93" w:type="pct"/>
          </w:tcPr>
          <w:p w14:paraId="6A5BB68C"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23</w:t>
            </w:r>
          </w:p>
        </w:tc>
        <w:tc>
          <w:tcPr>
            <w:tcW w:w="211" w:type="pct"/>
            <w:shd w:val="clear" w:color="auto" w:fill="auto"/>
            <w:noWrap/>
            <w:hideMark/>
          </w:tcPr>
          <w:p w14:paraId="5B7715EA"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11" w:type="pct"/>
            <w:shd w:val="clear" w:color="auto" w:fill="auto"/>
            <w:noWrap/>
            <w:hideMark/>
          </w:tcPr>
          <w:p w14:paraId="029091EC"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7F3AAB0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10</w:t>
            </w:r>
          </w:p>
        </w:tc>
        <w:tc>
          <w:tcPr>
            <w:tcW w:w="211" w:type="pct"/>
            <w:shd w:val="clear" w:color="auto" w:fill="auto"/>
            <w:noWrap/>
            <w:hideMark/>
          </w:tcPr>
          <w:p w14:paraId="08C0106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12</w:t>
            </w:r>
          </w:p>
        </w:tc>
        <w:tc>
          <w:tcPr>
            <w:tcW w:w="211" w:type="pct"/>
            <w:shd w:val="clear" w:color="auto" w:fill="auto"/>
            <w:noWrap/>
            <w:hideMark/>
          </w:tcPr>
          <w:p w14:paraId="4B41F65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23</w:t>
            </w:r>
          </w:p>
        </w:tc>
        <w:tc>
          <w:tcPr>
            <w:tcW w:w="211" w:type="pct"/>
            <w:shd w:val="clear" w:color="auto" w:fill="auto"/>
            <w:noWrap/>
            <w:hideMark/>
          </w:tcPr>
          <w:p w14:paraId="3C9446EA"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19</w:t>
            </w:r>
          </w:p>
        </w:tc>
        <w:tc>
          <w:tcPr>
            <w:tcW w:w="211" w:type="pct"/>
            <w:shd w:val="clear" w:color="auto" w:fill="auto"/>
            <w:noWrap/>
            <w:hideMark/>
          </w:tcPr>
          <w:p w14:paraId="1F715AA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9</w:t>
            </w:r>
          </w:p>
        </w:tc>
        <w:tc>
          <w:tcPr>
            <w:tcW w:w="211" w:type="pct"/>
            <w:shd w:val="clear" w:color="auto" w:fill="auto"/>
            <w:noWrap/>
            <w:hideMark/>
          </w:tcPr>
          <w:p w14:paraId="5AAF4B6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shd w:val="clear" w:color="auto" w:fill="auto"/>
            <w:noWrap/>
            <w:hideMark/>
          </w:tcPr>
          <w:p w14:paraId="11EC71A2"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93" w:type="pct"/>
          </w:tcPr>
          <w:p w14:paraId="36D004B5"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80</w:t>
            </w:r>
          </w:p>
        </w:tc>
      </w:tr>
      <w:tr w:rsidR="00A83587" w:rsidRPr="00241D72" w14:paraId="563C9853" w14:textId="77777777" w:rsidTr="00283481">
        <w:trPr>
          <w:trHeight w:val="20"/>
        </w:trPr>
        <w:tc>
          <w:tcPr>
            <w:tcW w:w="620" w:type="pct"/>
            <w:shd w:val="clear" w:color="auto" w:fill="auto"/>
            <w:noWrap/>
            <w:hideMark/>
          </w:tcPr>
          <w:p w14:paraId="7C9ED7A6" w14:textId="43D7E87E" w:rsidR="00A83587" w:rsidRPr="00241D72" w:rsidRDefault="00A83587" w:rsidP="00283481">
            <w:pPr>
              <w:autoSpaceDE w:val="0"/>
              <w:autoSpaceDN w:val="0"/>
              <w:adjustRightInd w:val="0"/>
              <w:rPr>
                <w:rFonts w:asciiTheme="majorBidi" w:eastAsia="游明朝" w:hAnsiTheme="majorBidi" w:cstheme="majorBidi"/>
                <w:b/>
                <w:bCs/>
                <w:szCs w:val="24"/>
              </w:rPr>
            </w:pPr>
            <w:r w:rsidRPr="00241D72">
              <w:rPr>
                <w:rFonts w:asciiTheme="majorBidi" w:eastAsia="游明朝" w:hAnsiTheme="majorBidi" w:cstheme="majorBidi"/>
                <w:b/>
                <w:bCs/>
                <w:szCs w:val="24"/>
              </w:rPr>
              <w:t>After 2</w:t>
            </w:r>
            <w:r w:rsidR="009F5802" w:rsidRPr="00241D72">
              <w:rPr>
                <w:rFonts w:asciiTheme="majorBidi" w:eastAsia="游明朝" w:hAnsiTheme="majorBidi" w:cstheme="majorBidi"/>
                <w:b/>
                <w:bCs/>
                <w:szCs w:val="24"/>
              </w:rPr>
              <w:t>–</w:t>
            </w:r>
            <w:r w:rsidRPr="00241D72">
              <w:rPr>
                <w:rFonts w:asciiTheme="majorBidi" w:eastAsia="游明朝" w:hAnsiTheme="majorBidi" w:cstheme="majorBidi"/>
                <w:b/>
                <w:bCs/>
                <w:szCs w:val="24"/>
              </w:rPr>
              <w:t>4 w</w:t>
            </w:r>
          </w:p>
        </w:tc>
        <w:tc>
          <w:tcPr>
            <w:tcW w:w="211" w:type="pct"/>
            <w:shd w:val="clear" w:color="auto" w:fill="auto"/>
            <w:noWrap/>
            <w:hideMark/>
          </w:tcPr>
          <w:p w14:paraId="74C4092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1F9FA47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11" w:type="pct"/>
            <w:shd w:val="clear" w:color="auto" w:fill="auto"/>
            <w:noWrap/>
            <w:hideMark/>
          </w:tcPr>
          <w:p w14:paraId="4A7427FD"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652F03CD"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shd w:val="clear" w:color="auto" w:fill="auto"/>
            <w:noWrap/>
            <w:hideMark/>
          </w:tcPr>
          <w:p w14:paraId="57B1C915"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shd w:val="clear" w:color="auto" w:fill="auto"/>
            <w:noWrap/>
            <w:hideMark/>
          </w:tcPr>
          <w:p w14:paraId="5A7BFCE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11</w:t>
            </w:r>
          </w:p>
        </w:tc>
        <w:tc>
          <w:tcPr>
            <w:tcW w:w="211" w:type="pct"/>
            <w:shd w:val="clear" w:color="auto" w:fill="auto"/>
            <w:noWrap/>
            <w:hideMark/>
          </w:tcPr>
          <w:p w14:paraId="61A1EE53"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shd w:val="clear" w:color="auto" w:fill="auto"/>
            <w:noWrap/>
            <w:hideMark/>
          </w:tcPr>
          <w:p w14:paraId="1C40E023"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7FE36D7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93" w:type="pct"/>
          </w:tcPr>
          <w:p w14:paraId="52EB446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30</w:t>
            </w:r>
          </w:p>
        </w:tc>
        <w:tc>
          <w:tcPr>
            <w:tcW w:w="211" w:type="pct"/>
            <w:shd w:val="clear" w:color="auto" w:fill="auto"/>
            <w:noWrap/>
            <w:hideMark/>
          </w:tcPr>
          <w:p w14:paraId="26ABD2B3"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11" w:type="pct"/>
            <w:shd w:val="clear" w:color="auto" w:fill="auto"/>
            <w:noWrap/>
            <w:hideMark/>
          </w:tcPr>
          <w:p w14:paraId="28BEE81B"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8</w:t>
            </w:r>
          </w:p>
        </w:tc>
        <w:tc>
          <w:tcPr>
            <w:tcW w:w="211" w:type="pct"/>
            <w:shd w:val="clear" w:color="auto" w:fill="auto"/>
            <w:noWrap/>
            <w:hideMark/>
          </w:tcPr>
          <w:p w14:paraId="3EDB2DCC"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12</w:t>
            </w:r>
          </w:p>
        </w:tc>
        <w:tc>
          <w:tcPr>
            <w:tcW w:w="211" w:type="pct"/>
            <w:shd w:val="clear" w:color="auto" w:fill="auto"/>
            <w:noWrap/>
            <w:hideMark/>
          </w:tcPr>
          <w:p w14:paraId="7978CAB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15</w:t>
            </w:r>
          </w:p>
        </w:tc>
        <w:tc>
          <w:tcPr>
            <w:tcW w:w="211" w:type="pct"/>
            <w:shd w:val="clear" w:color="auto" w:fill="auto"/>
            <w:noWrap/>
            <w:hideMark/>
          </w:tcPr>
          <w:p w14:paraId="2A05C5FE"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14</w:t>
            </w:r>
          </w:p>
        </w:tc>
        <w:tc>
          <w:tcPr>
            <w:tcW w:w="211" w:type="pct"/>
            <w:shd w:val="clear" w:color="auto" w:fill="auto"/>
            <w:noWrap/>
            <w:hideMark/>
          </w:tcPr>
          <w:p w14:paraId="3A897053"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17</w:t>
            </w:r>
          </w:p>
        </w:tc>
        <w:tc>
          <w:tcPr>
            <w:tcW w:w="211" w:type="pct"/>
            <w:shd w:val="clear" w:color="auto" w:fill="auto"/>
            <w:noWrap/>
            <w:hideMark/>
          </w:tcPr>
          <w:p w14:paraId="45A6EBD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9</w:t>
            </w:r>
          </w:p>
        </w:tc>
        <w:tc>
          <w:tcPr>
            <w:tcW w:w="211" w:type="pct"/>
            <w:shd w:val="clear" w:color="auto" w:fill="auto"/>
            <w:noWrap/>
            <w:hideMark/>
          </w:tcPr>
          <w:p w14:paraId="2FB20F6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11</w:t>
            </w:r>
          </w:p>
        </w:tc>
        <w:tc>
          <w:tcPr>
            <w:tcW w:w="211" w:type="pct"/>
            <w:shd w:val="clear" w:color="auto" w:fill="auto"/>
            <w:noWrap/>
            <w:hideMark/>
          </w:tcPr>
          <w:p w14:paraId="5D052DF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93" w:type="pct"/>
          </w:tcPr>
          <w:p w14:paraId="2AC1573D"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88</w:t>
            </w:r>
          </w:p>
        </w:tc>
      </w:tr>
      <w:tr w:rsidR="00A83587" w:rsidRPr="00241D72" w14:paraId="753DAA59" w14:textId="77777777" w:rsidTr="00283481">
        <w:trPr>
          <w:trHeight w:val="20"/>
        </w:trPr>
        <w:tc>
          <w:tcPr>
            <w:tcW w:w="620" w:type="pct"/>
            <w:shd w:val="clear" w:color="auto" w:fill="auto"/>
            <w:noWrap/>
            <w:hideMark/>
          </w:tcPr>
          <w:p w14:paraId="6DAC87D5" w14:textId="4CFF13F2" w:rsidR="00A83587" w:rsidRPr="00241D72" w:rsidRDefault="00A83587" w:rsidP="00283481">
            <w:pPr>
              <w:autoSpaceDE w:val="0"/>
              <w:autoSpaceDN w:val="0"/>
              <w:adjustRightInd w:val="0"/>
              <w:rPr>
                <w:rFonts w:asciiTheme="majorBidi" w:eastAsia="游明朝" w:hAnsiTheme="majorBidi" w:cstheme="majorBidi"/>
                <w:b/>
                <w:bCs/>
                <w:szCs w:val="24"/>
              </w:rPr>
            </w:pPr>
            <w:r w:rsidRPr="00241D72">
              <w:rPr>
                <w:rFonts w:asciiTheme="majorBidi" w:eastAsia="游明朝" w:hAnsiTheme="majorBidi" w:cstheme="majorBidi"/>
                <w:b/>
                <w:bCs/>
                <w:szCs w:val="24"/>
              </w:rPr>
              <w:t>After 4</w:t>
            </w:r>
            <w:r w:rsidR="009F5802" w:rsidRPr="00241D72">
              <w:rPr>
                <w:rFonts w:asciiTheme="majorBidi" w:eastAsia="游明朝" w:hAnsiTheme="majorBidi" w:cstheme="majorBidi"/>
                <w:b/>
                <w:bCs/>
                <w:szCs w:val="24"/>
              </w:rPr>
              <w:t>–</w:t>
            </w:r>
            <w:r w:rsidRPr="00241D72">
              <w:rPr>
                <w:rFonts w:asciiTheme="majorBidi" w:eastAsia="游明朝" w:hAnsiTheme="majorBidi" w:cstheme="majorBidi"/>
                <w:b/>
                <w:bCs/>
                <w:szCs w:val="24"/>
              </w:rPr>
              <w:t>6 w</w:t>
            </w:r>
          </w:p>
        </w:tc>
        <w:tc>
          <w:tcPr>
            <w:tcW w:w="211" w:type="pct"/>
            <w:shd w:val="clear" w:color="auto" w:fill="auto"/>
            <w:noWrap/>
            <w:hideMark/>
          </w:tcPr>
          <w:p w14:paraId="0EE3F4DC"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5A3566C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4DB4A56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26393FD9"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7D5337DA"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7</w:t>
            </w:r>
          </w:p>
        </w:tc>
        <w:tc>
          <w:tcPr>
            <w:tcW w:w="211" w:type="pct"/>
            <w:shd w:val="clear" w:color="auto" w:fill="auto"/>
            <w:noWrap/>
            <w:hideMark/>
          </w:tcPr>
          <w:p w14:paraId="7C92A618"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20FAE952"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4</w:t>
            </w:r>
          </w:p>
        </w:tc>
        <w:tc>
          <w:tcPr>
            <w:tcW w:w="211" w:type="pct"/>
            <w:shd w:val="clear" w:color="auto" w:fill="auto"/>
            <w:noWrap/>
            <w:hideMark/>
          </w:tcPr>
          <w:p w14:paraId="54D5B95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shd w:val="clear" w:color="auto" w:fill="auto"/>
            <w:noWrap/>
            <w:hideMark/>
          </w:tcPr>
          <w:p w14:paraId="2634348B"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93" w:type="pct"/>
          </w:tcPr>
          <w:p w14:paraId="3BD08E9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26</w:t>
            </w:r>
          </w:p>
        </w:tc>
        <w:tc>
          <w:tcPr>
            <w:tcW w:w="211" w:type="pct"/>
            <w:shd w:val="clear" w:color="auto" w:fill="auto"/>
            <w:noWrap/>
            <w:hideMark/>
          </w:tcPr>
          <w:p w14:paraId="4AFB0561"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11" w:type="pct"/>
            <w:shd w:val="clear" w:color="auto" w:fill="auto"/>
            <w:noWrap/>
            <w:hideMark/>
          </w:tcPr>
          <w:p w14:paraId="1B0A41DE"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738D9D2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shd w:val="clear" w:color="auto" w:fill="auto"/>
            <w:noWrap/>
            <w:hideMark/>
          </w:tcPr>
          <w:p w14:paraId="1AD2507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7</w:t>
            </w:r>
          </w:p>
        </w:tc>
        <w:tc>
          <w:tcPr>
            <w:tcW w:w="211" w:type="pct"/>
            <w:shd w:val="clear" w:color="auto" w:fill="auto"/>
            <w:noWrap/>
            <w:hideMark/>
          </w:tcPr>
          <w:p w14:paraId="11658561"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10</w:t>
            </w:r>
          </w:p>
        </w:tc>
        <w:tc>
          <w:tcPr>
            <w:tcW w:w="211" w:type="pct"/>
            <w:shd w:val="clear" w:color="auto" w:fill="auto"/>
            <w:noWrap/>
            <w:hideMark/>
          </w:tcPr>
          <w:p w14:paraId="7EBA8ACA"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13</w:t>
            </w:r>
          </w:p>
        </w:tc>
        <w:tc>
          <w:tcPr>
            <w:tcW w:w="211" w:type="pct"/>
            <w:shd w:val="clear" w:color="auto" w:fill="auto"/>
            <w:noWrap/>
            <w:hideMark/>
          </w:tcPr>
          <w:p w14:paraId="556B5C32"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17</w:t>
            </w:r>
          </w:p>
        </w:tc>
        <w:tc>
          <w:tcPr>
            <w:tcW w:w="211" w:type="pct"/>
            <w:shd w:val="clear" w:color="auto" w:fill="auto"/>
            <w:noWrap/>
            <w:hideMark/>
          </w:tcPr>
          <w:p w14:paraId="12BCCAE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10</w:t>
            </w:r>
          </w:p>
        </w:tc>
        <w:tc>
          <w:tcPr>
            <w:tcW w:w="211" w:type="pct"/>
            <w:shd w:val="clear" w:color="auto" w:fill="auto"/>
            <w:noWrap/>
            <w:hideMark/>
          </w:tcPr>
          <w:p w14:paraId="6FC0A022"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93" w:type="pct"/>
          </w:tcPr>
          <w:p w14:paraId="4BCC3C99"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69</w:t>
            </w:r>
          </w:p>
        </w:tc>
      </w:tr>
      <w:tr w:rsidR="00A83587" w:rsidRPr="00241D72" w14:paraId="27B35C2F" w14:textId="77777777" w:rsidTr="00283481">
        <w:trPr>
          <w:trHeight w:val="20"/>
        </w:trPr>
        <w:tc>
          <w:tcPr>
            <w:tcW w:w="620" w:type="pct"/>
            <w:shd w:val="clear" w:color="auto" w:fill="auto"/>
            <w:noWrap/>
            <w:hideMark/>
          </w:tcPr>
          <w:p w14:paraId="59BD0055" w14:textId="70AD1383" w:rsidR="00A83587" w:rsidRPr="00241D72" w:rsidRDefault="00A83587" w:rsidP="00283481">
            <w:pPr>
              <w:autoSpaceDE w:val="0"/>
              <w:autoSpaceDN w:val="0"/>
              <w:adjustRightInd w:val="0"/>
              <w:rPr>
                <w:rFonts w:asciiTheme="majorBidi" w:eastAsia="游明朝" w:hAnsiTheme="majorBidi" w:cstheme="majorBidi"/>
                <w:b/>
                <w:bCs/>
                <w:szCs w:val="24"/>
              </w:rPr>
            </w:pPr>
            <w:r w:rsidRPr="00241D72">
              <w:rPr>
                <w:rFonts w:asciiTheme="majorBidi" w:eastAsia="游明朝" w:hAnsiTheme="majorBidi" w:cstheme="majorBidi"/>
                <w:b/>
                <w:bCs/>
                <w:szCs w:val="24"/>
              </w:rPr>
              <w:t>After 6</w:t>
            </w:r>
            <w:r w:rsidR="009F5802" w:rsidRPr="00241D72">
              <w:rPr>
                <w:rFonts w:asciiTheme="majorBidi" w:eastAsia="游明朝" w:hAnsiTheme="majorBidi" w:cstheme="majorBidi"/>
                <w:b/>
                <w:bCs/>
                <w:szCs w:val="24"/>
              </w:rPr>
              <w:t>–</w:t>
            </w:r>
            <w:r w:rsidRPr="00241D72">
              <w:rPr>
                <w:rFonts w:asciiTheme="majorBidi" w:eastAsia="游明朝" w:hAnsiTheme="majorBidi" w:cstheme="majorBidi"/>
                <w:b/>
                <w:bCs/>
                <w:szCs w:val="24"/>
              </w:rPr>
              <w:t>8 w</w:t>
            </w:r>
          </w:p>
        </w:tc>
        <w:tc>
          <w:tcPr>
            <w:tcW w:w="211" w:type="pct"/>
            <w:shd w:val="clear" w:color="auto" w:fill="auto"/>
            <w:noWrap/>
            <w:hideMark/>
          </w:tcPr>
          <w:p w14:paraId="42C29B3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shd w:val="clear" w:color="auto" w:fill="auto"/>
            <w:noWrap/>
            <w:hideMark/>
          </w:tcPr>
          <w:p w14:paraId="3EC95AC2"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shd w:val="clear" w:color="auto" w:fill="auto"/>
            <w:noWrap/>
            <w:hideMark/>
          </w:tcPr>
          <w:p w14:paraId="4DAB8CC8"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4944B95C"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11" w:type="pct"/>
            <w:shd w:val="clear" w:color="auto" w:fill="auto"/>
            <w:noWrap/>
            <w:hideMark/>
          </w:tcPr>
          <w:p w14:paraId="6C87DD0E"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33384BBC"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4</w:t>
            </w:r>
          </w:p>
        </w:tc>
        <w:tc>
          <w:tcPr>
            <w:tcW w:w="211" w:type="pct"/>
            <w:shd w:val="clear" w:color="auto" w:fill="auto"/>
            <w:noWrap/>
            <w:hideMark/>
          </w:tcPr>
          <w:p w14:paraId="11BE49A2"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11" w:type="pct"/>
            <w:shd w:val="clear" w:color="auto" w:fill="auto"/>
            <w:noWrap/>
            <w:hideMark/>
          </w:tcPr>
          <w:p w14:paraId="4C1B99A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59E17DCB"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93" w:type="pct"/>
          </w:tcPr>
          <w:p w14:paraId="3AA3B973"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15</w:t>
            </w:r>
          </w:p>
        </w:tc>
        <w:tc>
          <w:tcPr>
            <w:tcW w:w="211" w:type="pct"/>
            <w:shd w:val="clear" w:color="auto" w:fill="auto"/>
            <w:noWrap/>
            <w:hideMark/>
          </w:tcPr>
          <w:p w14:paraId="360E4F6A"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shd w:val="clear" w:color="auto" w:fill="auto"/>
            <w:noWrap/>
            <w:hideMark/>
          </w:tcPr>
          <w:p w14:paraId="5E0958CB"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shd w:val="clear" w:color="auto" w:fill="auto"/>
            <w:noWrap/>
            <w:hideMark/>
          </w:tcPr>
          <w:p w14:paraId="27A041EF"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8</w:t>
            </w:r>
          </w:p>
        </w:tc>
        <w:tc>
          <w:tcPr>
            <w:tcW w:w="211" w:type="pct"/>
            <w:shd w:val="clear" w:color="auto" w:fill="auto"/>
            <w:noWrap/>
            <w:hideMark/>
          </w:tcPr>
          <w:p w14:paraId="4A0E2DAA"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7</w:t>
            </w:r>
          </w:p>
        </w:tc>
        <w:tc>
          <w:tcPr>
            <w:tcW w:w="211" w:type="pct"/>
            <w:shd w:val="clear" w:color="auto" w:fill="auto"/>
            <w:noWrap/>
            <w:hideMark/>
          </w:tcPr>
          <w:p w14:paraId="1CFAA34F"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8</w:t>
            </w:r>
          </w:p>
        </w:tc>
        <w:tc>
          <w:tcPr>
            <w:tcW w:w="211" w:type="pct"/>
            <w:shd w:val="clear" w:color="auto" w:fill="auto"/>
            <w:noWrap/>
            <w:hideMark/>
          </w:tcPr>
          <w:p w14:paraId="5657CB4A"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12</w:t>
            </w:r>
          </w:p>
        </w:tc>
        <w:tc>
          <w:tcPr>
            <w:tcW w:w="211" w:type="pct"/>
            <w:shd w:val="clear" w:color="auto" w:fill="auto"/>
            <w:noWrap/>
            <w:hideMark/>
          </w:tcPr>
          <w:p w14:paraId="011EBB91"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9</w:t>
            </w:r>
          </w:p>
        </w:tc>
        <w:tc>
          <w:tcPr>
            <w:tcW w:w="211" w:type="pct"/>
            <w:shd w:val="clear" w:color="auto" w:fill="auto"/>
            <w:noWrap/>
            <w:hideMark/>
          </w:tcPr>
          <w:p w14:paraId="130E4973"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shd w:val="clear" w:color="auto" w:fill="auto"/>
            <w:noWrap/>
            <w:hideMark/>
          </w:tcPr>
          <w:p w14:paraId="262474DB"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93" w:type="pct"/>
          </w:tcPr>
          <w:p w14:paraId="5FA3BDC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51</w:t>
            </w:r>
          </w:p>
        </w:tc>
      </w:tr>
      <w:tr w:rsidR="00A83587" w:rsidRPr="00241D72" w14:paraId="2F826471" w14:textId="77777777" w:rsidTr="00283481">
        <w:trPr>
          <w:trHeight w:val="20"/>
        </w:trPr>
        <w:tc>
          <w:tcPr>
            <w:tcW w:w="620" w:type="pct"/>
            <w:shd w:val="clear" w:color="auto" w:fill="auto"/>
            <w:noWrap/>
            <w:hideMark/>
          </w:tcPr>
          <w:p w14:paraId="26E448BF" w14:textId="3AD2784F" w:rsidR="00A83587" w:rsidRPr="00241D72" w:rsidRDefault="00A83587" w:rsidP="00283481">
            <w:pPr>
              <w:autoSpaceDE w:val="0"/>
              <w:autoSpaceDN w:val="0"/>
              <w:adjustRightInd w:val="0"/>
              <w:rPr>
                <w:rFonts w:asciiTheme="majorBidi" w:eastAsia="游明朝" w:hAnsiTheme="majorBidi" w:cstheme="majorBidi"/>
                <w:b/>
                <w:bCs/>
                <w:szCs w:val="24"/>
              </w:rPr>
            </w:pPr>
            <w:r w:rsidRPr="00241D72">
              <w:rPr>
                <w:rFonts w:asciiTheme="majorBidi" w:eastAsia="游明朝" w:hAnsiTheme="majorBidi" w:cstheme="majorBidi"/>
                <w:b/>
                <w:bCs/>
                <w:szCs w:val="24"/>
              </w:rPr>
              <w:t>After 8</w:t>
            </w:r>
            <w:r w:rsidR="009F5802" w:rsidRPr="00241D72">
              <w:rPr>
                <w:rFonts w:asciiTheme="majorBidi" w:eastAsia="游明朝" w:hAnsiTheme="majorBidi" w:cstheme="majorBidi"/>
                <w:b/>
                <w:bCs/>
                <w:szCs w:val="24"/>
              </w:rPr>
              <w:t>–</w:t>
            </w:r>
            <w:r w:rsidRPr="00241D72">
              <w:rPr>
                <w:rFonts w:asciiTheme="majorBidi" w:eastAsia="游明朝" w:hAnsiTheme="majorBidi" w:cstheme="majorBidi"/>
                <w:b/>
                <w:bCs/>
                <w:szCs w:val="24"/>
              </w:rPr>
              <w:t>10 w</w:t>
            </w:r>
          </w:p>
        </w:tc>
        <w:tc>
          <w:tcPr>
            <w:tcW w:w="211" w:type="pct"/>
            <w:shd w:val="clear" w:color="auto" w:fill="auto"/>
            <w:noWrap/>
            <w:hideMark/>
          </w:tcPr>
          <w:p w14:paraId="1EC7A0C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shd w:val="clear" w:color="auto" w:fill="auto"/>
            <w:noWrap/>
            <w:hideMark/>
          </w:tcPr>
          <w:p w14:paraId="6B6FC08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39397A12"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6D0CD097"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1FAB18B5"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4</w:t>
            </w:r>
          </w:p>
        </w:tc>
        <w:tc>
          <w:tcPr>
            <w:tcW w:w="211" w:type="pct"/>
            <w:shd w:val="clear" w:color="auto" w:fill="auto"/>
            <w:noWrap/>
            <w:hideMark/>
          </w:tcPr>
          <w:p w14:paraId="01DFA84E"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9</w:t>
            </w:r>
          </w:p>
        </w:tc>
        <w:tc>
          <w:tcPr>
            <w:tcW w:w="211" w:type="pct"/>
            <w:shd w:val="clear" w:color="auto" w:fill="auto"/>
            <w:noWrap/>
            <w:hideMark/>
          </w:tcPr>
          <w:p w14:paraId="7C4875EC"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8</w:t>
            </w:r>
          </w:p>
        </w:tc>
        <w:tc>
          <w:tcPr>
            <w:tcW w:w="211" w:type="pct"/>
            <w:shd w:val="clear" w:color="auto" w:fill="auto"/>
            <w:noWrap/>
            <w:hideMark/>
          </w:tcPr>
          <w:p w14:paraId="02E0EAC8"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099BB16F"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93" w:type="pct"/>
          </w:tcPr>
          <w:p w14:paraId="34F29A5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27</w:t>
            </w:r>
          </w:p>
        </w:tc>
        <w:tc>
          <w:tcPr>
            <w:tcW w:w="211" w:type="pct"/>
            <w:shd w:val="clear" w:color="auto" w:fill="auto"/>
            <w:noWrap/>
            <w:hideMark/>
          </w:tcPr>
          <w:p w14:paraId="5A17A9C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58D81782"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7</w:t>
            </w:r>
          </w:p>
        </w:tc>
        <w:tc>
          <w:tcPr>
            <w:tcW w:w="211" w:type="pct"/>
            <w:shd w:val="clear" w:color="auto" w:fill="auto"/>
            <w:noWrap/>
            <w:hideMark/>
          </w:tcPr>
          <w:p w14:paraId="750AB5D5"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8</w:t>
            </w:r>
          </w:p>
        </w:tc>
        <w:tc>
          <w:tcPr>
            <w:tcW w:w="211" w:type="pct"/>
            <w:shd w:val="clear" w:color="auto" w:fill="auto"/>
            <w:noWrap/>
            <w:hideMark/>
          </w:tcPr>
          <w:p w14:paraId="36EEA3E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6</w:t>
            </w:r>
          </w:p>
        </w:tc>
        <w:tc>
          <w:tcPr>
            <w:tcW w:w="211" w:type="pct"/>
            <w:shd w:val="clear" w:color="auto" w:fill="auto"/>
            <w:noWrap/>
            <w:hideMark/>
          </w:tcPr>
          <w:p w14:paraId="7C1230E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11</w:t>
            </w:r>
          </w:p>
        </w:tc>
        <w:tc>
          <w:tcPr>
            <w:tcW w:w="211" w:type="pct"/>
            <w:shd w:val="clear" w:color="auto" w:fill="auto"/>
            <w:noWrap/>
            <w:hideMark/>
          </w:tcPr>
          <w:p w14:paraId="60E9F36A"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10</w:t>
            </w:r>
          </w:p>
        </w:tc>
        <w:tc>
          <w:tcPr>
            <w:tcW w:w="211" w:type="pct"/>
            <w:shd w:val="clear" w:color="auto" w:fill="auto"/>
            <w:noWrap/>
            <w:hideMark/>
          </w:tcPr>
          <w:p w14:paraId="0A2C1509"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9</w:t>
            </w:r>
          </w:p>
        </w:tc>
        <w:tc>
          <w:tcPr>
            <w:tcW w:w="211" w:type="pct"/>
            <w:shd w:val="clear" w:color="auto" w:fill="auto"/>
            <w:noWrap/>
            <w:hideMark/>
          </w:tcPr>
          <w:p w14:paraId="582FA07B"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8</w:t>
            </w:r>
          </w:p>
        </w:tc>
        <w:tc>
          <w:tcPr>
            <w:tcW w:w="211" w:type="pct"/>
            <w:shd w:val="clear" w:color="auto" w:fill="auto"/>
            <w:noWrap/>
            <w:hideMark/>
          </w:tcPr>
          <w:p w14:paraId="362C80F3"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93" w:type="pct"/>
          </w:tcPr>
          <w:p w14:paraId="645BC43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62</w:t>
            </w:r>
          </w:p>
        </w:tc>
      </w:tr>
      <w:tr w:rsidR="00A83587" w:rsidRPr="00241D72" w14:paraId="5E7447EE" w14:textId="77777777" w:rsidTr="00283481">
        <w:trPr>
          <w:trHeight w:val="20"/>
        </w:trPr>
        <w:tc>
          <w:tcPr>
            <w:tcW w:w="620" w:type="pct"/>
            <w:shd w:val="clear" w:color="auto" w:fill="auto"/>
            <w:noWrap/>
            <w:hideMark/>
          </w:tcPr>
          <w:p w14:paraId="38541852" w14:textId="375E41F2" w:rsidR="00A83587" w:rsidRPr="00241D72" w:rsidRDefault="00A83587" w:rsidP="00283481">
            <w:pPr>
              <w:autoSpaceDE w:val="0"/>
              <w:autoSpaceDN w:val="0"/>
              <w:adjustRightInd w:val="0"/>
              <w:ind w:right="-228"/>
              <w:rPr>
                <w:rFonts w:asciiTheme="majorBidi" w:eastAsia="游明朝" w:hAnsiTheme="majorBidi" w:cstheme="majorBidi"/>
                <w:b/>
                <w:bCs/>
                <w:szCs w:val="24"/>
              </w:rPr>
            </w:pPr>
            <w:r w:rsidRPr="00241D72">
              <w:rPr>
                <w:rFonts w:asciiTheme="majorBidi" w:eastAsia="游明朝" w:hAnsiTheme="majorBidi" w:cstheme="majorBidi"/>
                <w:b/>
                <w:bCs/>
                <w:szCs w:val="24"/>
              </w:rPr>
              <w:t>After 10</w:t>
            </w:r>
            <w:r w:rsidR="009F5802" w:rsidRPr="00241D72">
              <w:rPr>
                <w:rFonts w:asciiTheme="majorBidi" w:eastAsia="游明朝" w:hAnsiTheme="majorBidi" w:cstheme="majorBidi"/>
                <w:b/>
                <w:bCs/>
                <w:szCs w:val="24"/>
              </w:rPr>
              <w:t>–</w:t>
            </w:r>
            <w:r w:rsidRPr="00241D72">
              <w:rPr>
                <w:rFonts w:asciiTheme="majorBidi" w:eastAsia="游明朝" w:hAnsiTheme="majorBidi" w:cstheme="majorBidi"/>
                <w:b/>
                <w:bCs/>
                <w:szCs w:val="24"/>
              </w:rPr>
              <w:t>12 w</w:t>
            </w:r>
          </w:p>
        </w:tc>
        <w:tc>
          <w:tcPr>
            <w:tcW w:w="211" w:type="pct"/>
            <w:shd w:val="clear" w:color="auto" w:fill="auto"/>
            <w:noWrap/>
            <w:hideMark/>
          </w:tcPr>
          <w:p w14:paraId="0D35D06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11" w:type="pct"/>
            <w:shd w:val="clear" w:color="auto" w:fill="auto"/>
            <w:noWrap/>
            <w:hideMark/>
          </w:tcPr>
          <w:p w14:paraId="6488548F"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5D20CFAF"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4ECC4F5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0F0C32CB"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shd w:val="clear" w:color="auto" w:fill="auto"/>
            <w:noWrap/>
            <w:hideMark/>
          </w:tcPr>
          <w:p w14:paraId="6205511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0104B3CE"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3</w:t>
            </w:r>
          </w:p>
        </w:tc>
        <w:tc>
          <w:tcPr>
            <w:tcW w:w="211" w:type="pct"/>
            <w:shd w:val="clear" w:color="auto" w:fill="auto"/>
            <w:noWrap/>
            <w:hideMark/>
          </w:tcPr>
          <w:p w14:paraId="2C728E26"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2</w:t>
            </w:r>
          </w:p>
        </w:tc>
        <w:tc>
          <w:tcPr>
            <w:tcW w:w="211" w:type="pct"/>
            <w:shd w:val="clear" w:color="auto" w:fill="auto"/>
            <w:noWrap/>
            <w:hideMark/>
          </w:tcPr>
          <w:p w14:paraId="41C41701"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93" w:type="pct"/>
          </w:tcPr>
          <w:p w14:paraId="1AB3667B"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18</w:t>
            </w:r>
          </w:p>
        </w:tc>
        <w:tc>
          <w:tcPr>
            <w:tcW w:w="211" w:type="pct"/>
            <w:shd w:val="clear" w:color="auto" w:fill="auto"/>
            <w:noWrap/>
            <w:hideMark/>
          </w:tcPr>
          <w:p w14:paraId="6F6F480F"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w:t>
            </w:r>
          </w:p>
        </w:tc>
        <w:tc>
          <w:tcPr>
            <w:tcW w:w="211" w:type="pct"/>
            <w:shd w:val="clear" w:color="auto" w:fill="auto"/>
            <w:noWrap/>
            <w:hideMark/>
          </w:tcPr>
          <w:p w14:paraId="1B2C5D50"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4</w:t>
            </w:r>
          </w:p>
        </w:tc>
        <w:tc>
          <w:tcPr>
            <w:tcW w:w="211" w:type="pct"/>
            <w:shd w:val="clear" w:color="auto" w:fill="auto"/>
            <w:noWrap/>
            <w:hideMark/>
          </w:tcPr>
          <w:p w14:paraId="10049544"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5</w:t>
            </w:r>
          </w:p>
        </w:tc>
        <w:tc>
          <w:tcPr>
            <w:tcW w:w="211" w:type="pct"/>
            <w:shd w:val="clear" w:color="auto" w:fill="auto"/>
            <w:noWrap/>
            <w:hideMark/>
          </w:tcPr>
          <w:p w14:paraId="1ADF04F5"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7</w:t>
            </w:r>
          </w:p>
        </w:tc>
        <w:tc>
          <w:tcPr>
            <w:tcW w:w="211" w:type="pct"/>
            <w:shd w:val="clear" w:color="auto" w:fill="auto"/>
            <w:noWrap/>
            <w:hideMark/>
          </w:tcPr>
          <w:p w14:paraId="78CDE7C5"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8</w:t>
            </w:r>
          </w:p>
        </w:tc>
        <w:tc>
          <w:tcPr>
            <w:tcW w:w="211" w:type="pct"/>
            <w:shd w:val="clear" w:color="auto" w:fill="auto"/>
            <w:noWrap/>
            <w:hideMark/>
          </w:tcPr>
          <w:p w14:paraId="0E415653"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13</w:t>
            </w:r>
          </w:p>
        </w:tc>
        <w:tc>
          <w:tcPr>
            <w:tcW w:w="211" w:type="pct"/>
            <w:shd w:val="clear" w:color="auto" w:fill="auto"/>
            <w:noWrap/>
            <w:hideMark/>
          </w:tcPr>
          <w:p w14:paraId="7B995509"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6</w:t>
            </w:r>
          </w:p>
        </w:tc>
        <w:tc>
          <w:tcPr>
            <w:tcW w:w="211" w:type="pct"/>
            <w:shd w:val="clear" w:color="auto" w:fill="auto"/>
            <w:noWrap/>
            <w:hideMark/>
          </w:tcPr>
          <w:p w14:paraId="446044E3"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6</w:t>
            </w:r>
          </w:p>
        </w:tc>
        <w:tc>
          <w:tcPr>
            <w:tcW w:w="211" w:type="pct"/>
            <w:shd w:val="clear" w:color="auto" w:fill="auto"/>
            <w:noWrap/>
            <w:hideMark/>
          </w:tcPr>
          <w:p w14:paraId="3C3F93CE"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明朝" w:hAnsiTheme="majorBidi" w:cstheme="majorBidi"/>
                <w:szCs w:val="24"/>
              </w:rPr>
              <w:t>0</w:t>
            </w:r>
          </w:p>
        </w:tc>
        <w:tc>
          <w:tcPr>
            <w:tcW w:w="293" w:type="pct"/>
          </w:tcPr>
          <w:p w14:paraId="6E16096B" w14:textId="77777777" w:rsidR="00A83587" w:rsidRPr="00241D72" w:rsidRDefault="00A83587" w:rsidP="00283481">
            <w:pPr>
              <w:autoSpaceDE w:val="0"/>
              <w:autoSpaceDN w:val="0"/>
              <w:adjustRightInd w:val="0"/>
              <w:jc w:val="center"/>
              <w:rPr>
                <w:rFonts w:asciiTheme="majorBidi" w:eastAsia="游明朝" w:hAnsiTheme="majorBidi" w:cstheme="majorBidi"/>
                <w:szCs w:val="24"/>
              </w:rPr>
            </w:pPr>
            <w:r w:rsidRPr="00241D72">
              <w:rPr>
                <w:rFonts w:asciiTheme="majorBidi" w:eastAsia="游ゴシック" w:hAnsiTheme="majorBidi" w:cstheme="majorBidi"/>
                <w:color w:val="000000"/>
                <w:szCs w:val="24"/>
              </w:rPr>
              <w:t>50</w:t>
            </w:r>
          </w:p>
        </w:tc>
      </w:tr>
    </w:tbl>
    <w:p w14:paraId="2DF84B41" w14:textId="77777777" w:rsidR="00A83587" w:rsidRPr="00241D72" w:rsidRDefault="00A83587" w:rsidP="00A83587">
      <w:pPr>
        <w:rPr>
          <w:rFonts w:asciiTheme="majorBidi" w:hAnsiTheme="majorBidi" w:cstheme="majorBidi"/>
          <w:b/>
          <w:sz w:val="22"/>
        </w:rPr>
      </w:pPr>
      <w:r w:rsidRPr="00241D72">
        <w:rPr>
          <w:rFonts w:asciiTheme="majorBidi" w:hAnsiTheme="majorBidi" w:cstheme="majorBidi"/>
          <w:b/>
          <w:sz w:val="22"/>
        </w:rPr>
        <w:br w:type="page"/>
      </w:r>
    </w:p>
    <w:p w14:paraId="296BD5A1" w14:textId="15CB08CA" w:rsidR="00A83587" w:rsidRPr="00241D72" w:rsidRDefault="00A83587" w:rsidP="00A83587">
      <w:r w:rsidRPr="00241D72">
        <w:rPr>
          <w:b/>
          <w:bCs/>
        </w:rPr>
        <w:lastRenderedPageBreak/>
        <w:t>Supplementary Table 3</w:t>
      </w:r>
      <w:r w:rsidRPr="00241D72">
        <w:t>. Frequency of earthquake-related dizziness according to</w:t>
      </w:r>
      <w:bookmarkStart w:id="0" w:name="_Hlk45127871"/>
      <w:r w:rsidRPr="00241D72">
        <w:t xml:space="preserve"> </w:t>
      </w:r>
      <w:r w:rsidR="00357619" w:rsidRPr="00241D72">
        <w:t xml:space="preserve">the </w:t>
      </w:r>
      <w:r w:rsidRPr="00241D72">
        <w:t xml:space="preserve">symptoms </w:t>
      </w:r>
      <w:bookmarkEnd w:id="0"/>
      <w:r w:rsidRPr="00241D72">
        <w:t>at different time</w:t>
      </w:r>
      <w:r w:rsidR="00357619" w:rsidRPr="00241D72">
        <w:t>-</w:t>
      </w:r>
      <w:r w:rsidRPr="00241D72">
        <w:t>points relative to the time of the earthquake in weeks (w)</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85"/>
        <w:gridCol w:w="3597"/>
        <w:gridCol w:w="3657"/>
        <w:gridCol w:w="2012"/>
        <w:gridCol w:w="2191"/>
      </w:tblGrid>
      <w:tr w:rsidR="00A83587" w:rsidRPr="00241D72" w14:paraId="6820DF1E" w14:textId="77777777" w:rsidTr="00283481">
        <w:trPr>
          <w:trHeight w:val="646"/>
        </w:trPr>
        <w:tc>
          <w:tcPr>
            <w:tcW w:w="901" w:type="pct"/>
            <w:tcBorders>
              <w:bottom w:val="single" w:sz="12" w:space="0" w:color="666666"/>
            </w:tcBorders>
            <w:shd w:val="clear" w:color="auto" w:fill="auto"/>
            <w:noWrap/>
            <w:hideMark/>
          </w:tcPr>
          <w:p w14:paraId="28EF533D" w14:textId="77777777" w:rsidR="00A83587" w:rsidRPr="00241D72" w:rsidRDefault="00A83587" w:rsidP="00283481">
            <w:pPr>
              <w:autoSpaceDE w:val="0"/>
              <w:autoSpaceDN w:val="0"/>
              <w:adjustRightInd w:val="0"/>
              <w:rPr>
                <w:rFonts w:asciiTheme="majorBidi" w:eastAsia="游明朝" w:hAnsiTheme="majorBidi" w:cstheme="majorBidi"/>
                <w:b/>
                <w:bCs/>
                <w:sz w:val="22"/>
              </w:rPr>
            </w:pPr>
          </w:p>
        </w:tc>
        <w:tc>
          <w:tcPr>
            <w:tcW w:w="1025" w:type="pct"/>
            <w:tcBorders>
              <w:bottom w:val="single" w:sz="12" w:space="0" w:color="666666"/>
            </w:tcBorders>
            <w:shd w:val="clear" w:color="auto" w:fill="auto"/>
            <w:noWrap/>
            <w:hideMark/>
          </w:tcPr>
          <w:p w14:paraId="00590529" w14:textId="6DF93E89" w:rsidR="00A83587" w:rsidRPr="00241D72" w:rsidRDefault="00A83587" w:rsidP="00283481">
            <w:pPr>
              <w:autoSpaceDE w:val="0"/>
              <w:autoSpaceDN w:val="0"/>
              <w:adjustRightInd w:val="0"/>
              <w:jc w:val="center"/>
              <w:rPr>
                <w:rFonts w:asciiTheme="majorBidi" w:eastAsia="游明朝" w:hAnsiTheme="majorBidi" w:cstheme="majorBidi"/>
                <w:b/>
                <w:bCs/>
                <w:sz w:val="22"/>
              </w:rPr>
            </w:pPr>
            <w:r w:rsidRPr="00241D72">
              <w:rPr>
                <w:rFonts w:asciiTheme="majorBidi" w:eastAsia="游明朝" w:hAnsiTheme="majorBidi" w:cstheme="majorBidi"/>
                <w:b/>
                <w:bCs/>
                <w:sz w:val="22"/>
              </w:rPr>
              <w:t xml:space="preserve">The </w:t>
            </w:r>
            <w:r w:rsidR="003A5018" w:rsidRPr="00241D72">
              <w:rPr>
                <w:rFonts w:asciiTheme="majorBidi" w:eastAsia="游明朝" w:hAnsiTheme="majorBidi" w:cstheme="majorBidi"/>
                <w:b/>
                <w:bCs/>
                <w:sz w:val="22"/>
              </w:rPr>
              <w:t xml:space="preserve">sensation </w:t>
            </w:r>
            <w:r w:rsidRPr="00241D72">
              <w:rPr>
                <w:rFonts w:asciiTheme="majorBidi" w:eastAsia="游明朝" w:hAnsiTheme="majorBidi" w:cstheme="majorBidi"/>
                <w:b/>
                <w:bCs/>
                <w:sz w:val="22"/>
              </w:rPr>
              <w:t>of ground shaking</w:t>
            </w:r>
            <w:r w:rsidR="00A16986" w:rsidRPr="00241D72">
              <w:rPr>
                <w:rFonts w:asciiTheme="majorBidi" w:eastAsia="游明朝" w:hAnsiTheme="majorBidi" w:cstheme="majorBidi"/>
                <w:b/>
                <w:bCs/>
                <w:sz w:val="22"/>
              </w:rPr>
              <w:t xml:space="preserve"> (n)</w:t>
            </w:r>
          </w:p>
        </w:tc>
        <w:tc>
          <w:tcPr>
            <w:tcW w:w="1025" w:type="pct"/>
            <w:tcBorders>
              <w:bottom w:val="single" w:sz="12" w:space="0" w:color="666666"/>
            </w:tcBorders>
            <w:shd w:val="clear" w:color="auto" w:fill="auto"/>
            <w:noWrap/>
            <w:hideMark/>
          </w:tcPr>
          <w:p w14:paraId="722799A2" w14:textId="0947503B" w:rsidR="00A83587" w:rsidRPr="00241D72" w:rsidRDefault="00A83587" w:rsidP="00283481">
            <w:pPr>
              <w:autoSpaceDE w:val="0"/>
              <w:autoSpaceDN w:val="0"/>
              <w:adjustRightInd w:val="0"/>
              <w:jc w:val="center"/>
              <w:rPr>
                <w:rFonts w:asciiTheme="majorBidi" w:eastAsia="游明朝" w:hAnsiTheme="majorBidi" w:cstheme="majorBidi"/>
                <w:b/>
                <w:bCs/>
                <w:sz w:val="22"/>
              </w:rPr>
            </w:pPr>
            <w:r w:rsidRPr="00241D72">
              <w:rPr>
                <w:rFonts w:asciiTheme="majorBidi" w:eastAsia="游明朝" w:hAnsiTheme="majorBidi" w:cstheme="majorBidi"/>
                <w:b/>
                <w:bCs/>
                <w:sz w:val="22"/>
              </w:rPr>
              <w:t xml:space="preserve">The </w:t>
            </w:r>
            <w:r w:rsidR="003A5018" w:rsidRPr="00241D72">
              <w:rPr>
                <w:rFonts w:asciiTheme="majorBidi" w:eastAsia="游明朝" w:hAnsiTheme="majorBidi" w:cstheme="majorBidi"/>
                <w:b/>
                <w:bCs/>
                <w:sz w:val="22"/>
              </w:rPr>
              <w:t>sensation</w:t>
            </w:r>
            <w:r w:rsidRPr="00241D72">
              <w:rPr>
                <w:rFonts w:asciiTheme="majorBidi" w:eastAsia="游明朝" w:hAnsiTheme="majorBidi" w:cstheme="majorBidi"/>
                <w:b/>
                <w:bCs/>
                <w:sz w:val="22"/>
              </w:rPr>
              <w:t xml:space="preserve"> of lateral vibration </w:t>
            </w:r>
            <w:r w:rsidR="00A16986" w:rsidRPr="00241D72">
              <w:rPr>
                <w:rFonts w:asciiTheme="majorBidi" w:eastAsia="游明朝" w:hAnsiTheme="majorBidi" w:cstheme="majorBidi"/>
                <w:b/>
                <w:bCs/>
                <w:sz w:val="22"/>
              </w:rPr>
              <w:t>(n)</w:t>
            </w:r>
          </w:p>
        </w:tc>
        <w:tc>
          <w:tcPr>
            <w:tcW w:w="1025" w:type="pct"/>
            <w:tcBorders>
              <w:bottom w:val="single" w:sz="12" w:space="0" w:color="666666"/>
            </w:tcBorders>
            <w:shd w:val="clear" w:color="auto" w:fill="auto"/>
            <w:noWrap/>
            <w:hideMark/>
          </w:tcPr>
          <w:p w14:paraId="743DCE57" w14:textId="44C60038" w:rsidR="00A83587" w:rsidRPr="00241D72" w:rsidRDefault="00A83587" w:rsidP="00283481">
            <w:pPr>
              <w:autoSpaceDE w:val="0"/>
              <w:autoSpaceDN w:val="0"/>
              <w:adjustRightInd w:val="0"/>
              <w:jc w:val="center"/>
              <w:rPr>
                <w:rFonts w:asciiTheme="majorBidi" w:eastAsia="游明朝" w:hAnsiTheme="majorBidi" w:cstheme="majorBidi"/>
                <w:b/>
                <w:bCs/>
                <w:sz w:val="22"/>
              </w:rPr>
            </w:pPr>
            <w:r w:rsidRPr="00241D72">
              <w:rPr>
                <w:rFonts w:asciiTheme="majorBidi" w:eastAsia="游明朝" w:hAnsiTheme="majorBidi" w:cstheme="majorBidi"/>
                <w:b/>
                <w:bCs/>
                <w:sz w:val="22"/>
              </w:rPr>
              <w:t>Vertigo</w:t>
            </w:r>
            <w:r w:rsidR="00A16986" w:rsidRPr="00241D72">
              <w:rPr>
                <w:rFonts w:asciiTheme="majorBidi" w:eastAsia="游明朝" w:hAnsiTheme="majorBidi" w:cstheme="majorBidi"/>
                <w:b/>
                <w:bCs/>
                <w:sz w:val="22"/>
              </w:rPr>
              <w:t xml:space="preserve"> (n)</w:t>
            </w:r>
          </w:p>
        </w:tc>
        <w:tc>
          <w:tcPr>
            <w:tcW w:w="1025" w:type="pct"/>
            <w:tcBorders>
              <w:bottom w:val="single" w:sz="12" w:space="0" w:color="666666"/>
            </w:tcBorders>
            <w:shd w:val="clear" w:color="auto" w:fill="auto"/>
            <w:noWrap/>
            <w:hideMark/>
          </w:tcPr>
          <w:p w14:paraId="0221DCD1" w14:textId="48107041" w:rsidR="00A83587" w:rsidRPr="00241D72" w:rsidRDefault="00A83587" w:rsidP="00283481">
            <w:pPr>
              <w:autoSpaceDE w:val="0"/>
              <w:autoSpaceDN w:val="0"/>
              <w:adjustRightInd w:val="0"/>
              <w:jc w:val="center"/>
              <w:rPr>
                <w:rFonts w:asciiTheme="majorBidi" w:eastAsia="游明朝" w:hAnsiTheme="majorBidi" w:cstheme="majorBidi"/>
                <w:b/>
                <w:bCs/>
                <w:sz w:val="22"/>
              </w:rPr>
            </w:pPr>
            <w:r w:rsidRPr="00241D72">
              <w:rPr>
                <w:rFonts w:asciiTheme="majorBidi" w:eastAsia="游明朝" w:hAnsiTheme="majorBidi" w:cstheme="majorBidi"/>
                <w:b/>
                <w:bCs/>
                <w:sz w:val="22"/>
              </w:rPr>
              <w:t>Light-headedness</w:t>
            </w:r>
            <w:r w:rsidR="00A16986" w:rsidRPr="00241D72">
              <w:rPr>
                <w:rFonts w:asciiTheme="majorBidi" w:eastAsia="游明朝" w:hAnsiTheme="majorBidi" w:cstheme="majorBidi"/>
                <w:b/>
                <w:bCs/>
                <w:sz w:val="22"/>
              </w:rPr>
              <w:t xml:space="preserve"> (n)</w:t>
            </w:r>
          </w:p>
        </w:tc>
      </w:tr>
      <w:tr w:rsidR="00A83587" w:rsidRPr="00241D72" w14:paraId="2B12D5CA" w14:textId="77777777" w:rsidTr="00283481">
        <w:trPr>
          <w:trHeight w:val="360"/>
        </w:trPr>
        <w:tc>
          <w:tcPr>
            <w:tcW w:w="901" w:type="pct"/>
            <w:shd w:val="clear" w:color="auto" w:fill="auto"/>
            <w:noWrap/>
            <w:hideMark/>
          </w:tcPr>
          <w:p w14:paraId="501C6DA6" w14:textId="77777777" w:rsidR="00A83587" w:rsidRPr="00241D72" w:rsidRDefault="00A83587" w:rsidP="00283481">
            <w:pPr>
              <w:autoSpaceDE w:val="0"/>
              <w:autoSpaceDN w:val="0"/>
              <w:adjustRightInd w:val="0"/>
              <w:rPr>
                <w:rFonts w:asciiTheme="majorBidi" w:eastAsia="游明朝" w:hAnsiTheme="majorBidi" w:cstheme="majorBidi"/>
                <w:b/>
                <w:bCs/>
                <w:sz w:val="22"/>
              </w:rPr>
            </w:pPr>
            <w:r w:rsidRPr="00241D72">
              <w:rPr>
                <w:rFonts w:asciiTheme="majorBidi" w:eastAsia="游明朝" w:hAnsiTheme="majorBidi" w:cstheme="majorBidi"/>
                <w:b/>
                <w:bCs/>
                <w:sz w:val="22"/>
              </w:rPr>
              <w:t>2 w prior</w:t>
            </w:r>
          </w:p>
        </w:tc>
        <w:tc>
          <w:tcPr>
            <w:tcW w:w="1025" w:type="pct"/>
            <w:shd w:val="clear" w:color="auto" w:fill="auto"/>
            <w:noWrap/>
            <w:hideMark/>
          </w:tcPr>
          <w:p w14:paraId="6DA74B6C"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2</w:t>
            </w:r>
          </w:p>
        </w:tc>
        <w:tc>
          <w:tcPr>
            <w:tcW w:w="1025" w:type="pct"/>
            <w:shd w:val="clear" w:color="auto" w:fill="auto"/>
            <w:noWrap/>
            <w:hideMark/>
          </w:tcPr>
          <w:p w14:paraId="4605716F"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14</w:t>
            </w:r>
          </w:p>
        </w:tc>
        <w:tc>
          <w:tcPr>
            <w:tcW w:w="1025" w:type="pct"/>
            <w:shd w:val="clear" w:color="auto" w:fill="auto"/>
            <w:noWrap/>
            <w:hideMark/>
          </w:tcPr>
          <w:p w14:paraId="59DD8B43"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17</w:t>
            </w:r>
          </w:p>
        </w:tc>
        <w:tc>
          <w:tcPr>
            <w:tcW w:w="1025" w:type="pct"/>
            <w:shd w:val="clear" w:color="auto" w:fill="auto"/>
            <w:noWrap/>
            <w:hideMark/>
          </w:tcPr>
          <w:p w14:paraId="23345E50"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2</w:t>
            </w:r>
          </w:p>
        </w:tc>
      </w:tr>
      <w:tr w:rsidR="00A83587" w:rsidRPr="00241D72" w14:paraId="4DDC9A2D" w14:textId="77777777" w:rsidTr="00283481">
        <w:trPr>
          <w:trHeight w:val="360"/>
        </w:trPr>
        <w:tc>
          <w:tcPr>
            <w:tcW w:w="901" w:type="pct"/>
            <w:shd w:val="clear" w:color="auto" w:fill="auto"/>
            <w:noWrap/>
            <w:hideMark/>
          </w:tcPr>
          <w:p w14:paraId="0CA07F1A" w14:textId="77777777" w:rsidR="00A83587" w:rsidRPr="00241D72" w:rsidRDefault="00A83587" w:rsidP="00283481">
            <w:pPr>
              <w:autoSpaceDE w:val="0"/>
              <w:autoSpaceDN w:val="0"/>
              <w:adjustRightInd w:val="0"/>
              <w:rPr>
                <w:rFonts w:asciiTheme="majorBidi" w:eastAsia="游明朝" w:hAnsiTheme="majorBidi" w:cstheme="majorBidi"/>
                <w:b/>
                <w:bCs/>
                <w:sz w:val="22"/>
              </w:rPr>
            </w:pPr>
            <w:r w:rsidRPr="00241D72">
              <w:rPr>
                <w:rFonts w:asciiTheme="majorBidi" w:eastAsia="游明朝" w:hAnsiTheme="majorBidi" w:cstheme="majorBidi"/>
                <w:b/>
                <w:bCs/>
                <w:sz w:val="22"/>
              </w:rPr>
              <w:t>After 2 w</w:t>
            </w:r>
          </w:p>
        </w:tc>
        <w:tc>
          <w:tcPr>
            <w:tcW w:w="1025" w:type="pct"/>
            <w:shd w:val="clear" w:color="auto" w:fill="auto"/>
            <w:noWrap/>
            <w:hideMark/>
          </w:tcPr>
          <w:p w14:paraId="0438BE53"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6</w:t>
            </w:r>
          </w:p>
        </w:tc>
        <w:tc>
          <w:tcPr>
            <w:tcW w:w="1025" w:type="pct"/>
            <w:shd w:val="clear" w:color="auto" w:fill="auto"/>
            <w:noWrap/>
            <w:hideMark/>
          </w:tcPr>
          <w:p w14:paraId="0FEA1A45"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37</w:t>
            </w:r>
          </w:p>
        </w:tc>
        <w:tc>
          <w:tcPr>
            <w:tcW w:w="1025" w:type="pct"/>
            <w:shd w:val="clear" w:color="auto" w:fill="auto"/>
            <w:noWrap/>
            <w:hideMark/>
          </w:tcPr>
          <w:p w14:paraId="22FE91AD"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40</w:t>
            </w:r>
          </w:p>
        </w:tc>
        <w:tc>
          <w:tcPr>
            <w:tcW w:w="1025" w:type="pct"/>
            <w:shd w:val="clear" w:color="auto" w:fill="auto"/>
            <w:noWrap/>
            <w:hideMark/>
          </w:tcPr>
          <w:p w14:paraId="1B274DB3"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2</w:t>
            </w:r>
          </w:p>
        </w:tc>
      </w:tr>
      <w:tr w:rsidR="00A83587" w:rsidRPr="00241D72" w14:paraId="20D482D5" w14:textId="77777777" w:rsidTr="00283481">
        <w:trPr>
          <w:trHeight w:val="360"/>
        </w:trPr>
        <w:tc>
          <w:tcPr>
            <w:tcW w:w="901" w:type="pct"/>
            <w:shd w:val="clear" w:color="auto" w:fill="auto"/>
            <w:noWrap/>
            <w:hideMark/>
          </w:tcPr>
          <w:p w14:paraId="23139B7F" w14:textId="1E19663A" w:rsidR="00A83587" w:rsidRPr="00241D72" w:rsidRDefault="00A83587" w:rsidP="00283481">
            <w:pPr>
              <w:autoSpaceDE w:val="0"/>
              <w:autoSpaceDN w:val="0"/>
              <w:adjustRightInd w:val="0"/>
              <w:rPr>
                <w:rFonts w:asciiTheme="majorBidi" w:eastAsia="游明朝" w:hAnsiTheme="majorBidi" w:cstheme="majorBidi"/>
                <w:b/>
                <w:bCs/>
                <w:sz w:val="22"/>
              </w:rPr>
            </w:pPr>
            <w:r w:rsidRPr="00241D72">
              <w:rPr>
                <w:rFonts w:asciiTheme="majorBidi" w:eastAsia="游明朝" w:hAnsiTheme="majorBidi" w:cstheme="majorBidi"/>
                <w:b/>
                <w:bCs/>
                <w:sz w:val="22"/>
              </w:rPr>
              <w:t>After 2</w:t>
            </w:r>
            <w:r w:rsidR="009F5802" w:rsidRPr="00241D72">
              <w:rPr>
                <w:rFonts w:asciiTheme="majorBidi" w:eastAsia="游明朝" w:hAnsiTheme="majorBidi" w:cstheme="majorBidi"/>
                <w:b/>
                <w:bCs/>
                <w:sz w:val="22"/>
              </w:rPr>
              <w:t>–</w:t>
            </w:r>
            <w:r w:rsidRPr="00241D72">
              <w:rPr>
                <w:rFonts w:asciiTheme="majorBidi" w:eastAsia="游明朝" w:hAnsiTheme="majorBidi" w:cstheme="majorBidi"/>
                <w:b/>
                <w:bCs/>
                <w:sz w:val="22"/>
              </w:rPr>
              <w:t>4 w</w:t>
            </w:r>
          </w:p>
        </w:tc>
        <w:tc>
          <w:tcPr>
            <w:tcW w:w="1025" w:type="pct"/>
            <w:shd w:val="clear" w:color="auto" w:fill="auto"/>
            <w:noWrap/>
            <w:hideMark/>
          </w:tcPr>
          <w:p w14:paraId="4241273C"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14</w:t>
            </w:r>
          </w:p>
        </w:tc>
        <w:tc>
          <w:tcPr>
            <w:tcW w:w="1025" w:type="pct"/>
            <w:shd w:val="clear" w:color="auto" w:fill="auto"/>
            <w:noWrap/>
            <w:hideMark/>
          </w:tcPr>
          <w:p w14:paraId="588B094E"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40</w:t>
            </w:r>
          </w:p>
        </w:tc>
        <w:tc>
          <w:tcPr>
            <w:tcW w:w="1025" w:type="pct"/>
            <w:shd w:val="clear" w:color="auto" w:fill="auto"/>
            <w:noWrap/>
            <w:hideMark/>
          </w:tcPr>
          <w:p w14:paraId="68F0CD60"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44</w:t>
            </w:r>
          </w:p>
        </w:tc>
        <w:tc>
          <w:tcPr>
            <w:tcW w:w="1025" w:type="pct"/>
            <w:shd w:val="clear" w:color="auto" w:fill="auto"/>
            <w:noWrap/>
            <w:hideMark/>
          </w:tcPr>
          <w:p w14:paraId="7903C61F"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3</w:t>
            </w:r>
          </w:p>
        </w:tc>
      </w:tr>
      <w:tr w:rsidR="00A83587" w:rsidRPr="00241D72" w14:paraId="15A0BF7D" w14:textId="77777777" w:rsidTr="00283481">
        <w:trPr>
          <w:trHeight w:val="360"/>
        </w:trPr>
        <w:tc>
          <w:tcPr>
            <w:tcW w:w="901" w:type="pct"/>
            <w:shd w:val="clear" w:color="auto" w:fill="auto"/>
            <w:noWrap/>
            <w:hideMark/>
          </w:tcPr>
          <w:p w14:paraId="13ABEAB1" w14:textId="4F7370E6" w:rsidR="00A83587" w:rsidRPr="00241D72" w:rsidRDefault="00A83587" w:rsidP="00283481">
            <w:pPr>
              <w:autoSpaceDE w:val="0"/>
              <w:autoSpaceDN w:val="0"/>
              <w:adjustRightInd w:val="0"/>
              <w:rPr>
                <w:rFonts w:asciiTheme="majorBidi" w:eastAsia="游明朝" w:hAnsiTheme="majorBidi" w:cstheme="majorBidi"/>
                <w:b/>
                <w:bCs/>
                <w:sz w:val="22"/>
              </w:rPr>
            </w:pPr>
            <w:r w:rsidRPr="00241D72">
              <w:rPr>
                <w:rFonts w:asciiTheme="majorBidi" w:eastAsia="游明朝" w:hAnsiTheme="majorBidi" w:cstheme="majorBidi"/>
                <w:b/>
                <w:bCs/>
                <w:sz w:val="22"/>
              </w:rPr>
              <w:t>After 4</w:t>
            </w:r>
            <w:r w:rsidR="009F5802" w:rsidRPr="00241D72">
              <w:rPr>
                <w:rFonts w:asciiTheme="majorBidi" w:eastAsia="游明朝" w:hAnsiTheme="majorBidi" w:cstheme="majorBidi"/>
                <w:b/>
                <w:bCs/>
                <w:sz w:val="22"/>
              </w:rPr>
              <w:t>–</w:t>
            </w:r>
            <w:r w:rsidRPr="00241D72">
              <w:rPr>
                <w:rFonts w:asciiTheme="majorBidi" w:eastAsia="游明朝" w:hAnsiTheme="majorBidi" w:cstheme="majorBidi"/>
                <w:b/>
                <w:bCs/>
                <w:sz w:val="22"/>
              </w:rPr>
              <w:t>6 w</w:t>
            </w:r>
          </w:p>
        </w:tc>
        <w:tc>
          <w:tcPr>
            <w:tcW w:w="1025" w:type="pct"/>
            <w:shd w:val="clear" w:color="auto" w:fill="auto"/>
            <w:noWrap/>
            <w:hideMark/>
          </w:tcPr>
          <w:p w14:paraId="45573C73"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4</w:t>
            </w:r>
          </w:p>
        </w:tc>
        <w:tc>
          <w:tcPr>
            <w:tcW w:w="1025" w:type="pct"/>
            <w:shd w:val="clear" w:color="auto" w:fill="auto"/>
            <w:noWrap/>
            <w:hideMark/>
          </w:tcPr>
          <w:p w14:paraId="3EB6F1CD"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26</w:t>
            </w:r>
          </w:p>
        </w:tc>
        <w:tc>
          <w:tcPr>
            <w:tcW w:w="1025" w:type="pct"/>
            <w:shd w:val="clear" w:color="auto" w:fill="auto"/>
            <w:noWrap/>
            <w:hideMark/>
          </w:tcPr>
          <w:p w14:paraId="0B672024"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40</w:t>
            </w:r>
          </w:p>
        </w:tc>
        <w:tc>
          <w:tcPr>
            <w:tcW w:w="1025" w:type="pct"/>
            <w:shd w:val="clear" w:color="auto" w:fill="auto"/>
            <w:noWrap/>
            <w:hideMark/>
          </w:tcPr>
          <w:p w14:paraId="0E48B051"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7</w:t>
            </w:r>
          </w:p>
        </w:tc>
      </w:tr>
      <w:tr w:rsidR="00A83587" w:rsidRPr="00241D72" w14:paraId="3B1ED583" w14:textId="77777777" w:rsidTr="00283481">
        <w:trPr>
          <w:trHeight w:val="360"/>
        </w:trPr>
        <w:tc>
          <w:tcPr>
            <w:tcW w:w="901" w:type="pct"/>
            <w:shd w:val="clear" w:color="auto" w:fill="auto"/>
            <w:noWrap/>
            <w:hideMark/>
          </w:tcPr>
          <w:p w14:paraId="52DECA64" w14:textId="1ABEF961" w:rsidR="00A83587" w:rsidRPr="00241D72" w:rsidRDefault="00A83587" w:rsidP="00283481">
            <w:pPr>
              <w:autoSpaceDE w:val="0"/>
              <w:autoSpaceDN w:val="0"/>
              <w:adjustRightInd w:val="0"/>
              <w:rPr>
                <w:rFonts w:asciiTheme="majorBidi" w:eastAsia="游明朝" w:hAnsiTheme="majorBidi" w:cstheme="majorBidi"/>
                <w:b/>
                <w:bCs/>
                <w:sz w:val="22"/>
              </w:rPr>
            </w:pPr>
            <w:r w:rsidRPr="00241D72">
              <w:rPr>
                <w:rFonts w:asciiTheme="majorBidi" w:eastAsia="游明朝" w:hAnsiTheme="majorBidi" w:cstheme="majorBidi"/>
                <w:b/>
                <w:bCs/>
                <w:sz w:val="22"/>
              </w:rPr>
              <w:t>After 6</w:t>
            </w:r>
            <w:r w:rsidR="009F5802" w:rsidRPr="00241D72">
              <w:rPr>
                <w:rFonts w:asciiTheme="majorBidi" w:eastAsia="游明朝" w:hAnsiTheme="majorBidi" w:cstheme="majorBidi"/>
                <w:b/>
                <w:bCs/>
                <w:sz w:val="22"/>
              </w:rPr>
              <w:t>–</w:t>
            </w:r>
            <w:r w:rsidRPr="00241D72">
              <w:rPr>
                <w:rFonts w:asciiTheme="majorBidi" w:eastAsia="游明朝" w:hAnsiTheme="majorBidi" w:cstheme="majorBidi"/>
                <w:b/>
                <w:bCs/>
                <w:sz w:val="22"/>
              </w:rPr>
              <w:t>8 w</w:t>
            </w:r>
          </w:p>
        </w:tc>
        <w:tc>
          <w:tcPr>
            <w:tcW w:w="1025" w:type="pct"/>
            <w:shd w:val="clear" w:color="auto" w:fill="auto"/>
            <w:noWrap/>
            <w:hideMark/>
          </w:tcPr>
          <w:p w14:paraId="48075012"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4</w:t>
            </w:r>
          </w:p>
        </w:tc>
        <w:tc>
          <w:tcPr>
            <w:tcW w:w="1025" w:type="pct"/>
            <w:shd w:val="clear" w:color="auto" w:fill="auto"/>
            <w:noWrap/>
            <w:hideMark/>
          </w:tcPr>
          <w:p w14:paraId="5B979209"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18</w:t>
            </w:r>
          </w:p>
        </w:tc>
        <w:tc>
          <w:tcPr>
            <w:tcW w:w="1025" w:type="pct"/>
            <w:shd w:val="clear" w:color="auto" w:fill="auto"/>
            <w:noWrap/>
            <w:hideMark/>
          </w:tcPr>
          <w:p w14:paraId="60CA58C1"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37</w:t>
            </w:r>
          </w:p>
        </w:tc>
        <w:tc>
          <w:tcPr>
            <w:tcW w:w="1025" w:type="pct"/>
            <w:shd w:val="clear" w:color="auto" w:fill="auto"/>
            <w:noWrap/>
            <w:hideMark/>
          </w:tcPr>
          <w:p w14:paraId="4DBBDD1F"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1</w:t>
            </w:r>
          </w:p>
        </w:tc>
      </w:tr>
      <w:tr w:rsidR="00A83587" w:rsidRPr="00241D72" w14:paraId="3173CE2D" w14:textId="77777777" w:rsidTr="00283481">
        <w:trPr>
          <w:trHeight w:val="360"/>
        </w:trPr>
        <w:tc>
          <w:tcPr>
            <w:tcW w:w="901" w:type="pct"/>
            <w:shd w:val="clear" w:color="auto" w:fill="auto"/>
            <w:noWrap/>
            <w:hideMark/>
          </w:tcPr>
          <w:p w14:paraId="28F1E7F8" w14:textId="2B71BF34" w:rsidR="00A83587" w:rsidRPr="00241D72" w:rsidRDefault="00A83587" w:rsidP="00283481">
            <w:pPr>
              <w:autoSpaceDE w:val="0"/>
              <w:autoSpaceDN w:val="0"/>
              <w:adjustRightInd w:val="0"/>
              <w:rPr>
                <w:rFonts w:asciiTheme="majorBidi" w:eastAsia="游明朝" w:hAnsiTheme="majorBidi" w:cstheme="majorBidi"/>
                <w:b/>
                <w:bCs/>
                <w:sz w:val="22"/>
              </w:rPr>
            </w:pPr>
            <w:r w:rsidRPr="00241D72">
              <w:rPr>
                <w:rFonts w:asciiTheme="majorBidi" w:eastAsia="游明朝" w:hAnsiTheme="majorBidi" w:cstheme="majorBidi"/>
                <w:b/>
                <w:bCs/>
                <w:sz w:val="22"/>
              </w:rPr>
              <w:t>After 8</w:t>
            </w:r>
            <w:r w:rsidR="009F5802" w:rsidRPr="00241D72">
              <w:rPr>
                <w:rFonts w:asciiTheme="majorBidi" w:eastAsia="游明朝" w:hAnsiTheme="majorBidi" w:cstheme="majorBidi"/>
                <w:b/>
                <w:bCs/>
                <w:sz w:val="22"/>
              </w:rPr>
              <w:t>–</w:t>
            </w:r>
            <w:r w:rsidRPr="00241D72">
              <w:rPr>
                <w:rFonts w:asciiTheme="majorBidi" w:eastAsia="游明朝" w:hAnsiTheme="majorBidi" w:cstheme="majorBidi"/>
                <w:b/>
                <w:bCs/>
                <w:sz w:val="22"/>
              </w:rPr>
              <w:t>10 w</w:t>
            </w:r>
          </w:p>
        </w:tc>
        <w:tc>
          <w:tcPr>
            <w:tcW w:w="1025" w:type="pct"/>
            <w:shd w:val="clear" w:color="auto" w:fill="auto"/>
            <w:noWrap/>
            <w:hideMark/>
          </w:tcPr>
          <w:p w14:paraId="635CE5B7"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4</w:t>
            </w:r>
          </w:p>
        </w:tc>
        <w:tc>
          <w:tcPr>
            <w:tcW w:w="1025" w:type="pct"/>
            <w:shd w:val="clear" w:color="auto" w:fill="auto"/>
            <w:noWrap/>
            <w:hideMark/>
          </w:tcPr>
          <w:p w14:paraId="7DE58866"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31</w:t>
            </w:r>
          </w:p>
        </w:tc>
        <w:tc>
          <w:tcPr>
            <w:tcW w:w="1025" w:type="pct"/>
            <w:shd w:val="clear" w:color="auto" w:fill="auto"/>
            <w:noWrap/>
            <w:hideMark/>
          </w:tcPr>
          <w:p w14:paraId="69AEB8F9"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38</w:t>
            </w:r>
          </w:p>
        </w:tc>
        <w:tc>
          <w:tcPr>
            <w:tcW w:w="1025" w:type="pct"/>
            <w:shd w:val="clear" w:color="auto" w:fill="auto"/>
            <w:noWrap/>
            <w:hideMark/>
          </w:tcPr>
          <w:p w14:paraId="6EFB157A"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3</w:t>
            </w:r>
          </w:p>
        </w:tc>
      </w:tr>
      <w:tr w:rsidR="00A83587" w:rsidRPr="00241D72" w14:paraId="5CB643C4" w14:textId="77777777" w:rsidTr="00283481">
        <w:trPr>
          <w:trHeight w:val="360"/>
        </w:trPr>
        <w:tc>
          <w:tcPr>
            <w:tcW w:w="901" w:type="pct"/>
            <w:shd w:val="clear" w:color="auto" w:fill="auto"/>
            <w:noWrap/>
            <w:hideMark/>
          </w:tcPr>
          <w:p w14:paraId="42B95AB5" w14:textId="45C0F3E0" w:rsidR="00A83587" w:rsidRPr="00241D72" w:rsidRDefault="00A83587" w:rsidP="00283481">
            <w:pPr>
              <w:autoSpaceDE w:val="0"/>
              <w:autoSpaceDN w:val="0"/>
              <w:adjustRightInd w:val="0"/>
              <w:rPr>
                <w:rFonts w:asciiTheme="majorBidi" w:eastAsia="游明朝" w:hAnsiTheme="majorBidi" w:cstheme="majorBidi"/>
                <w:b/>
                <w:bCs/>
                <w:sz w:val="22"/>
              </w:rPr>
            </w:pPr>
            <w:r w:rsidRPr="00241D72">
              <w:rPr>
                <w:rFonts w:asciiTheme="majorBidi" w:eastAsia="游明朝" w:hAnsiTheme="majorBidi" w:cstheme="majorBidi"/>
                <w:b/>
                <w:bCs/>
                <w:sz w:val="22"/>
              </w:rPr>
              <w:t>After 10</w:t>
            </w:r>
            <w:r w:rsidR="009F5802" w:rsidRPr="00241D72">
              <w:rPr>
                <w:rFonts w:asciiTheme="majorBidi" w:eastAsia="游明朝" w:hAnsiTheme="majorBidi" w:cstheme="majorBidi"/>
                <w:b/>
                <w:bCs/>
                <w:sz w:val="22"/>
              </w:rPr>
              <w:t>–</w:t>
            </w:r>
            <w:r w:rsidRPr="00241D72">
              <w:rPr>
                <w:rFonts w:asciiTheme="majorBidi" w:eastAsia="游明朝" w:hAnsiTheme="majorBidi" w:cstheme="majorBidi"/>
                <w:b/>
                <w:bCs/>
                <w:sz w:val="22"/>
              </w:rPr>
              <w:t>12 w</w:t>
            </w:r>
          </w:p>
        </w:tc>
        <w:tc>
          <w:tcPr>
            <w:tcW w:w="1025" w:type="pct"/>
            <w:shd w:val="clear" w:color="auto" w:fill="auto"/>
            <w:noWrap/>
            <w:hideMark/>
          </w:tcPr>
          <w:p w14:paraId="5BD99ABC"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5</w:t>
            </w:r>
          </w:p>
        </w:tc>
        <w:tc>
          <w:tcPr>
            <w:tcW w:w="1025" w:type="pct"/>
            <w:shd w:val="clear" w:color="auto" w:fill="auto"/>
            <w:noWrap/>
            <w:hideMark/>
          </w:tcPr>
          <w:p w14:paraId="4611F4FD"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19</w:t>
            </w:r>
          </w:p>
        </w:tc>
        <w:tc>
          <w:tcPr>
            <w:tcW w:w="1025" w:type="pct"/>
            <w:shd w:val="clear" w:color="auto" w:fill="auto"/>
            <w:noWrap/>
            <w:hideMark/>
          </w:tcPr>
          <w:p w14:paraId="39F06DD2"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33</w:t>
            </w:r>
          </w:p>
        </w:tc>
        <w:tc>
          <w:tcPr>
            <w:tcW w:w="1025" w:type="pct"/>
            <w:shd w:val="clear" w:color="auto" w:fill="auto"/>
            <w:noWrap/>
            <w:hideMark/>
          </w:tcPr>
          <w:p w14:paraId="57B1D7F2" w14:textId="77777777" w:rsidR="00A83587" w:rsidRPr="00241D72" w:rsidRDefault="00A83587" w:rsidP="00283481">
            <w:pPr>
              <w:autoSpaceDE w:val="0"/>
              <w:autoSpaceDN w:val="0"/>
              <w:adjustRightInd w:val="0"/>
              <w:jc w:val="center"/>
              <w:rPr>
                <w:rFonts w:asciiTheme="majorBidi" w:eastAsia="游明朝" w:hAnsiTheme="majorBidi" w:cstheme="majorBidi"/>
                <w:sz w:val="22"/>
              </w:rPr>
            </w:pPr>
            <w:r w:rsidRPr="00241D72">
              <w:rPr>
                <w:rFonts w:asciiTheme="majorBidi" w:eastAsia="游明朝" w:hAnsiTheme="majorBidi" w:cstheme="majorBidi"/>
                <w:sz w:val="22"/>
              </w:rPr>
              <w:t>2</w:t>
            </w:r>
          </w:p>
        </w:tc>
      </w:tr>
    </w:tbl>
    <w:p w14:paraId="5752A2C6" w14:textId="77777777" w:rsidR="00A83587" w:rsidRPr="00241D72" w:rsidRDefault="00A83587" w:rsidP="00A83587">
      <w:pPr>
        <w:autoSpaceDE w:val="0"/>
        <w:autoSpaceDN w:val="0"/>
        <w:adjustRightInd w:val="0"/>
        <w:spacing w:line="480" w:lineRule="auto"/>
        <w:rPr>
          <w:rFonts w:asciiTheme="majorBidi" w:hAnsiTheme="majorBidi" w:cstheme="majorBidi"/>
          <w:b/>
          <w:sz w:val="22"/>
        </w:rPr>
      </w:pPr>
    </w:p>
    <w:p w14:paraId="183B6757" w14:textId="77777777" w:rsidR="00A83587" w:rsidRPr="00241D72" w:rsidRDefault="00A83587" w:rsidP="00A83587">
      <w:pPr>
        <w:rPr>
          <w:rFonts w:asciiTheme="majorBidi" w:hAnsiTheme="majorBidi" w:cstheme="majorBidi"/>
          <w:b/>
          <w:sz w:val="22"/>
        </w:rPr>
        <w:sectPr w:rsidR="00A83587" w:rsidRPr="00241D72" w:rsidSect="00283481">
          <w:headerReference w:type="even" r:id="rId8"/>
          <w:headerReference w:type="default" r:id="rId9"/>
          <w:footerReference w:type="even" r:id="rId10"/>
          <w:footerReference w:type="default" r:id="rId11"/>
          <w:headerReference w:type="first" r:id="rId12"/>
          <w:pgSz w:w="16838" w:h="11906" w:orient="landscape" w:code="9"/>
          <w:pgMar w:top="1701" w:right="1985" w:bottom="1701" w:left="1701" w:header="851" w:footer="992" w:gutter="0"/>
          <w:cols w:space="425"/>
          <w:docGrid w:type="lines" w:linePitch="326" w:charSpace="-3482"/>
        </w:sectPr>
      </w:pPr>
      <w:r w:rsidRPr="00241D72">
        <w:rPr>
          <w:rFonts w:asciiTheme="majorBidi" w:hAnsiTheme="majorBidi" w:cstheme="majorBidi"/>
          <w:b/>
          <w:sz w:val="22"/>
        </w:rPr>
        <w:br w:type="page"/>
      </w:r>
    </w:p>
    <w:p w14:paraId="39F82D2D" w14:textId="291CFD09" w:rsidR="00A83587" w:rsidRPr="00241D72" w:rsidRDefault="00A83587" w:rsidP="00A83587">
      <w:r w:rsidRPr="00241D72">
        <w:rPr>
          <w:b/>
          <w:bCs/>
        </w:rPr>
        <w:lastRenderedPageBreak/>
        <w:t>Supplementary Table 4</w:t>
      </w:r>
      <w:r w:rsidRPr="00241D72">
        <w:t xml:space="preserve">. </w:t>
      </w:r>
      <w:bookmarkStart w:id="1" w:name="_Hlk45127902"/>
      <w:r w:rsidRPr="00241D72">
        <w:t xml:space="preserve">Frequency of earthquake-related dizziness according to </w:t>
      </w:r>
      <w:r w:rsidR="00357619" w:rsidRPr="00241D72">
        <w:t xml:space="preserve">the </w:t>
      </w:r>
      <w:r w:rsidRPr="00241D72">
        <w:t>location at different time</w:t>
      </w:r>
      <w:r w:rsidR="00357619" w:rsidRPr="00241D72">
        <w:t>-</w:t>
      </w:r>
      <w:r w:rsidRPr="00241D72">
        <w:t>points relative to the time of the earthquake in weeks (w)</w:t>
      </w:r>
    </w:p>
    <w:bookmarkEnd w:id="1"/>
    <w:tbl>
      <w:tblPr>
        <w:tblW w:w="1018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53"/>
        <w:gridCol w:w="3515"/>
        <w:gridCol w:w="3515"/>
      </w:tblGrid>
      <w:tr w:rsidR="00A83587" w:rsidRPr="00241D72" w14:paraId="13E6BB70" w14:textId="77777777" w:rsidTr="00283481">
        <w:trPr>
          <w:trHeight w:val="287"/>
        </w:trPr>
        <w:tc>
          <w:tcPr>
            <w:tcW w:w="3153" w:type="dxa"/>
            <w:tcBorders>
              <w:bottom w:val="single" w:sz="12" w:space="0" w:color="666666"/>
            </w:tcBorders>
            <w:shd w:val="clear" w:color="auto" w:fill="auto"/>
            <w:noWrap/>
            <w:hideMark/>
          </w:tcPr>
          <w:p w14:paraId="00E9F683" w14:textId="77777777" w:rsidR="00A83587" w:rsidRPr="00241D72" w:rsidRDefault="00A83587" w:rsidP="00283481">
            <w:pPr>
              <w:autoSpaceDE w:val="0"/>
              <w:autoSpaceDN w:val="0"/>
              <w:adjustRightInd w:val="0"/>
              <w:spacing w:line="480" w:lineRule="auto"/>
              <w:rPr>
                <w:rFonts w:asciiTheme="majorBidi" w:eastAsia="游明朝" w:hAnsiTheme="majorBidi" w:cstheme="majorBidi"/>
                <w:b/>
                <w:bCs/>
                <w:sz w:val="22"/>
              </w:rPr>
            </w:pPr>
          </w:p>
        </w:tc>
        <w:tc>
          <w:tcPr>
            <w:tcW w:w="3515" w:type="dxa"/>
            <w:tcBorders>
              <w:bottom w:val="single" w:sz="12" w:space="0" w:color="666666"/>
            </w:tcBorders>
            <w:shd w:val="clear" w:color="auto" w:fill="auto"/>
            <w:noWrap/>
            <w:hideMark/>
          </w:tcPr>
          <w:p w14:paraId="2AA2A6EE" w14:textId="41C1CCAA" w:rsidR="00A83587" w:rsidRPr="00241D72" w:rsidRDefault="00A83587" w:rsidP="00283481">
            <w:pPr>
              <w:autoSpaceDE w:val="0"/>
              <w:autoSpaceDN w:val="0"/>
              <w:adjustRightInd w:val="0"/>
              <w:spacing w:line="480" w:lineRule="auto"/>
              <w:jc w:val="center"/>
              <w:rPr>
                <w:rFonts w:asciiTheme="majorBidi" w:eastAsia="游明朝" w:hAnsiTheme="majorBidi" w:cstheme="majorBidi"/>
                <w:b/>
                <w:bCs/>
                <w:sz w:val="22"/>
              </w:rPr>
            </w:pPr>
            <w:r w:rsidRPr="00241D72">
              <w:rPr>
                <w:rFonts w:asciiTheme="majorBidi" w:eastAsia="游明朝" w:hAnsiTheme="majorBidi" w:cstheme="majorBidi"/>
                <w:b/>
                <w:bCs/>
                <w:sz w:val="22"/>
              </w:rPr>
              <w:t>Indoor</w:t>
            </w:r>
            <w:r w:rsidR="00F43CE5" w:rsidRPr="00241D72">
              <w:rPr>
                <w:rFonts w:asciiTheme="majorBidi" w:eastAsia="游明朝" w:hAnsiTheme="majorBidi" w:cstheme="majorBidi"/>
                <w:b/>
                <w:bCs/>
                <w:sz w:val="22"/>
              </w:rPr>
              <w:t xml:space="preserve"> (n)</w:t>
            </w:r>
          </w:p>
        </w:tc>
        <w:tc>
          <w:tcPr>
            <w:tcW w:w="3515" w:type="dxa"/>
            <w:tcBorders>
              <w:bottom w:val="single" w:sz="12" w:space="0" w:color="666666"/>
            </w:tcBorders>
            <w:shd w:val="clear" w:color="auto" w:fill="auto"/>
            <w:noWrap/>
            <w:hideMark/>
          </w:tcPr>
          <w:p w14:paraId="3CEAB9CD" w14:textId="6D40EE08" w:rsidR="00A83587" w:rsidRPr="00241D72" w:rsidRDefault="00A83587" w:rsidP="00283481">
            <w:pPr>
              <w:autoSpaceDE w:val="0"/>
              <w:autoSpaceDN w:val="0"/>
              <w:adjustRightInd w:val="0"/>
              <w:spacing w:line="480" w:lineRule="auto"/>
              <w:jc w:val="center"/>
              <w:rPr>
                <w:rFonts w:asciiTheme="majorBidi" w:eastAsia="游明朝" w:hAnsiTheme="majorBidi" w:cstheme="majorBidi"/>
                <w:b/>
                <w:bCs/>
                <w:sz w:val="22"/>
              </w:rPr>
            </w:pPr>
            <w:r w:rsidRPr="00241D72">
              <w:rPr>
                <w:rFonts w:asciiTheme="majorBidi" w:eastAsia="游明朝" w:hAnsiTheme="majorBidi" w:cstheme="majorBidi"/>
                <w:b/>
                <w:bCs/>
                <w:sz w:val="22"/>
              </w:rPr>
              <w:t>Outdoor</w:t>
            </w:r>
            <w:r w:rsidR="00F43CE5" w:rsidRPr="00241D72">
              <w:rPr>
                <w:rFonts w:asciiTheme="majorBidi" w:eastAsia="游明朝" w:hAnsiTheme="majorBidi" w:cstheme="majorBidi"/>
                <w:b/>
                <w:bCs/>
                <w:sz w:val="22"/>
              </w:rPr>
              <w:t xml:space="preserve"> (n)</w:t>
            </w:r>
          </w:p>
        </w:tc>
      </w:tr>
      <w:tr w:rsidR="00A83587" w:rsidRPr="00241D72" w14:paraId="72FF0720" w14:textId="77777777" w:rsidTr="00283481">
        <w:trPr>
          <w:trHeight w:val="287"/>
        </w:trPr>
        <w:tc>
          <w:tcPr>
            <w:tcW w:w="3153" w:type="dxa"/>
            <w:shd w:val="clear" w:color="auto" w:fill="auto"/>
            <w:noWrap/>
            <w:hideMark/>
          </w:tcPr>
          <w:p w14:paraId="15B17E46" w14:textId="77777777" w:rsidR="00A83587" w:rsidRPr="00241D72" w:rsidRDefault="00A83587" w:rsidP="00283481">
            <w:pPr>
              <w:autoSpaceDE w:val="0"/>
              <w:autoSpaceDN w:val="0"/>
              <w:adjustRightInd w:val="0"/>
              <w:spacing w:line="480" w:lineRule="auto"/>
              <w:rPr>
                <w:rFonts w:asciiTheme="majorBidi" w:eastAsia="游明朝" w:hAnsiTheme="majorBidi" w:cstheme="majorBidi"/>
                <w:b/>
                <w:bCs/>
                <w:sz w:val="22"/>
              </w:rPr>
            </w:pPr>
            <w:r w:rsidRPr="00241D72">
              <w:rPr>
                <w:rFonts w:asciiTheme="majorBidi" w:eastAsia="游明朝" w:hAnsiTheme="majorBidi" w:cstheme="majorBidi"/>
                <w:b/>
                <w:bCs/>
                <w:sz w:val="22"/>
              </w:rPr>
              <w:t>2 w prior</w:t>
            </w:r>
          </w:p>
        </w:tc>
        <w:tc>
          <w:tcPr>
            <w:tcW w:w="3515" w:type="dxa"/>
            <w:shd w:val="clear" w:color="auto" w:fill="auto"/>
            <w:noWrap/>
            <w:hideMark/>
          </w:tcPr>
          <w:p w14:paraId="5545FAF3"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2</w:t>
            </w:r>
          </w:p>
        </w:tc>
        <w:tc>
          <w:tcPr>
            <w:tcW w:w="3515" w:type="dxa"/>
            <w:shd w:val="clear" w:color="auto" w:fill="auto"/>
            <w:noWrap/>
            <w:hideMark/>
          </w:tcPr>
          <w:p w14:paraId="78B92CF7"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2</w:t>
            </w:r>
          </w:p>
        </w:tc>
      </w:tr>
      <w:tr w:rsidR="00A83587" w:rsidRPr="00241D72" w14:paraId="66BFE755" w14:textId="77777777" w:rsidTr="00283481">
        <w:trPr>
          <w:trHeight w:val="287"/>
        </w:trPr>
        <w:tc>
          <w:tcPr>
            <w:tcW w:w="3153" w:type="dxa"/>
            <w:shd w:val="clear" w:color="auto" w:fill="auto"/>
            <w:noWrap/>
            <w:hideMark/>
          </w:tcPr>
          <w:p w14:paraId="3CC13928" w14:textId="77777777" w:rsidR="00A83587" w:rsidRPr="00241D72" w:rsidRDefault="00A83587" w:rsidP="00283481">
            <w:pPr>
              <w:autoSpaceDE w:val="0"/>
              <w:autoSpaceDN w:val="0"/>
              <w:adjustRightInd w:val="0"/>
              <w:spacing w:line="480" w:lineRule="auto"/>
              <w:rPr>
                <w:rFonts w:asciiTheme="majorBidi" w:eastAsia="游明朝" w:hAnsiTheme="majorBidi" w:cstheme="majorBidi"/>
                <w:b/>
                <w:bCs/>
                <w:sz w:val="22"/>
              </w:rPr>
            </w:pPr>
            <w:r w:rsidRPr="00241D72">
              <w:rPr>
                <w:rFonts w:asciiTheme="majorBidi" w:eastAsia="游明朝" w:hAnsiTheme="majorBidi" w:cstheme="majorBidi"/>
                <w:b/>
                <w:bCs/>
                <w:sz w:val="22"/>
              </w:rPr>
              <w:t>After 2 w</w:t>
            </w:r>
          </w:p>
        </w:tc>
        <w:tc>
          <w:tcPr>
            <w:tcW w:w="3515" w:type="dxa"/>
            <w:shd w:val="clear" w:color="auto" w:fill="auto"/>
            <w:noWrap/>
            <w:hideMark/>
          </w:tcPr>
          <w:p w14:paraId="5BBA87F9"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13</w:t>
            </w:r>
          </w:p>
        </w:tc>
        <w:tc>
          <w:tcPr>
            <w:tcW w:w="3515" w:type="dxa"/>
            <w:shd w:val="clear" w:color="auto" w:fill="auto"/>
            <w:noWrap/>
            <w:hideMark/>
          </w:tcPr>
          <w:p w14:paraId="1DFF507F"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2</w:t>
            </w:r>
          </w:p>
        </w:tc>
      </w:tr>
      <w:tr w:rsidR="00A83587" w:rsidRPr="00241D72" w14:paraId="3C6FDB59" w14:textId="77777777" w:rsidTr="00283481">
        <w:trPr>
          <w:trHeight w:val="287"/>
        </w:trPr>
        <w:tc>
          <w:tcPr>
            <w:tcW w:w="3153" w:type="dxa"/>
            <w:shd w:val="clear" w:color="auto" w:fill="auto"/>
            <w:noWrap/>
            <w:hideMark/>
          </w:tcPr>
          <w:p w14:paraId="6B1AA7DB" w14:textId="47CF88AE" w:rsidR="00A83587" w:rsidRPr="00241D72" w:rsidRDefault="00A83587" w:rsidP="00283481">
            <w:pPr>
              <w:autoSpaceDE w:val="0"/>
              <w:autoSpaceDN w:val="0"/>
              <w:adjustRightInd w:val="0"/>
              <w:spacing w:line="480" w:lineRule="auto"/>
              <w:rPr>
                <w:rFonts w:asciiTheme="majorBidi" w:eastAsia="游明朝" w:hAnsiTheme="majorBidi" w:cstheme="majorBidi"/>
                <w:b/>
                <w:bCs/>
                <w:sz w:val="22"/>
              </w:rPr>
            </w:pPr>
            <w:r w:rsidRPr="00241D72">
              <w:rPr>
                <w:rFonts w:asciiTheme="majorBidi" w:eastAsia="游明朝" w:hAnsiTheme="majorBidi" w:cstheme="majorBidi"/>
                <w:b/>
                <w:bCs/>
                <w:sz w:val="22"/>
              </w:rPr>
              <w:t>After 2</w:t>
            </w:r>
            <w:r w:rsidR="009F5802" w:rsidRPr="00241D72">
              <w:rPr>
                <w:rFonts w:asciiTheme="majorBidi" w:eastAsia="游明朝" w:hAnsiTheme="majorBidi" w:cstheme="majorBidi"/>
                <w:b/>
                <w:bCs/>
                <w:sz w:val="22"/>
              </w:rPr>
              <w:t>–</w:t>
            </w:r>
            <w:r w:rsidRPr="00241D72">
              <w:rPr>
                <w:rFonts w:asciiTheme="majorBidi" w:eastAsia="游明朝" w:hAnsiTheme="majorBidi" w:cstheme="majorBidi"/>
                <w:b/>
                <w:bCs/>
                <w:sz w:val="22"/>
              </w:rPr>
              <w:t>4 w</w:t>
            </w:r>
          </w:p>
        </w:tc>
        <w:tc>
          <w:tcPr>
            <w:tcW w:w="3515" w:type="dxa"/>
            <w:shd w:val="clear" w:color="auto" w:fill="auto"/>
            <w:noWrap/>
            <w:hideMark/>
          </w:tcPr>
          <w:p w14:paraId="78A65FB0"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14</w:t>
            </w:r>
          </w:p>
        </w:tc>
        <w:tc>
          <w:tcPr>
            <w:tcW w:w="3515" w:type="dxa"/>
            <w:shd w:val="clear" w:color="auto" w:fill="auto"/>
            <w:noWrap/>
            <w:hideMark/>
          </w:tcPr>
          <w:p w14:paraId="21B1C8C4"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0</w:t>
            </w:r>
          </w:p>
        </w:tc>
      </w:tr>
      <w:tr w:rsidR="00A83587" w:rsidRPr="00241D72" w14:paraId="325685A3" w14:textId="77777777" w:rsidTr="00283481">
        <w:trPr>
          <w:trHeight w:val="287"/>
        </w:trPr>
        <w:tc>
          <w:tcPr>
            <w:tcW w:w="3153" w:type="dxa"/>
            <w:shd w:val="clear" w:color="auto" w:fill="auto"/>
            <w:noWrap/>
            <w:hideMark/>
          </w:tcPr>
          <w:p w14:paraId="2A3EBE80" w14:textId="7FBB58DE" w:rsidR="00A83587" w:rsidRPr="00241D72" w:rsidRDefault="00A83587" w:rsidP="00283481">
            <w:pPr>
              <w:autoSpaceDE w:val="0"/>
              <w:autoSpaceDN w:val="0"/>
              <w:adjustRightInd w:val="0"/>
              <w:spacing w:line="480" w:lineRule="auto"/>
              <w:rPr>
                <w:rFonts w:asciiTheme="majorBidi" w:eastAsia="游明朝" w:hAnsiTheme="majorBidi" w:cstheme="majorBidi"/>
                <w:b/>
                <w:bCs/>
                <w:sz w:val="22"/>
              </w:rPr>
            </w:pPr>
            <w:r w:rsidRPr="00241D72">
              <w:rPr>
                <w:rFonts w:asciiTheme="majorBidi" w:eastAsia="游明朝" w:hAnsiTheme="majorBidi" w:cstheme="majorBidi"/>
                <w:b/>
                <w:bCs/>
                <w:sz w:val="22"/>
              </w:rPr>
              <w:t>After 4</w:t>
            </w:r>
            <w:r w:rsidR="009F5802" w:rsidRPr="00241D72">
              <w:rPr>
                <w:rFonts w:asciiTheme="majorBidi" w:eastAsia="游明朝" w:hAnsiTheme="majorBidi" w:cstheme="majorBidi"/>
                <w:b/>
                <w:bCs/>
                <w:sz w:val="22"/>
              </w:rPr>
              <w:t>–</w:t>
            </w:r>
            <w:r w:rsidRPr="00241D72">
              <w:rPr>
                <w:rFonts w:asciiTheme="majorBidi" w:eastAsia="游明朝" w:hAnsiTheme="majorBidi" w:cstheme="majorBidi"/>
                <w:b/>
                <w:bCs/>
                <w:sz w:val="22"/>
              </w:rPr>
              <w:t>6 w</w:t>
            </w:r>
          </w:p>
        </w:tc>
        <w:tc>
          <w:tcPr>
            <w:tcW w:w="3515" w:type="dxa"/>
            <w:shd w:val="clear" w:color="auto" w:fill="auto"/>
            <w:noWrap/>
            <w:hideMark/>
          </w:tcPr>
          <w:p w14:paraId="441EEDD2"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16</w:t>
            </w:r>
          </w:p>
        </w:tc>
        <w:tc>
          <w:tcPr>
            <w:tcW w:w="3515" w:type="dxa"/>
            <w:shd w:val="clear" w:color="auto" w:fill="auto"/>
            <w:noWrap/>
            <w:hideMark/>
          </w:tcPr>
          <w:p w14:paraId="71966967"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2</w:t>
            </w:r>
          </w:p>
        </w:tc>
      </w:tr>
      <w:tr w:rsidR="00A83587" w:rsidRPr="00241D72" w14:paraId="2FD3ABE9" w14:textId="77777777" w:rsidTr="00283481">
        <w:trPr>
          <w:trHeight w:val="287"/>
        </w:trPr>
        <w:tc>
          <w:tcPr>
            <w:tcW w:w="3153" w:type="dxa"/>
            <w:shd w:val="clear" w:color="auto" w:fill="auto"/>
            <w:noWrap/>
            <w:hideMark/>
          </w:tcPr>
          <w:p w14:paraId="3C518360" w14:textId="514D3ECC" w:rsidR="00A83587" w:rsidRPr="00241D72" w:rsidRDefault="00A83587" w:rsidP="00283481">
            <w:pPr>
              <w:autoSpaceDE w:val="0"/>
              <w:autoSpaceDN w:val="0"/>
              <w:adjustRightInd w:val="0"/>
              <w:spacing w:line="480" w:lineRule="auto"/>
              <w:rPr>
                <w:rFonts w:asciiTheme="majorBidi" w:eastAsia="游明朝" w:hAnsiTheme="majorBidi" w:cstheme="majorBidi"/>
                <w:b/>
                <w:bCs/>
                <w:sz w:val="22"/>
              </w:rPr>
            </w:pPr>
            <w:r w:rsidRPr="00241D72">
              <w:rPr>
                <w:rFonts w:asciiTheme="majorBidi" w:eastAsia="游明朝" w:hAnsiTheme="majorBidi" w:cstheme="majorBidi"/>
                <w:b/>
                <w:bCs/>
                <w:sz w:val="22"/>
              </w:rPr>
              <w:t>After 6</w:t>
            </w:r>
            <w:r w:rsidR="009F5802" w:rsidRPr="00241D72">
              <w:rPr>
                <w:rFonts w:asciiTheme="majorBidi" w:eastAsia="游明朝" w:hAnsiTheme="majorBidi" w:cstheme="majorBidi"/>
                <w:b/>
                <w:bCs/>
                <w:sz w:val="22"/>
              </w:rPr>
              <w:t>–</w:t>
            </w:r>
            <w:r w:rsidRPr="00241D72">
              <w:rPr>
                <w:rFonts w:asciiTheme="majorBidi" w:eastAsia="游明朝" w:hAnsiTheme="majorBidi" w:cstheme="majorBidi"/>
                <w:b/>
                <w:bCs/>
                <w:sz w:val="22"/>
              </w:rPr>
              <w:t>8 w</w:t>
            </w:r>
          </w:p>
        </w:tc>
        <w:tc>
          <w:tcPr>
            <w:tcW w:w="3515" w:type="dxa"/>
            <w:shd w:val="clear" w:color="auto" w:fill="auto"/>
            <w:noWrap/>
            <w:hideMark/>
          </w:tcPr>
          <w:p w14:paraId="1E29C674"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6</w:t>
            </w:r>
          </w:p>
        </w:tc>
        <w:tc>
          <w:tcPr>
            <w:tcW w:w="3515" w:type="dxa"/>
            <w:shd w:val="clear" w:color="auto" w:fill="auto"/>
            <w:noWrap/>
            <w:hideMark/>
          </w:tcPr>
          <w:p w14:paraId="43AF1C0B"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3</w:t>
            </w:r>
          </w:p>
        </w:tc>
      </w:tr>
      <w:tr w:rsidR="00A83587" w:rsidRPr="00241D72" w14:paraId="52A789DA" w14:textId="77777777" w:rsidTr="00283481">
        <w:trPr>
          <w:trHeight w:val="287"/>
        </w:trPr>
        <w:tc>
          <w:tcPr>
            <w:tcW w:w="3153" w:type="dxa"/>
            <w:shd w:val="clear" w:color="auto" w:fill="auto"/>
            <w:noWrap/>
            <w:hideMark/>
          </w:tcPr>
          <w:p w14:paraId="6676E248" w14:textId="1B6F0595" w:rsidR="00A83587" w:rsidRPr="00241D72" w:rsidRDefault="00A83587" w:rsidP="00283481">
            <w:pPr>
              <w:autoSpaceDE w:val="0"/>
              <w:autoSpaceDN w:val="0"/>
              <w:adjustRightInd w:val="0"/>
              <w:spacing w:line="480" w:lineRule="auto"/>
              <w:rPr>
                <w:rFonts w:asciiTheme="majorBidi" w:eastAsia="游明朝" w:hAnsiTheme="majorBidi" w:cstheme="majorBidi"/>
                <w:b/>
                <w:bCs/>
                <w:sz w:val="22"/>
              </w:rPr>
            </w:pPr>
            <w:r w:rsidRPr="00241D72">
              <w:rPr>
                <w:rFonts w:asciiTheme="majorBidi" w:eastAsia="游明朝" w:hAnsiTheme="majorBidi" w:cstheme="majorBidi"/>
                <w:b/>
                <w:bCs/>
                <w:sz w:val="22"/>
              </w:rPr>
              <w:t>After 8</w:t>
            </w:r>
            <w:r w:rsidR="009F5802" w:rsidRPr="00241D72">
              <w:rPr>
                <w:rFonts w:asciiTheme="majorBidi" w:eastAsia="游明朝" w:hAnsiTheme="majorBidi" w:cstheme="majorBidi"/>
                <w:b/>
                <w:bCs/>
                <w:sz w:val="22"/>
              </w:rPr>
              <w:t>–</w:t>
            </w:r>
            <w:r w:rsidRPr="00241D72">
              <w:rPr>
                <w:rFonts w:asciiTheme="majorBidi" w:eastAsia="游明朝" w:hAnsiTheme="majorBidi" w:cstheme="majorBidi"/>
                <w:b/>
                <w:bCs/>
                <w:sz w:val="22"/>
              </w:rPr>
              <w:t>10 w</w:t>
            </w:r>
          </w:p>
        </w:tc>
        <w:tc>
          <w:tcPr>
            <w:tcW w:w="3515" w:type="dxa"/>
            <w:shd w:val="clear" w:color="auto" w:fill="auto"/>
            <w:noWrap/>
            <w:hideMark/>
          </w:tcPr>
          <w:p w14:paraId="79D3DFC9"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10</w:t>
            </w:r>
          </w:p>
        </w:tc>
        <w:tc>
          <w:tcPr>
            <w:tcW w:w="3515" w:type="dxa"/>
            <w:shd w:val="clear" w:color="auto" w:fill="auto"/>
            <w:noWrap/>
            <w:hideMark/>
          </w:tcPr>
          <w:p w14:paraId="503D16FB"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0</w:t>
            </w:r>
          </w:p>
        </w:tc>
      </w:tr>
      <w:tr w:rsidR="00A83587" w:rsidRPr="00241D72" w14:paraId="618A318D" w14:textId="77777777" w:rsidTr="00283481">
        <w:trPr>
          <w:trHeight w:val="287"/>
        </w:trPr>
        <w:tc>
          <w:tcPr>
            <w:tcW w:w="3153" w:type="dxa"/>
            <w:shd w:val="clear" w:color="auto" w:fill="auto"/>
            <w:noWrap/>
            <w:hideMark/>
          </w:tcPr>
          <w:p w14:paraId="006054E7" w14:textId="0D35E712" w:rsidR="00A83587" w:rsidRPr="00241D72" w:rsidRDefault="00A83587" w:rsidP="00283481">
            <w:pPr>
              <w:autoSpaceDE w:val="0"/>
              <w:autoSpaceDN w:val="0"/>
              <w:adjustRightInd w:val="0"/>
              <w:spacing w:line="480" w:lineRule="auto"/>
              <w:rPr>
                <w:rFonts w:asciiTheme="majorBidi" w:eastAsia="游明朝" w:hAnsiTheme="majorBidi" w:cstheme="majorBidi"/>
                <w:b/>
                <w:bCs/>
                <w:sz w:val="22"/>
              </w:rPr>
            </w:pPr>
            <w:r w:rsidRPr="00241D72">
              <w:rPr>
                <w:rFonts w:asciiTheme="majorBidi" w:eastAsia="游明朝" w:hAnsiTheme="majorBidi" w:cstheme="majorBidi"/>
                <w:b/>
                <w:bCs/>
                <w:sz w:val="22"/>
              </w:rPr>
              <w:t>After 10</w:t>
            </w:r>
            <w:r w:rsidR="009F5802" w:rsidRPr="00241D72">
              <w:rPr>
                <w:rFonts w:asciiTheme="majorBidi" w:eastAsia="游明朝" w:hAnsiTheme="majorBidi" w:cstheme="majorBidi"/>
                <w:b/>
                <w:bCs/>
                <w:sz w:val="22"/>
              </w:rPr>
              <w:t>–</w:t>
            </w:r>
            <w:r w:rsidRPr="00241D72">
              <w:rPr>
                <w:rFonts w:asciiTheme="majorBidi" w:eastAsia="游明朝" w:hAnsiTheme="majorBidi" w:cstheme="majorBidi"/>
                <w:b/>
                <w:bCs/>
                <w:sz w:val="22"/>
              </w:rPr>
              <w:t>12 w</w:t>
            </w:r>
          </w:p>
        </w:tc>
        <w:tc>
          <w:tcPr>
            <w:tcW w:w="3515" w:type="dxa"/>
            <w:shd w:val="clear" w:color="auto" w:fill="auto"/>
            <w:noWrap/>
            <w:hideMark/>
          </w:tcPr>
          <w:p w14:paraId="0AA5DA31"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6</w:t>
            </w:r>
          </w:p>
        </w:tc>
        <w:tc>
          <w:tcPr>
            <w:tcW w:w="3515" w:type="dxa"/>
            <w:shd w:val="clear" w:color="auto" w:fill="auto"/>
            <w:noWrap/>
            <w:hideMark/>
          </w:tcPr>
          <w:p w14:paraId="17B04D17" w14:textId="77777777" w:rsidR="00A83587" w:rsidRPr="00241D72" w:rsidRDefault="00A83587" w:rsidP="00283481">
            <w:pPr>
              <w:autoSpaceDE w:val="0"/>
              <w:autoSpaceDN w:val="0"/>
              <w:adjustRightInd w:val="0"/>
              <w:spacing w:line="480" w:lineRule="auto"/>
              <w:jc w:val="center"/>
              <w:rPr>
                <w:rFonts w:asciiTheme="majorBidi" w:eastAsia="游明朝" w:hAnsiTheme="majorBidi" w:cstheme="majorBidi"/>
                <w:sz w:val="22"/>
              </w:rPr>
            </w:pPr>
            <w:r w:rsidRPr="00241D72">
              <w:rPr>
                <w:rFonts w:asciiTheme="majorBidi" w:eastAsia="游明朝" w:hAnsiTheme="majorBidi" w:cstheme="majorBidi"/>
                <w:sz w:val="22"/>
              </w:rPr>
              <w:t>1</w:t>
            </w:r>
          </w:p>
        </w:tc>
      </w:tr>
    </w:tbl>
    <w:p w14:paraId="0D9BE6C0" w14:textId="77777777" w:rsidR="00A83587" w:rsidRPr="00241D72" w:rsidRDefault="00A83587" w:rsidP="00A83587">
      <w:pPr>
        <w:rPr>
          <w:rFonts w:asciiTheme="majorBidi" w:hAnsiTheme="majorBidi" w:cstheme="majorBidi"/>
          <w:b/>
          <w:sz w:val="22"/>
        </w:rPr>
      </w:pPr>
      <w:r w:rsidRPr="00241D72">
        <w:rPr>
          <w:rFonts w:asciiTheme="majorBidi" w:hAnsiTheme="majorBidi" w:cstheme="majorBidi"/>
          <w:b/>
          <w:sz w:val="22"/>
        </w:rPr>
        <w:br w:type="page"/>
      </w:r>
    </w:p>
    <w:p w14:paraId="30EFFA90" w14:textId="5823F8F7" w:rsidR="00A83587" w:rsidRPr="00241D72" w:rsidRDefault="00A83587" w:rsidP="00A83587">
      <w:r w:rsidRPr="00241D72">
        <w:rPr>
          <w:b/>
          <w:bCs/>
        </w:rPr>
        <w:lastRenderedPageBreak/>
        <w:t>Supplementary Table 5</w:t>
      </w:r>
      <w:r w:rsidRPr="00241D72">
        <w:t>. Complete list of balance disorders diagnosed by ear-nose-throat doctors in this cohort</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985"/>
        <w:gridCol w:w="3142"/>
      </w:tblGrid>
      <w:tr w:rsidR="00A83587" w:rsidRPr="00241D72" w14:paraId="4FEFBD77" w14:textId="77777777" w:rsidTr="00283481">
        <w:trPr>
          <w:trHeight w:val="111"/>
        </w:trPr>
        <w:tc>
          <w:tcPr>
            <w:tcW w:w="0" w:type="auto"/>
            <w:shd w:val="clear" w:color="auto" w:fill="auto"/>
            <w:hideMark/>
          </w:tcPr>
          <w:p w14:paraId="016C439A" w14:textId="77777777" w:rsidR="00A83587" w:rsidRPr="00241D72" w:rsidRDefault="00A83587" w:rsidP="00283481">
            <w:pPr>
              <w:snapToGrid w:val="0"/>
              <w:rPr>
                <w:rFonts w:asciiTheme="majorBidi" w:hAnsiTheme="majorBidi" w:cstheme="majorBidi"/>
                <w:b/>
                <w:szCs w:val="24"/>
              </w:rPr>
            </w:pPr>
            <w:r w:rsidRPr="00241D72">
              <w:rPr>
                <w:rFonts w:asciiTheme="majorBidi" w:hAnsiTheme="majorBidi" w:cstheme="majorBidi"/>
                <w:b/>
                <w:szCs w:val="24"/>
              </w:rPr>
              <w:t>Diagnosis</w:t>
            </w:r>
          </w:p>
        </w:tc>
        <w:tc>
          <w:tcPr>
            <w:tcW w:w="0" w:type="auto"/>
            <w:shd w:val="clear" w:color="auto" w:fill="auto"/>
            <w:hideMark/>
          </w:tcPr>
          <w:p w14:paraId="316A23E4" w14:textId="77777777" w:rsidR="00A83587" w:rsidRPr="00241D72" w:rsidRDefault="00A83587" w:rsidP="00283481">
            <w:pPr>
              <w:snapToGrid w:val="0"/>
              <w:rPr>
                <w:rFonts w:asciiTheme="majorBidi" w:hAnsiTheme="majorBidi" w:cstheme="majorBidi"/>
                <w:b/>
                <w:szCs w:val="24"/>
              </w:rPr>
            </w:pPr>
            <w:r w:rsidRPr="00241D72">
              <w:rPr>
                <w:rFonts w:asciiTheme="majorBidi" w:hAnsiTheme="majorBidi" w:cstheme="majorBidi"/>
                <w:b/>
                <w:szCs w:val="24"/>
              </w:rPr>
              <w:t>Number of patients: 575</w:t>
            </w:r>
          </w:p>
        </w:tc>
      </w:tr>
      <w:tr w:rsidR="00A83587" w:rsidRPr="00241D72" w14:paraId="50C91116" w14:textId="77777777" w:rsidTr="00283481">
        <w:trPr>
          <w:trHeight w:val="116"/>
        </w:trPr>
        <w:tc>
          <w:tcPr>
            <w:tcW w:w="0" w:type="auto"/>
            <w:shd w:val="clear" w:color="auto" w:fill="auto"/>
            <w:hideMark/>
          </w:tcPr>
          <w:p w14:paraId="3B446931" w14:textId="77777777" w:rsidR="00A83587" w:rsidRPr="00241D72" w:rsidRDefault="00A83587" w:rsidP="00283481">
            <w:pPr>
              <w:snapToGrid w:val="0"/>
              <w:rPr>
                <w:rFonts w:asciiTheme="majorBidi" w:hAnsiTheme="majorBidi" w:cstheme="majorBidi"/>
                <w:szCs w:val="24"/>
              </w:rPr>
            </w:pPr>
            <w:bookmarkStart w:id="2" w:name="_Hlk16352052"/>
            <w:r w:rsidRPr="00241D72">
              <w:rPr>
                <w:rFonts w:asciiTheme="majorBidi" w:hAnsiTheme="majorBidi" w:cstheme="majorBidi"/>
                <w:szCs w:val="24"/>
              </w:rPr>
              <w:t>Meniere’s disease</w:t>
            </w:r>
          </w:p>
        </w:tc>
        <w:tc>
          <w:tcPr>
            <w:tcW w:w="0" w:type="auto"/>
            <w:shd w:val="clear" w:color="auto" w:fill="auto"/>
            <w:hideMark/>
          </w:tcPr>
          <w:p w14:paraId="4A844E9F"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68</w:t>
            </w:r>
          </w:p>
        </w:tc>
      </w:tr>
      <w:tr w:rsidR="00A83587" w:rsidRPr="00241D72" w14:paraId="7681021A" w14:textId="77777777" w:rsidTr="00283481">
        <w:trPr>
          <w:trHeight w:val="143"/>
        </w:trPr>
        <w:tc>
          <w:tcPr>
            <w:tcW w:w="0" w:type="auto"/>
            <w:shd w:val="clear" w:color="auto" w:fill="auto"/>
            <w:hideMark/>
          </w:tcPr>
          <w:p w14:paraId="4CA16557" w14:textId="77777777"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Sudden deafness with vertigo</w:t>
            </w:r>
          </w:p>
        </w:tc>
        <w:tc>
          <w:tcPr>
            <w:tcW w:w="0" w:type="auto"/>
            <w:shd w:val="clear" w:color="auto" w:fill="auto"/>
            <w:hideMark/>
          </w:tcPr>
          <w:p w14:paraId="66B9871B"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41</w:t>
            </w:r>
          </w:p>
        </w:tc>
      </w:tr>
      <w:tr w:rsidR="00A83587" w:rsidRPr="00241D72" w14:paraId="03FD7DF6" w14:textId="77777777" w:rsidTr="00283481">
        <w:trPr>
          <w:trHeight w:val="34"/>
        </w:trPr>
        <w:tc>
          <w:tcPr>
            <w:tcW w:w="0" w:type="auto"/>
            <w:shd w:val="clear" w:color="auto" w:fill="auto"/>
            <w:hideMark/>
          </w:tcPr>
          <w:p w14:paraId="4E3AA3D8" w14:textId="77777777"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Benign paroxysmal positional vertigo</w:t>
            </w:r>
          </w:p>
        </w:tc>
        <w:tc>
          <w:tcPr>
            <w:tcW w:w="0" w:type="auto"/>
            <w:shd w:val="clear" w:color="auto" w:fill="auto"/>
            <w:hideMark/>
          </w:tcPr>
          <w:p w14:paraId="3AAC6DCF"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155</w:t>
            </w:r>
          </w:p>
        </w:tc>
      </w:tr>
      <w:tr w:rsidR="00A83587" w:rsidRPr="00241D72" w14:paraId="5CB323D0" w14:textId="77777777" w:rsidTr="00283481">
        <w:trPr>
          <w:trHeight w:val="54"/>
        </w:trPr>
        <w:tc>
          <w:tcPr>
            <w:tcW w:w="0" w:type="auto"/>
            <w:shd w:val="clear" w:color="auto" w:fill="auto"/>
            <w:hideMark/>
          </w:tcPr>
          <w:p w14:paraId="2ED5FF17" w14:textId="77777777"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Vertebrobasilar insufficiency</w:t>
            </w:r>
          </w:p>
        </w:tc>
        <w:tc>
          <w:tcPr>
            <w:tcW w:w="0" w:type="auto"/>
            <w:shd w:val="clear" w:color="auto" w:fill="auto"/>
            <w:hideMark/>
          </w:tcPr>
          <w:p w14:paraId="62A7DC16"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22</w:t>
            </w:r>
          </w:p>
        </w:tc>
      </w:tr>
      <w:tr w:rsidR="00A83587" w:rsidRPr="00241D72" w14:paraId="51B52D6C" w14:textId="77777777" w:rsidTr="00283481">
        <w:trPr>
          <w:trHeight w:val="15"/>
        </w:trPr>
        <w:tc>
          <w:tcPr>
            <w:tcW w:w="0" w:type="auto"/>
            <w:shd w:val="clear" w:color="auto" w:fill="auto"/>
            <w:hideMark/>
          </w:tcPr>
          <w:p w14:paraId="5F71CB03" w14:textId="596132EC" w:rsidR="00A83587" w:rsidRPr="00241D72" w:rsidRDefault="009B30B1" w:rsidP="00283481">
            <w:pPr>
              <w:snapToGrid w:val="0"/>
              <w:rPr>
                <w:rFonts w:asciiTheme="majorBidi" w:hAnsiTheme="majorBidi" w:cstheme="majorBidi"/>
                <w:szCs w:val="24"/>
              </w:rPr>
            </w:pPr>
            <w:r w:rsidRPr="00241D72">
              <w:rPr>
                <w:rFonts w:asciiTheme="majorBidi" w:hAnsiTheme="majorBidi" w:cstheme="majorBidi"/>
                <w:szCs w:val="24"/>
              </w:rPr>
              <w:t xml:space="preserve">Orthostatic </w:t>
            </w:r>
            <w:r w:rsidR="00D603CD" w:rsidRPr="00241D72">
              <w:rPr>
                <w:rFonts w:asciiTheme="majorBidi" w:hAnsiTheme="majorBidi" w:cstheme="majorBidi"/>
                <w:szCs w:val="24"/>
              </w:rPr>
              <w:t>hypotension</w:t>
            </w:r>
          </w:p>
        </w:tc>
        <w:tc>
          <w:tcPr>
            <w:tcW w:w="0" w:type="auto"/>
            <w:shd w:val="clear" w:color="auto" w:fill="auto"/>
            <w:hideMark/>
          </w:tcPr>
          <w:p w14:paraId="2B8613DF"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48</w:t>
            </w:r>
          </w:p>
        </w:tc>
      </w:tr>
      <w:tr w:rsidR="00A83587" w:rsidRPr="00241D72" w14:paraId="1AE9FB1E" w14:textId="77777777" w:rsidTr="00283481">
        <w:trPr>
          <w:trHeight w:val="15"/>
        </w:trPr>
        <w:tc>
          <w:tcPr>
            <w:tcW w:w="0" w:type="auto"/>
            <w:shd w:val="clear" w:color="auto" w:fill="auto"/>
            <w:hideMark/>
          </w:tcPr>
          <w:p w14:paraId="2E9C7927" w14:textId="77777777"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Psychogenic vertigo</w:t>
            </w:r>
          </w:p>
        </w:tc>
        <w:tc>
          <w:tcPr>
            <w:tcW w:w="0" w:type="auto"/>
            <w:shd w:val="clear" w:color="auto" w:fill="auto"/>
            <w:hideMark/>
          </w:tcPr>
          <w:p w14:paraId="43E09CBE"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48</w:t>
            </w:r>
          </w:p>
        </w:tc>
      </w:tr>
      <w:tr w:rsidR="00A83587" w:rsidRPr="00241D72" w14:paraId="731B33C7" w14:textId="77777777" w:rsidTr="00283481">
        <w:trPr>
          <w:trHeight w:val="15"/>
        </w:trPr>
        <w:tc>
          <w:tcPr>
            <w:tcW w:w="0" w:type="auto"/>
            <w:shd w:val="clear" w:color="auto" w:fill="auto"/>
            <w:hideMark/>
          </w:tcPr>
          <w:p w14:paraId="1D537C6D" w14:textId="77777777"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Vestibular neuritis</w:t>
            </w:r>
          </w:p>
        </w:tc>
        <w:tc>
          <w:tcPr>
            <w:tcW w:w="0" w:type="auto"/>
            <w:shd w:val="clear" w:color="auto" w:fill="auto"/>
            <w:hideMark/>
          </w:tcPr>
          <w:p w14:paraId="26D922DD"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16</w:t>
            </w:r>
          </w:p>
        </w:tc>
      </w:tr>
      <w:tr w:rsidR="00A83587" w:rsidRPr="00241D72" w14:paraId="6686D40C" w14:textId="77777777" w:rsidTr="00283481">
        <w:trPr>
          <w:trHeight w:val="33"/>
        </w:trPr>
        <w:tc>
          <w:tcPr>
            <w:tcW w:w="0" w:type="auto"/>
            <w:shd w:val="clear" w:color="auto" w:fill="auto"/>
            <w:hideMark/>
          </w:tcPr>
          <w:p w14:paraId="759E3BAC" w14:textId="77777777"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Perilymph fistula</w:t>
            </w:r>
          </w:p>
        </w:tc>
        <w:tc>
          <w:tcPr>
            <w:tcW w:w="0" w:type="auto"/>
            <w:shd w:val="clear" w:color="auto" w:fill="auto"/>
            <w:hideMark/>
          </w:tcPr>
          <w:p w14:paraId="5264225B"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1</w:t>
            </w:r>
          </w:p>
        </w:tc>
      </w:tr>
      <w:tr w:rsidR="00A83587" w:rsidRPr="00241D72" w14:paraId="18F13664" w14:textId="77777777" w:rsidTr="00283481">
        <w:trPr>
          <w:trHeight w:val="68"/>
        </w:trPr>
        <w:tc>
          <w:tcPr>
            <w:tcW w:w="0" w:type="auto"/>
            <w:shd w:val="clear" w:color="auto" w:fill="auto"/>
            <w:hideMark/>
          </w:tcPr>
          <w:p w14:paraId="5D81CC24" w14:textId="77777777"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Hunt’s syndrome</w:t>
            </w:r>
          </w:p>
        </w:tc>
        <w:tc>
          <w:tcPr>
            <w:tcW w:w="0" w:type="auto"/>
            <w:shd w:val="clear" w:color="auto" w:fill="auto"/>
            <w:hideMark/>
          </w:tcPr>
          <w:p w14:paraId="57815D9D"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1</w:t>
            </w:r>
          </w:p>
        </w:tc>
      </w:tr>
      <w:tr w:rsidR="00A83587" w:rsidRPr="00241D72" w14:paraId="66025ED6" w14:textId="77777777" w:rsidTr="00283481">
        <w:trPr>
          <w:trHeight w:val="88"/>
        </w:trPr>
        <w:tc>
          <w:tcPr>
            <w:tcW w:w="0" w:type="auto"/>
            <w:shd w:val="clear" w:color="auto" w:fill="auto"/>
            <w:hideMark/>
          </w:tcPr>
          <w:p w14:paraId="78C05272" w14:textId="77777777"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Cervical vertigo</w:t>
            </w:r>
          </w:p>
        </w:tc>
        <w:tc>
          <w:tcPr>
            <w:tcW w:w="0" w:type="auto"/>
            <w:shd w:val="clear" w:color="auto" w:fill="auto"/>
            <w:hideMark/>
          </w:tcPr>
          <w:p w14:paraId="0527E17E"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1</w:t>
            </w:r>
          </w:p>
        </w:tc>
      </w:tr>
      <w:tr w:rsidR="00A83587" w:rsidRPr="00241D72" w14:paraId="194F78EB" w14:textId="77777777" w:rsidTr="00283481">
        <w:trPr>
          <w:trHeight w:val="15"/>
        </w:trPr>
        <w:tc>
          <w:tcPr>
            <w:tcW w:w="0" w:type="auto"/>
            <w:shd w:val="clear" w:color="auto" w:fill="auto"/>
            <w:hideMark/>
          </w:tcPr>
          <w:p w14:paraId="03FD1D33" w14:textId="77777777"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Vertigo of central origin</w:t>
            </w:r>
          </w:p>
        </w:tc>
        <w:tc>
          <w:tcPr>
            <w:tcW w:w="0" w:type="auto"/>
            <w:shd w:val="clear" w:color="auto" w:fill="auto"/>
            <w:hideMark/>
          </w:tcPr>
          <w:p w14:paraId="2055DEC2"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4</w:t>
            </w:r>
          </w:p>
        </w:tc>
      </w:tr>
      <w:tr w:rsidR="00A83587" w:rsidRPr="00241D72" w14:paraId="05BF2A73" w14:textId="77777777" w:rsidTr="00283481">
        <w:trPr>
          <w:trHeight w:val="143"/>
        </w:trPr>
        <w:tc>
          <w:tcPr>
            <w:tcW w:w="0" w:type="auto"/>
            <w:shd w:val="clear" w:color="auto" w:fill="auto"/>
            <w:hideMark/>
          </w:tcPr>
          <w:p w14:paraId="18DE8AF1" w14:textId="5258406E"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Motion sickness</w:t>
            </w:r>
            <w:r w:rsidR="009B30B1" w:rsidRPr="00241D72">
              <w:rPr>
                <w:rFonts w:asciiTheme="majorBidi" w:hAnsiTheme="majorBidi" w:cstheme="majorBidi"/>
                <w:szCs w:val="24"/>
              </w:rPr>
              <w:t>(including Mal de debarquement syndrome)</w:t>
            </w:r>
          </w:p>
        </w:tc>
        <w:tc>
          <w:tcPr>
            <w:tcW w:w="0" w:type="auto"/>
            <w:shd w:val="clear" w:color="auto" w:fill="auto"/>
            <w:hideMark/>
          </w:tcPr>
          <w:p w14:paraId="2C85028A"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2</w:t>
            </w:r>
          </w:p>
        </w:tc>
      </w:tr>
      <w:tr w:rsidR="00A83587" w:rsidRPr="00241D72" w14:paraId="5F14ADCB" w14:textId="77777777" w:rsidTr="00283481">
        <w:trPr>
          <w:trHeight w:val="177"/>
        </w:trPr>
        <w:tc>
          <w:tcPr>
            <w:tcW w:w="0" w:type="auto"/>
            <w:shd w:val="clear" w:color="auto" w:fill="auto"/>
            <w:hideMark/>
          </w:tcPr>
          <w:p w14:paraId="11CC27BE" w14:textId="77777777" w:rsidR="00A83587" w:rsidRPr="00241D72" w:rsidRDefault="00A83587" w:rsidP="00283481">
            <w:pPr>
              <w:snapToGrid w:val="0"/>
              <w:rPr>
                <w:rFonts w:asciiTheme="majorBidi" w:hAnsiTheme="majorBidi" w:cstheme="majorBidi"/>
                <w:szCs w:val="24"/>
              </w:rPr>
            </w:pPr>
            <w:r w:rsidRPr="00241D72">
              <w:rPr>
                <w:rFonts w:asciiTheme="majorBidi" w:hAnsiTheme="majorBidi" w:cstheme="majorBidi"/>
                <w:szCs w:val="24"/>
              </w:rPr>
              <w:t>Epilepsy</w:t>
            </w:r>
          </w:p>
        </w:tc>
        <w:tc>
          <w:tcPr>
            <w:tcW w:w="0" w:type="auto"/>
            <w:shd w:val="clear" w:color="auto" w:fill="auto"/>
            <w:hideMark/>
          </w:tcPr>
          <w:p w14:paraId="601D4CB5" w14:textId="77777777" w:rsidR="00A83587" w:rsidRPr="00241D72" w:rsidRDefault="00A83587" w:rsidP="00283481">
            <w:pPr>
              <w:snapToGrid w:val="0"/>
              <w:jc w:val="center"/>
              <w:rPr>
                <w:rFonts w:asciiTheme="majorBidi" w:hAnsiTheme="majorBidi" w:cstheme="majorBidi"/>
                <w:szCs w:val="24"/>
              </w:rPr>
            </w:pPr>
            <w:r w:rsidRPr="00241D72">
              <w:rPr>
                <w:rFonts w:asciiTheme="majorBidi" w:hAnsiTheme="majorBidi" w:cstheme="majorBidi"/>
                <w:szCs w:val="24"/>
              </w:rPr>
              <w:t>3</w:t>
            </w:r>
          </w:p>
        </w:tc>
      </w:tr>
      <w:tr w:rsidR="00A83587" w:rsidRPr="00241D72" w14:paraId="5C041910" w14:textId="77777777" w:rsidTr="00283481">
        <w:trPr>
          <w:trHeight w:val="68"/>
        </w:trPr>
        <w:tc>
          <w:tcPr>
            <w:tcW w:w="0" w:type="auto"/>
            <w:shd w:val="clear" w:color="auto" w:fill="auto"/>
            <w:hideMark/>
          </w:tcPr>
          <w:p w14:paraId="375C301F" w14:textId="52659500" w:rsidR="00A83587" w:rsidRPr="00241D72" w:rsidRDefault="00AE6E68" w:rsidP="00283481">
            <w:pPr>
              <w:snapToGrid w:val="0"/>
              <w:rPr>
                <w:rFonts w:asciiTheme="majorBidi" w:hAnsiTheme="majorBidi" w:cstheme="majorBidi"/>
                <w:szCs w:val="24"/>
                <w:lang w:eastAsia="ja-JP"/>
              </w:rPr>
            </w:pPr>
            <w:r w:rsidRPr="00241D72">
              <w:rPr>
                <w:rFonts w:asciiTheme="majorBidi" w:hAnsiTheme="majorBidi" w:cstheme="majorBidi" w:hint="eastAsia"/>
                <w:szCs w:val="24"/>
                <w:lang w:eastAsia="ja-JP"/>
              </w:rPr>
              <w:t>B</w:t>
            </w:r>
            <w:r w:rsidRPr="00241D72">
              <w:rPr>
                <w:rFonts w:asciiTheme="majorBidi" w:hAnsiTheme="majorBidi" w:cstheme="majorBidi"/>
                <w:szCs w:val="24"/>
                <w:lang w:eastAsia="ja-JP"/>
              </w:rPr>
              <w:t>ilateral vestibulopathy</w:t>
            </w:r>
          </w:p>
        </w:tc>
        <w:tc>
          <w:tcPr>
            <w:tcW w:w="0" w:type="auto"/>
            <w:shd w:val="clear" w:color="auto" w:fill="auto"/>
            <w:hideMark/>
          </w:tcPr>
          <w:p w14:paraId="66AED3E6" w14:textId="0F35ADEA" w:rsidR="00A83587" w:rsidRPr="00241D72" w:rsidRDefault="00AE6E68" w:rsidP="00283481">
            <w:pPr>
              <w:snapToGrid w:val="0"/>
              <w:jc w:val="center"/>
              <w:rPr>
                <w:rFonts w:asciiTheme="majorBidi" w:hAnsiTheme="majorBidi" w:cstheme="majorBidi"/>
                <w:szCs w:val="24"/>
                <w:lang w:eastAsia="ja-JP"/>
              </w:rPr>
            </w:pPr>
            <w:r w:rsidRPr="00241D72">
              <w:rPr>
                <w:rFonts w:asciiTheme="majorBidi" w:hAnsiTheme="majorBidi" w:cstheme="majorBidi" w:hint="eastAsia"/>
                <w:szCs w:val="24"/>
                <w:lang w:eastAsia="ja-JP"/>
              </w:rPr>
              <w:t>0</w:t>
            </w:r>
          </w:p>
        </w:tc>
      </w:tr>
      <w:tr w:rsidR="009B30B1" w:rsidRPr="00241D72" w14:paraId="22B5B411" w14:textId="77777777" w:rsidTr="00283481">
        <w:trPr>
          <w:trHeight w:val="68"/>
        </w:trPr>
        <w:tc>
          <w:tcPr>
            <w:tcW w:w="0" w:type="auto"/>
            <w:shd w:val="clear" w:color="auto" w:fill="auto"/>
          </w:tcPr>
          <w:p w14:paraId="4C78FE55" w14:textId="5B03E514" w:rsidR="009B30B1" w:rsidRPr="00241D72" w:rsidRDefault="009B30B1" w:rsidP="00283481">
            <w:pPr>
              <w:snapToGrid w:val="0"/>
              <w:rPr>
                <w:rFonts w:asciiTheme="majorBidi" w:hAnsiTheme="majorBidi" w:cstheme="majorBidi"/>
                <w:szCs w:val="24"/>
              </w:rPr>
            </w:pPr>
            <w:r w:rsidRPr="00241D72">
              <w:rPr>
                <w:rFonts w:asciiTheme="majorBidi" w:hAnsiTheme="majorBidi" w:cstheme="majorBidi"/>
                <w:szCs w:val="24"/>
              </w:rPr>
              <w:t>Others (unknown)</w:t>
            </w:r>
          </w:p>
        </w:tc>
        <w:tc>
          <w:tcPr>
            <w:tcW w:w="0" w:type="auto"/>
            <w:shd w:val="clear" w:color="auto" w:fill="auto"/>
          </w:tcPr>
          <w:p w14:paraId="58C1ED33" w14:textId="7B875B36" w:rsidR="009B30B1" w:rsidRPr="00241D72" w:rsidRDefault="009B30B1" w:rsidP="00283481">
            <w:pPr>
              <w:snapToGrid w:val="0"/>
              <w:jc w:val="center"/>
              <w:rPr>
                <w:rFonts w:asciiTheme="majorBidi" w:hAnsiTheme="majorBidi" w:cstheme="majorBidi"/>
                <w:szCs w:val="24"/>
              </w:rPr>
            </w:pPr>
            <w:r w:rsidRPr="00241D72">
              <w:rPr>
                <w:rFonts w:asciiTheme="majorBidi" w:hAnsiTheme="majorBidi" w:cstheme="majorBidi"/>
                <w:szCs w:val="24"/>
              </w:rPr>
              <w:t>165</w:t>
            </w:r>
          </w:p>
        </w:tc>
      </w:tr>
      <w:bookmarkEnd w:id="2"/>
    </w:tbl>
    <w:p w14:paraId="76074FAE" w14:textId="77777777" w:rsidR="00D14D04" w:rsidRPr="00241D72" w:rsidRDefault="00D14D04" w:rsidP="00D14D04">
      <w:pPr>
        <w:tabs>
          <w:tab w:val="left" w:pos="6164"/>
        </w:tabs>
      </w:pPr>
    </w:p>
    <w:p w14:paraId="4583F05C" w14:textId="77777777" w:rsidR="00D14D04" w:rsidRPr="00241D72" w:rsidRDefault="00D14D04">
      <w:pPr>
        <w:spacing w:before="0" w:after="200" w:line="276" w:lineRule="auto"/>
        <w:rPr>
          <w:rFonts w:eastAsia="Cambria" w:cs="Times New Roman"/>
          <w:b/>
          <w:szCs w:val="24"/>
        </w:rPr>
      </w:pPr>
      <w:r w:rsidRPr="00241D72">
        <w:br w:type="page"/>
      </w:r>
    </w:p>
    <w:p w14:paraId="1188BAA7" w14:textId="77130C7F" w:rsidR="00D14D04" w:rsidRPr="00241D72" w:rsidRDefault="00D14D04" w:rsidP="00D14D04">
      <w:pPr>
        <w:pStyle w:val="1"/>
      </w:pPr>
      <w:r w:rsidRPr="00241D72">
        <w:lastRenderedPageBreak/>
        <w:t xml:space="preserve">Supplementary Figure 1. </w:t>
      </w:r>
      <w:r w:rsidRPr="00241D72">
        <w:rPr>
          <w:b w:val="0"/>
          <w:bCs/>
        </w:rPr>
        <w:t>Bland-Altman analysis</w:t>
      </w:r>
    </w:p>
    <w:p w14:paraId="0CC690D0" w14:textId="77777777" w:rsidR="00D14D04" w:rsidRPr="00241D72" w:rsidRDefault="00D14D04" w:rsidP="00D14D04">
      <w:pPr>
        <w:rPr>
          <w:szCs w:val="24"/>
        </w:rPr>
      </w:pPr>
      <w:r w:rsidRPr="00241D72">
        <w:rPr>
          <w:szCs w:val="24"/>
        </w:rPr>
        <w:t xml:space="preserve">Bland-Altman analysis with test-retest intervals was performed to discern test-retest effects of clinical changes. (a)    DHI,  DHI-P, DHI-E, DHI-F (b) HADS-A, HADS-D, (c) OD, (d) Motion sickness, (e) ESS, (f) RR-area, RR-length, (g) Asymmetry ratio calculated from cVEMP amplitude, (h) CP% calculated from Caloric test. </w:t>
      </w:r>
    </w:p>
    <w:p w14:paraId="0D8B1F05" w14:textId="12409E5D" w:rsidR="004D3154" w:rsidRPr="00241D72" w:rsidRDefault="004D3154" w:rsidP="004D3154">
      <w:r w:rsidRPr="00241D72">
        <w:t xml:space="preserve">Abbreviations: DHI: Dizziness Handicap Inventory; </w:t>
      </w:r>
      <w:r w:rsidRPr="00241D72">
        <w:rPr>
          <w:szCs w:val="24"/>
        </w:rPr>
        <w:t>DHI-P</w:t>
      </w:r>
      <w:r w:rsidR="003155A7">
        <w:rPr>
          <w:szCs w:val="24"/>
        </w:rPr>
        <w:t>:</w:t>
      </w:r>
      <w:r w:rsidRPr="00241D72">
        <w:rPr>
          <w:szCs w:val="24"/>
        </w:rPr>
        <w:t xml:space="preserve"> </w:t>
      </w:r>
      <w:r w:rsidR="001B30B5" w:rsidRPr="00241D72">
        <w:t>Dizziness Handicap Inventory</w:t>
      </w:r>
      <w:r w:rsidR="003155A7">
        <w:t xml:space="preserve">- </w:t>
      </w:r>
      <w:r w:rsidR="001B30B5">
        <w:rPr>
          <w:lang w:eastAsia="ja-JP"/>
        </w:rPr>
        <w:t>Physical</w:t>
      </w:r>
      <w:r w:rsidRPr="00241D72">
        <w:rPr>
          <w:szCs w:val="24"/>
        </w:rPr>
        <w:t>;</w:t>
      </w:r>
      <w:r w:rsidR="003155A7">
        <w:rPr>
          <w:szCs w:val="24"/>
        </w:rPr>
        <w:t xml:space="preserve"> </w:t>
      </w:r>
      <w:r w:rsidRPr="00241D72">
        <w:rPr>
          <w:szCs w:val="24"/>
        </w:rPr>
        <w:t>DHI-E</w:t>
      </w:r>
      <w:r w:rsidR="003155A7">
        <w:rPr>
          <w:szCs w:val="24"/>
        </w:rPr>
        <w:t>:</w:t>
      </w:r>
      <w:r w:rsidR="001B30B5" w:rsidRPr="001B30B5">
        <w:t xml:space="preserve"> </w:t>
      </w:r>
      <w:r w:rsidR="001B30B5" w:rsidRPr="00241D72">
        <w:t>Dizziness Handicap Inventory</w:t>
      </w:r>
      <w:r w:rsidR="003155A7">
        <w:t xml:space="preserve">- </w:t>
      </w:r>
      <w:r w:rsidR="001B30B5">
        <w:t>Emotional</w:t>
      </w:r>
      <w:r w:rsidRPr="00241D72">
        <w:rPr>
          <w:szCs w:val="24"/>
        </w:rPr>
        <w:t>;</w:t>
      </w:r>
      <w:r w:rsidR="003155A7">
        <w:rPr>
          <w:szCs w:val="24"/>
        </w:rPr>
        <w:t xml:space="preserve"> </w:t>
      </w:r>
      <w:r w:rsidRPr="00241D72">
        <w:rPr>
          <w:szCs w:val="24"/>
        </w:rPr>
        <w:t>DHI-F</w:t>
      </w:r>
      <w:r w:rsidR="003155A7">
        <w:rPr>
          <w:szCs w:val="24"/>
        </w:rPr>
        <w:t>:</w:t>
      </w:r>
      <w:r w:rsidR="001B30B5" w:rsidRPr="001B30B5">
        <w:t xml:space="preserve"> </w:t>
      </w:r>
      <w:r w:rsidR="001B30B5" w:rsidRPr="00241D72">
        <w:t>Dizziness Handicap Inventory</w:t>
      </w:r>
      <w:r w:rsidR="003155A7">
        <w:t>-</w:t>
      </w:r>
      <w:r w:rsidR="001B30B5">
        <w:t>Functional</w:t>
      </w:r>
      <w:r w:rsidRPr="00241D72">
        <w:rPr>
          <w:szCs w:val="24"/>
        </w:rPr>
        <w:t xml:space="preserve">; </w:t>
      </w:r>
      <w:r w:rsidRPr="00241D72">
        <w:t>HADS-A: Hospital Anxiety and Depression Scale</w:t>
      </w:r>
      <w:r w:rsidR="003155A7">
        <w:t>-Anxiety</w:t>
      </w:r>
      <w:r w:rsidRPr="00241D72">
        <w:t>; HADS-D</w:t>
      </w:r>
      <w:r w:rsidR="003155A7">
        <w:t xml:space="preserve">: </w:t>
      </w:r>
      <w:r w:rsidR="003155A7" w:rsidRPr="003155A7">
        <w:t>Hospital Anxiety and Depression Scale-</w:t>
      </w:r>
      <w:r w:rsidR="003155A7">
        <w:t>Depression</w:t>
      </w:r>
      <w:r w:rsidRPr="00241D72">
        <w:t>;</w:t>
      </w:r>
      <w:r w:rsidR="003155A7">
        <w:t xml:space="preserve"> </w:t>
      </w:r>
      <w:r w:rsidRPr="00241D72">
        <w:t xml:space="preserve">OD: orthostatic dysregulation; ESS: Epworth Sleepiness Scale; RR: Romberg ratios; cVEMP: cervical vestibular-evoked myogenic potential; CP%, canal paresis </w:t>
      </w:r>
      <w:r w:rsidR="008A5099">
        <w:t>percentage</w:t>
      </w:r>
      <w:r w:rsidRPr="00241D72">
        <w:t xml:space="preserve"> </w:t>
      </w:r>
    </w:p>
    <w:p w14:paraId="456D56A2" w14:textId="26725F81" w:rsidR="004D3154" w:rsidRPr="00241D72" w:rsidRDefault="004D3154" w:rsidP="00D14D04">
      <w:pPr>
        <w:rPr>
          <w:szCs w:val="24"/>
        </w:rPr>
        <w:sectPr w:rsidR="004D3154" w:rsidRPr="00241D72" w:rsidSect="0093429D">
          <w:headerReference w:type="even" r:id="rId13"/>
          <w:headerReference w:type="default"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pPr>
    </w:p>
    <w:p w14:paraId="0E95ED01" w14:textId="5E714641" w:rsidR="00FB0C6E" w:rsidRPr="00241D72" w:rsidRDefault="00FB0C6E" w:rsidP="00FB0C6E"/>
    <w:p w14:paraId="28B1EB90" w14:textId="51F8AB0A" w:rsidR="00FB0C6E" w:rsidRPr="00241D72" w:rsidRDefault="00FB0C6E" w:rsidP="00FB0C6E">
      <w:pPr>
        <w:pStyle w:val="1"/>
      </w:pPr>
      <w:r w:rsidRPr="00241D72">
        <w:t>References</w:t>
      </w:r>
    </w:p>
    <w:p w14:paraId="19F6F563" w14:textId="77777777"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1. </w:t>
      </w:r>
      <w:r w:rsidRPr="00241D72">
        <w:rPr>
          <w:rFonts w:cs="Times New Roman"/>
          <w:szCs w:val="24"/>
        </w:rPr>
        <w:tab/>
        <w:t xml:space="preserve">Jacobson GP, Newman CW. The development of the Dizziness Handicap Inventory. </w:t>
      </w:r>
      <w:r w:rsidRPr="00241D72">
        <w:rPr>
          <w:rFonts w:cs="Times New Roman"/>
          <w:i/>
          <w:iCs/>
          <w:szCs w:val="24"/>
        </w:rPr>
        <w:t>Arch Otolaryngol Head Neck Surg</w:t>
      </w:r>
      <w:r w:rsidRPr="00241D72">
        <w:rPr>
          <w:rFonts w:cs="Times New Roman"/>
          <w:szCs w:val="24"/>
        </w:rPr>
        <w:t xml:space="preserve"> (1990) </w:t>
      </w:r>
      <w:r w:rsidRPr="00241D72">
        <w:rPr>
          <w:rFonts w:cs="Times New Roman"/>
          <w:b/>
          <w:bCs/>
          <w:szCs w:val="24"/>
        </w:rPr>
        <w:t>116</w:t>
      </w:r>
      <w:r w:rsidRPr="00241D72">
        <w:rPr>
          <w:rFonts w:cs="Times New Roman"/>
          <w:szCs w:val="24"/>
        </w:rPr>
        <w:t>:424–7.</w:t>
      </w:r>
    </w:p>
    <w:p w14:paraId="32309E13" w14:textId="77777777"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2. </w:t>
      </w:r>
      <w:r w:rsidRPr="00241D72">
        <w:rPr>
          <w:rFonts w:cs="Times New Roman"/>
          <w:szCs w:val="24"/>
        </w:rPr>
        <w:tab/>
        <w:t xml:space="preserve">Zigmond AS, Snaith RP. The hospital anxiety and depression scale. </w:t>
      </w:r>
      <w:r w:rsidRPr="00241D72">
        <w:rPr>
          <w:rFonts w:cs="Times New Roman"/>
          <w:i/>
          <w:iCs/>
          <w:szCs w:val="24"/>
        </w:rPr>
        <w:t>Acta Psychiatr Scand</w:t>
      </w:r>
      <w:r w:rsidRPr="00241D72">
        <w:rPr>
          <w:rFonts w:cs="Times New Roman"/>
          <w:szCs w:val="24"/>
        </w:rPr>
        <w:t xml:space="preserve"> (1983) </w:t>
      </w:r>
      <w:r w:rsidRPr="00241D72">
        <w:rPr>
          <w:rFonts w:cs="Times New Roman"/>
          <w:b/>
          <w:bCs/>
          <w:szCs w:val="24"/>
        </w:rPr>
        <w:t>67</w:t>
      </w:r>
      <w:r w:rsidRPr="00241D72">
        <w:rPr>
          <w:rFonts w:cs="Times New Roman"/>
          <w:szCs w:val="24"/>
        </w:rPr>
        <w:t>:361–70.</w:t>
      </w:r>
    </w:p>
    <w:p w14:paraId="0E2D00D8" w14:textId="00EB6F24"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3. </w:t>
      </w:r>
      <w:r w:rsidRPr="00241D72">
        <w:rPr>
          <w:rFonts w:cs="Times New Roman"/>
          <w:szCs w:val="24"/>
        </w:rPr>
        <w:tab/>
        <w:t xml:space="preserve">Okuni M. Orthostatic dysregulation in childhood with special reference to the standing electrocardiogram : Conference on Neurocirculatory Asthenia &amp; Allied Diseases and Orthostatic Hypotensive Diseases. </w:t>
      </w:r>
      <w:r w:rsidRPr="00241D72">
        <w:rPr>
          <w:rFonts w:cs="Times New Roman"/>
          <w:i/>
          <w:iCs/>
          <w:szCs w:val="24"/>
        </w:rPr>
        <w:t>Jpn Circ J</w:t>
      </w:r>
      <w:r w:rsidRPr="00241D72">
        <w:rPr>
          <w:rFonts w:cs="Times New Roman"/>
          <w:szCs w:val="24"/>
        </w:rPr>
        <w:t xml:space="preserve"> (1963) </w:t>
      </w:r>
      <w:r w:rsidRPr="00241D72">
        <w:rPr>
          <w:rFonts w:cs="Times New Roman"/>
          <w:b/>
          <w:bCs/>
          <w:szCs w:val="24"/>
        </w:rPr>
        <w:t>27</w:t>
      </w:r>
      <w:r w:rsidRPr="00241D72">
        <w:rPr>
          <w:rFonts w:cs="Times New Roman"/>
          <w:szCs w:val="24"/>
        </w:rPr>
        <w:t>:200–4. doi:10.1253/jcj.27.200</w:t>
      </w:r>
    </w:p>
    <w:p w14:paraId="6F860BF3" w14:textId="79238E80"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4. </w:t>
      </w:r>
      <w:r w:rsidRPr="00241D72">
        <w:rPr>
          <w:rFonts w:cs="Times New Roman"/>
          <w:szCs w:val="24"/>
        </w:rPr>
        <w:tab/>
        <w:t xml:space="preserve">Tanaka H, Fujita Y, Takenaka Y, Kajiwara S, Masutani S, Ishizaki Y, et al. Japanese clinical guidelines for juvenile orthostatic dysregulation version 1. </w:t>
      </w:r>
      <w:r w:rsidRPr="00241D72">
        <w:rPr>
          <w:rFonts w:cs="Times New Roman"/>
          <w:i/>
          <w:iCs/>
          <w:szCs w:val="24"/>
        </w:rPr>
        <w:t>Pediatr Int</w:t>
      </w:r>
      <w:r w:rsidRPr="00241D72">
        <w:rPr>
          <w:rFonts w:cs="Times New Roman"/>
          <w:szCs w:val="24"/>
        </w:rPr>
        <w:t xml:space="preserve"> (2009) </w:t>
      </w:r>
      <w:r w:rsidRPr="00241D72">
        <w:rPr>
          <w:rFonts w:cs="Times New Roman"/>
          <w:b/>
          <w:bCs/>
          <w:szCs w:val="24"/>
        </w:rPr>
        <w:t>51</w:t>
      </w:r>
      <w:r w:rsidRPr="00241D72">
        <w:rPr>
          <w:rFonts w:cs="Times New Roman"/>
          <w:szCs w:val="24"/>
        </w:rPr>
        <w:t>:169–79. doi:10.1111/j.1442-200X.2008.02783.x</w:t>
      </w:r>
    </w:p>
    <w:p w14:paraId="04854CF0" w14:textId="77777777"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5. </w:t>
      </w:r>
      <w:r w:rsidRPr="00241D72">
        <w:rPr>
          <w:rFonts w:cs="Times New Roman"/>
          <w:szCs w:val="24"/>
        </w:rPr>
        <w:tab/>
        <w:t xml:space="preserve">Graybiel A, Wood CD, Miller EF, Cramer DB. Diagnostic criteria for grading the severity of acute motion sickness. </w:t>
      </w:r>
      <w:r w:rsidRPr="00241D72">
        <w:rPr>
          <w:rFonts w:cs="Times New Roman"/>
          <w:i/>
          <w:iCs/>
          <w:szCs w:val="24"/>
        </w:rPr>
        <w:t>Aerosp Med</w:t>
      </w:r>
      <w:r w:rsidRPr="00241D72">
        <w:rPr>
          <w:rFonts w:cs="Times New Roman"/>
          <w:szCs w:val="24"/>
        </w:rPr>
        <w:t xml:space="preserve"> (1968) </w:t>
      </w:r>
      <w:r w:rsidRPr="00241D72">
        <w:rPr>
          <w:rFonts w:cs="Times New Roman"/>
          <w:b/>
          <w:bCs/>
          <w:szCs w:val="24"/>
        </w:rPr>
        <w:t>39</w:t>
      </w:r>
      <w:r w:rsidRPr="00241D72">
        <w:rPr>
          <w:rFonts w:cs="Times New Roman"/>
          <w:szCs w:val="24"/>
        </w:rPr>
        <w:t>:453–5.</w:t>
      </w:r>
    </w:p>
    <w:p w14:paraId="08E536C8" w14:textId="0A112EDD"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6. </w:t>
      </w:r>
      <w:r w:rsidRPr="00241D72">
        <w:rPr>
          <w:rFonts w:cs="Times New Roman"/>
          <w:szCs w:val="24"/>
        </w:rPr>
        <w:tab/>
        <w:t xml:space="preserve">Takegami M, Suzukamo Y, Wakita T, Noguchi H, Chin K, Kadotani H, et al. Development of a Japanese version of the Epworth Sleepiness Scale (JESS) based on Item Response Theory. </w:t>
      </w:r>
      <w:r w:rsidRPr="00241D72">
        <w:rPr>
          <w:rFonts w:cs="Times New Roman"/>
          <w:i/>
          <w:iCs/>
          <w:szCs w:val="24"/>
        </w:rPr>
        <w:t>Sleep Med</w:t>
      </w:r>
      <w:r w:rsidRPr="00241D72">
        <w:rPr>
          <w:rFonts w:cs="Times New Roman"/>
          <w:szCs w:val="24"/>
        </w:rPr>
        <w:t xml:space="preserve"> (2009) </w:t>
      </w:r>
      <w:r w:rsidRPr="00241D72">
        <w:rPr>
          <w:rFonts w:cs="Times New Roman"/>
          <w:b/>
          <w:bCs/>
          <w:szCs w:val="24"/>
        </w:rPr>
        <w:t>10</w:t>
      </w:r>
      <w:r w:rsidRPr="00241D72">
        <w:rPr>
          <w:rFonts w:cs="Times New Roman"/>
          <w:szCs w:val="24"/>
        </w:rPr>
        <w:t>:556–65. doi:10.1016/j.sleep.2008.04.015</w:t>
      </w:r>
    </w:p>
    <w:p w14:paraId="5C7354D8" w14:textId="77777777"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7. </w:t>
      </w:r>
      <w:r w:rsidRPr="00241D72">
        <w:rPr>
          <w:rFonts w:cs="Times New Roman"/>
          <w:szCs w:val="24"/>
        </w:rPr>
        <w:tab/>
        <w:t xml:space="preserve">Tjernström F, Björklund M, Malmström E-M. Romberg ratio in quiet stance posturography—Test to retest reliability. </w:t>
      </w:r>
      <w:r w:rsidRPr="00241D72">
        <w:rPr>
          <w:rFonts w:cs="Times New Roman"/>
          <w:i/>
          <w:iCs/>
          <w:szCs w:val="24"/>
        </w:rPr>
        <w:t>Gait Posture</w:t>
      </w:r>
      <w:r w:rsidRPr="00241D72">
        <w:rPr>
          <w:rFonts w:cs="Times New Roman"/>
          <w:szCs w:val="24"/>
        </w:rPr>
        <w:t xml:space="preserve"> (2015) </w:t>
      </w:r>
      <w:r w:rsidRPr="00241D72">
        <w:rPr>
          <w:rFonts w:cs="Times New Roman"/>
          <w:b/>
          <w:bCs/>
          <w:szCs w:val="24"/>
        </w:rPr>
        <w:t>42</w:t>
      </w:r>
      <w:r w:rsidRPr="00241D72">
        <w:rPr>
          <w:rFonts w:cs="Times New Roman"/>
          <w:szCs w:val="24"/>
        </w:rPr>
        <w:t>:27–31. doi:10.1016/j.gaitpost.2014.12.007</w:t>
      </w:r>
    </w:p>
    <w:p w14:paraId="4F8AD987" w14:textId="77777777"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8. </w:t>
      </w:r>
      <w:r w:rsidRPr="00241D72">
        <w:rPr>
          <w:rFonts w:cs="Times New Roman"/>
          <w:szCs w:val="24"/>
        </w:rPr>
        <w:tab/>
        <w:t xml:space="preserve">Murofushi T, Kaga K. </w:t>
      </w:r>
      <w:r w:rsidRPr="00241D72">
        <w:rPr>
          <w:rFonts w:cs="Times New Roman"/>
          <w:i/>
          <w:iCs/>
          <w:szCs w:val="24"/>
        </w:rPr>
        <w:t>Vestibular evoked myogenic potential : its basics and clinical applications.</w:t>
      </w:r>
      <w:r w:rsidRPr="00241D72">
        <w:rPr>
          <w:rFonts w:cs="Times New Roman"/>
          <w:szCs w:val="24"/>
        </w:rPr>
        <w:t xml:space="preserve"> Tokyo: Springer Japan (2009). doi:10.1007/978-4-431-85908-6</w:t>
      </w:r>
    </w:p>
    <w:p w14:paraId="1CC801F0" w14:textId="503F952C"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9. </w:t>
      </w:r>
      <w:r w:rsidRPr="00241D72">
        <w:rPr>
          <w:rFonts w:cs="Times New Roman"/>
          <w:szCs w:val="24"/>
        </w:rPr>
        <w:tab/>
        <w:t xml:space="preserve">Jongkees LBW, Maas JPM, Philipszoon AJ. Clinical </w:t>
      </w:r>
      <w:r w:rsidR="00D43166" w:rsidRPr="00241D72">
        <w:rPr>
          <w:rFonts w:cs="Times New Roman"/>
          <w:szCs w:val="24"/>
        </w:rPr>
        <w:t>n</w:t>
      </w:r>
      <w:r w:rsidRPr="00241D72">
        <w:rPr>
          <w:rFonts w:cs="Times New Roman"/>
          <w:szCs w:val="24"/>
        </w:rPr>
        <w:t xml:space="preserve">ystagmography. </w:t>
      </w:r>
      <w:r w:rsidRPr="00241D72">
        <w:rPr>
          <w:rFonts w:cs="Times New Roman"/>
          <w:i/>
          <w:iCs/>
          <w:szCs w:val="24"/>
        </w:rPr>
        <w:t>ORL</w:t>
      </w:r>
      <w:r w:rsidRPr="00241D72">
        <w:rPr>
          <w:rFonts w:cs="Times New Roman"/>
          <w:szCs w:val="24"/>
        </w:rPr>
        <w:t xml:space="preserve"> (1962) </w:t>
      </w:r>
      <w:r w:rsidRPr="00241D72">
        <w:rPr>
          <w:rFonts w:cs="Times New Roman"/>
          <w:b/>
          <w:bCs/>
          <w:szCs w:val="24"/>
        </w:rPr>
        <w:t>24</w:t>
      </w:r>
      <w:r w:rsidRPr="00241D72">
        <w:rPr>
          <w:rFonts w:cs="Times New Roman"/>
          <w:szCs w:val="24"/>
        </w:rPr>
        <w:t>:65–93. doi:10.1159/000274383</w:t>
      </w:r>
    </w:p>
    <w:p w14:paraId="58CF70E5" w14:textId="77777777"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10. </w:t>
      </w:r>
      <w:r w:rsidRPr="00241D72">
        <w:rPr>
          <w:rFonts w:cs="Times New Roman"/>
          <w:szCs w:val="24"/>
        </w:rPr>
        <w:tab/>
        <w:t xml:space="preserve">Schellong F, Lüderitz B. </w:t>
      </w:r>
      <w:r w:rsidRPr="00241D72">
        <w:rPr>
          <w:rFonts w:cs="Times New Roman"/>
          <w:i/>
          <w:iCs/>
          <w:szCs w:val="24"/>
        </w:rPr>
        <w:t>Regulationsprüfung des Kreislaufs funktionelle Differentialdiagnose von Herz- und Gefässstörungen,</w:t>
      </w:r>
      <w:r w:rsidRPr="00241D72">
        <w:rPr>
          <w:rFonts w:cs="Times New Roman"/>
          <w:szCs w:val="24"/>
        </w:rPr>
        <w:t>. Berlin: Steinkopff (1954).</w:t>
      </w:r>
    </w:p>
    <w:p w14:paraId="4BC6855C" w14:textId="324A9E5D" w:rsidR="00D603CD" w:rsidRPr="00241D72" w:rsidRDefault="00D603CD" w:rsidP="00D603CD">
      <w:pPr>
        <w:autoSpaceDE w:val="0"/>
        <w:autoSpaceDN w:val="0"/>
        <w:adjustRightInd w:val="0"/>
        <w:spacing w:before="100" w:after="100"/>
        <w:ind w:left="640" w:hanging="640"/>
        <w:rPr>
          <w:rFonts w:cs="Times New Roman"/>
          <w:szCs w:val="24"/>
        </w:rPr>
      </w:pPr>
      <w:r w:rsidRPr="00241D72">
        <w:rPr>
          <w:rFonts w:cs="Times New Roman"/>
          <w:szCs w:val="24"/>
        </w:rPr>
        <w:t xml:space="preserve">11. </w:t>
      </w:r>
      <w:r w:rsidRPr="00241D72">
        <w:rPr>
          <w:rFonts w:cs="Times New Roman"/>
          <w:szCs w:val="24"/>
        </w:rPr>
        <w:tab/>
        <w:t xml:space="preserve">Fedorowski A, Melander O. Syndromes of orthostatic intolerance: a hidden danger. </w:t>
      </w:r>
      <w:r w:rsidRPr="00241D72">
        <w:rPr>
          <w:rFonts w:cs="Times New Roman"/>
          <w:i/>
          <w:iCs/>
          <w:szCs w:val="24"/>
        </w:rPr>
        <w:t>J Intern Med</w:t>
      </w:r>
      <w:r w:rsidRPr="00241D72">
        <w:rPr>
          <w:rFonts w:cs="Times New Roman"/>
          <w:szCs w:val="24"/>
        </w:rPr>
        <w:t xml:space="preserve"> (2013) </w:t>
      </w:r>
      <w:r w:rsidRPr="00241D72">
        <w:rPr>
          <w:rFonts w:cs="Times New Roman"/>
          <w:b/>
          <w:bCs/>
          <w:szCs w:val="24"/>
        </w:rPr>
        <w:t>273</w:t>
      </w:r>
      <w:r w:rsidRPr="00241D72">
        <w:rPr>
          <w:rFonts w:cs="Times New Roman"/>
          <w:szCs w:val="24"/>
        </w:rPr>
        <w:t>:322–35. doi:10.1111/joim.12021</w:t>
      </w:r>
    </w:p>
    <w:p w14:paraId="7B65BC41" w14:textId="699398B6" w:rsidR="00DE23E8" w:rsidRPr="00241D72" w:rsidRDefault="00DE23E8" w:rsidP="00FB0C6E">
      <w:pPr>
        <w:spacing w:before="100" w:beforeAutospacing="1" w:after="100" w:afterAutospacing="1"/>
        <w:jc w:val="both"/>
      </w:pPr>
    </w:p>
    <w:sectPr w:rsidR="00DE23E8" w:rsidRPr="00241D72" w:rsidSect="00FB0C6E">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AA692" w14:textId="77777777" w:rsidR="00B64467" w:rsidRDefault="00B64467" w:rsidP="00117666">
      <w:pPr>
        <w:spacing w:after="0"/>
      </w:pPr>
      <w:r>
        <w:separator/>
      </w:r>
    </w:p>
  </w:endnote>
  <w:endnote w:type="continuationSeparator" w:id="0">
    <w:p w14:paraId="2A03CB98" w14:textId="77777777" w:rsidR="00B64467" w:rsidRDefault="00B6446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283481" w:rsidRPr="00577C4C" w:rsidRDefault="00283481">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283481" w:rsidRPr="00577C4C" w:rsidRDefault="0028348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283481" w:rsidRPr="00577C4C" w:rsidRDefault="0028348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283481" w:rsidRPr="00241D72" w:rsidRDefault="00283481">
    <w:pPr>
      <w:rPr>
        <w:b/>
        <w:sz w:val="20"/>
        <w:szCs w:val="24"/>
      </w:rPr>
    </w:pPr>
    <w:r w:rsidRPr="00241D72">
      <w:rPr>
        <w:noProof/>
        <w:lang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283481" w:rsidRPr="00577C4C" w:rsidRDefault="0028348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283481" w:rsidRPr="00577C4C" w:rsidRDefault="0028348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EDB5" w14:textId="77777777" w:rsidR="00D14D04" w:rsidRPr="00577C4C" w:rsidRDefault="00D14D04">
    <w:pPr>
      <w:rPr>
        <w:color w:val="C00000"/>
        <w:szCs w:val="24"/>
      </w:rPr>
    </w:pPr>
    <w:r>
      <w:rPr>
        <w:noProof/>
        <w:lang w:val="en-GB" w:eastAsia="en-GB"/>
      </w:rPr>
      <mc:AlternateContent>
        <mc:Choice Requires="wps">
          <w:drawing>
            <wp:anchor distT="0" distB="0" distL="114300" distR="114300" simplePos="0" relativeHeight="251662336" behindDoc="0" locked="0" layoutInCell="1" allowOverlap="1" wp14:anchorId="6A8F122D" wp14:editId="0DB93406">
              <wp:simplePos x="0" y="0"/>
              <wp:positionH relativeFrom="margin">
                <wp:align>right</wp:align>
              </wp:positionH>
              <wp:positionV relativeFrom="bottomMargin">
                <wp:align>top</wp:align>
              </wp:positionV>
              <wp:extent cx="1508760" cy="3956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EA16703" w14:textId="77777777" w:rsidR="00D14D04" w:rsidRPr="00577C4C" w:rsidRDefault="00D14D0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8F122D" id="_x0000_t202" coordsize="21600,21600" o:spt="202" path="m,l,21600r21600,l21600,xe">
              <v:stroke joinstyle="miter"/>
              <v:path gradientshapeok="t" o:connecttype="rect"/>
            </v:shapetype>
            <v:shape id="Text Box 3" o:spid="_x0000_s1028"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ll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2NKNFMo&#10;0Va0nnyFloxDdRrjMkzaGEzzLW6jyv2+w81Aui2tCl+kQzCOdT5dahvAeDg0Te/vZhjiGBs/TGfp&#10;NMAkH6eNdf6bAEWCkVOL2sWSsuPa+S61TwmXaVjVUkb9pCZNTmfjaRoPXCIILnXIFbETzjCBUffy&#10;YPl210b+o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Bne2llNgIAAGYEAAAOAAAAAAAAAAAAAAAAAC4C&#10;AABkcnMvZTJvRG9jLnhtbFBLAQItABQABgAIAAAAIQA4sBLD2QAAAAQBAAAPAAAAAAAAAAAAAAAA&#10;AJAEAABkcnMvZG93bnJldi54bWxQSwUGAAAAAAQABADzAAAAlgUAAAAA&#10;" filled="f" stroked="f" strokeweight=".5pt">
              <v:textbox style="mso-fit-shape-to-text:t">
                <w:txbxContent>
                  <w:p w14:paraId="0EA16703" w14:textId="77777777" w:rsidR="00D14D04" w:rsidRPr="00577C4C" w:rsidRDefault="00D14D0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D41ED" w14:textId="77777777" w:rsidR="00D14D04" w:rsidRPr="00241D72" w:rsidRDefault="00D14D04">
    <w:pPr>
      <w:rPr>
        <w:b/>
        <w:sz w:val="20"/>
        <w:szCs w:val="24"/>
      </w:rPr>
    </w:pPr>
    <w:r w:rsidRPr="00241D72">
      <w:rPr>
        <w:noProof/>
        <w:lang w:eastAsia="en-GB"/>
      </w:rPr>
      <mc:AlternateContent>
        <mc:Choice Requires="wps">
          <w:drawing>
            <wp:anchor distT="0" distB="0" distL="114300" distR="114300" simplePos="0" relativeHeight="251661312" behindDoc="0" locked="0" layoutInCell="1" allowOverlap="1" wp14:anchorId="150D7E55" wp14:editId="41B4468A">
              <wp:simplePos x="0" y="0"/>
              <wp:positionH relativeFrom="margin">
                <wp:align>right</wp:align>
              </wp:positionH>
              <wp:positionV relativeFrom="bottomMargin">
                <wp:align>top</wp:align>
              </wp:positionV>
              <wp:extent cx="1508760" cy="3956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1077CB5" w14:textId="77777777" w:rsidR="00D14D04" w:rsidRPr="00577C4C" w:rsidRDefault="00D14D0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0D7E55" id="_x0000_t202" coordsize="21600,21600" o:spt="202" path="m,l,21600r21600,l21600,xe">
              <v:stroke joinstyle="miter"/>
              <v:path gradientshapeok="t" o:connecttype="rect"/>
            </v:shapetype>
            <v:shape id="Text Box 4" o:spid="_x0000_s1029"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m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xNKNFMo&#10;0Va0nnyFlkxCdRrjMkzaGEzzLW6jyv2+w81Aui2tCl+kQzCOdT5dahvAeDg0Te/vZhjiGBs/TGfp&#10;NMAkH6eNdf6bAEWCkVOL2sWSsuPa+S61TwmXaVjVUkb9pCZNTmfjaRoPXCIILnXIFbETzjCBUffy&#10;YPl210b+4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B/zQpmNgIAAGYEAAAOAAAAAAAAAAAAAAAAAC4C&#10;AABkcnMvZTJvRG9jLnhtbFBLAQItABQABgAIAAAAIQA4sBLD2QAAAAQBAAAPAAAAAAAAAAAAAAAA&#10;AJAEAABkcnMvZG93bnJldi54bWxQSwUGAAAAAAQABADzAAAAlgUAAAAA&#10;" filled="f" stroked="f" strokeweight=".5pt">
              <v:textbox style="mso-fit-shape-to-text:t">
                <w:txbxContent>
                  <w:p w14:paraId="61077CB5" w14:textId="77777777" w:rsidR="00D14D04" w:rsidRPr="00577C4C" w:rsidRDefault="00D14D04">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5DE27" w14:textId="77777777" w:rsidR="00B64467" w:rsidRDefault="00B64467" w:rsidP="00117666">
      <w:pPr>
        <w:spacing w:after="0"/>
      </w:pPr>
      <w:r>
        <w:separator/>
      </w:r>
    </w:p>
  </w:footnote>
  <w:footnote w:type="continuationSeparator" w:id="0">
    <w:p w14:paraId="204CC182" w14:textId="77777777" w:rsidR="00B64467" w:rsidRDefault="00B6446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283481" w:rsidRPr="009151AA" w:rsidRDefault="00283481">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BCC3" w14:textId="593B8FAB" w:rsidR="00283481" w:rsidRPr="00241D72" w:rsidRDefault="00283481" w:rsidP="00BF5E69">
    <w:pPr>
      <w:rPr>
        <w:rFonts w:cs="Times New Roman"/>
      </w:rPr>
    </w:pPr>
    <w:r w:rsidRPr="00241D72">
      <w:rPr>
        <w:rFonts w:cs="Times New Roman"/>
      </w:rPr>
      <w:ptab w:relativeTo="margin" w:alignment="center" w:leader="none"/>
    </w:r>
    <w:r w:rsidRPr="00241D72">
      <w:rPr>
        <w:rFonts w:cs="Times New Roman"/>
      </w:rPr>
      <w:ptab w:relativeTo="margin" w:alignment="right" w:leader="none"/>
    </w:r>
    <w:r w:rsidRPr="00241D72">
      <w:rPr>
        <w:rFonts w:cs="Times New Roman"/>
      </w:rPr>
      <w:t>Supplementary 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283481" w:rsidRPr="00241D72" w:rsidRDefault="00283481" w:rsidP="0093429D">
    <w:r w:rsidRPr="00241D72">
      <w:rPr>
        <w:b/>
        <w:noProof/>
        <w:color w:val="A6A6A6" w:themeColor="background1" w:themeShade="A6"/>
        <w:lang w:eastAsia="en-GB"/>
      </w:rPr>
      <w:drawing>
        <wp:inline distT="0" distB="0" distL="0" distR="0" wp14:anchorId="07D26A56" wp14:editId="2E460F0E">
          <wp:extent cx="1382534" cy="497091"/>
          <wp:effectExtent l="0" t="0" r="0"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241D72">
      <w:rPr>
        <w:b/>
      </w:rPr>
      <w:ptab w:relativeTo="margin" w:alignment="center" w:leader="none"/>
    </w:r>
    <w:r w:rsidRPr="00241D72">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9362A" w14:textId="77777777" w:rsidR="00D14D04" w:rsidRPr="009151AA" w:rsidRDefault="00D14D04">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286A" w14:textId="77777777" w:rsidR="00D14D04" w:rsidRPr="00241D72" w:rsidRDefault="00D14D04" w:rsidP="00BF5E69">
    <w:pPr>
      <w:rPr>
        <w:rFonts w:cs="Times New Roman"/>
      </w:rPr>
    </w:pPr>
    <w:r w:rsidRPr="00241D72">
      <w:rPr>
        <w:rFonts w:cs="Times New Roman"/>
      </w:rPr>
      <w:ptab w:relativeTo="margin" w:alignment="center" w:leader="none"/>
    </w:r>
    <w:r w:rsidRPr="00241D72">
      <w:rPr>
        <w:rFonts w:cs="Times New Roman"/>
      </w:rPr>
      <w:ptab w:relativeTo="margin" w:alignment="right" w:leader="none"/>
    </w:r>
    <w:r w:rsidRPr="00241D72">
      <w:rPr>
        <w:rFonts w:cs="Times New Roman"/>
      </w:rPr>
      <w:t>Supplementary Material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27E8" w14:textId="77777777" w:rsidR="00D14D04" w:rsidRPr="00241D72" w:rsidRDefault="00D14D04" w:rsidP="0093429D">
    <w:r w:rsidRPr="00241D72">
      <w:rPr>
        <w:b/>
        <w:noProof/>
        <w:color w:val="A6A6A6" w:themeColor="background1" w:themeShade="A6"/>
        <w:lang w:eastAsia="en-GB"/>
      </w:rPr>
      <w:drawing>
        <wp:inline distT="0" distB="0" distL="0" distR="0" wp14:anchorId="3C02F6CC" wp14:editId="58C2C1B5">
          <wp:extent cx="1382534" cy="497091"/>
          <wp:effectExtent l="0" t="0" r="0" b="0"/>
          <wp:docPr id="5" name="Picture 5"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241D72">
      <w:rPr>
        <w:b/>
      </w:rPr>
      <w:ptab w:relativeTo="margin" w:alignment="center" w:leader="none"/>
    </w:r>
    <w:r w:rsidRPr="00241D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D2ADA"/>
    <w:multiLevelType w:val="hybridMultilevel"/>
    <w:tmpl w:val="3A94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ttachedTemplate r:id="rId1"/>
  <w:defaultTabStop w:val="72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MbAwMDAzMLYwsLRU0lEKTi0uzszPAykwqgUA3g+qFiwAAAA="/>
  </w:docVars>
  <w:rsids>
    <w:rsidRoot w:val="00ED20B5"/>
    <w:rsid w:val="0001436A"/>
    <w:rsid w:val="00022482"/>
    <w:rsid w:val="000333DE"/>
    <w:rsid w:val="00034304"/>
    <w:rsid w:val="00035434"/>
    <w:rsid w:val="00052A14"/>
    <w:rsid w:val="00077D53"/>
    <w:rsid w:val="000A5D46"/>
    <w:rsid w:val="000A7321"/>
    <w:rsid w:val="00105FD9"/>
    <w:rsid w:val="00117666"/>
    <w:rsid w:val="001549D3"/>
    <w:rsid w:val="00160065"/>
    <w:rsid w:val="00160F0B"/>
    <w:rsid w:val="00177D84"/>
    <w:rsid w:val="001B30B5"/>
    <w:rsid w:val="001B3834"/>
    <w:rsid w:val="001D0CC7"/>
    <w:rsid w:val="001D11BF"/>
    <w:rsid w:val="001D1E48"/>
    <w:rsid w:val="00213F2E"/>
    <w:rsid w:val="00233BDE"/>
    <w:rsid w:val="00241D72"/>
    <w:rsid w:val="00267D18"/>
    <w:rsid w:val="00274347"/>
    <w:rsid w:val="00283481"/>
    <w:rsid w:val="002868E2"/>
    <w:rsid w:val="002869C3"/>
    <w:rsid w:val="002936E4"/>
    <w:rsid w:val="002B4A57"/>
    <w:rsid w:val="002C74CA"/>
    <w:rsid w:val="002F05B4"/>
    <w:rsid w:val="002F6762"/>
    <w:rsid w:val="002F6C3B"/>
    <w:rsid w:val="003123F4"/>
    <w:rsid w:val="003155A7"/>
    <w:rsid w:val="003544FB"/>
    <w:rsid w:val="00357619"/>
    <w:rsid w:val="003812DB"/>
    <w:rsid w:val="003831F7"/>
    <w:rsid w:val="003877B8"/>
    <w:rsid w:val="003A5018"/>
    <w:rsid w:val="003A7B5B"/>
    <w:rsid w:val="003C3ECF"/>
    <w:rsid w:val="003D2F2D"/>
    <w:rsid w:val="00401590"/>
    <w:rsid w:val="004066F4"/>
    <w:rsid w:val="0044685A"/>
    <w:rsid w:val="00447801"/>
    <w:rsid w:val="00452E9C"/>
    <w:rsid w:val="004721C8"/>
    <w:rsid w:val="004735C8"/>
    <w:rsid w:val="004947A6"/>
    <w:rsid w:val="004961FF"/>
    <w:rsid w:val="004B3C77"/>
    <w:rsid w:val="004D3154"/>
    <w:rsid w:val="004E2A52"/>
    <w:rsid w:val="00517A89"/>
    <w:rsid w:val="005250F2"/>
    <w:rsid w:val="005255A8"/>
    <w:rsid w:val="0055033B"/>
    <w:rsid w:val="00593EEA"/>
    <w:rsid w:val="005A5EEE"/>
    <w:rsid w:val="005D5257"/>
    <w:rsid w:val="006375C7"/>
    <w:rsid w:val="00654E8F"/>
    <w:rsid w:val="00660D05"/>
    <w:rsid w:val="006820B1"/>
    <w:rsid w:val="00683C4F"/>
    <w:rsid w:val="006B7D14"/>
    <w:rsid w:val="006D25D3"/>
    <w:rsid w:val="006F5C8A"/>
    <w:rsid w:val="00701727"/>
    <w:rsid w:val="00701FA0"/>
    <w:rsid w:val="0070566C"/>
    <w:rsid w:val="00714C50"/>
    <w:rsid w:val="00725A7D"/>
    <w:rsid w:val="007501BE"/>
    <w:rsid w:val="007647C3"/>
    <w:rsid w:val="0077007F"/>
    <w:rsid w:val="00790BB3"/>
    <w:rsid w:val="007C206C"/>
    <w:rsid w:val="007C26EE"/>
    <w:rsid w:val="007C2FAB"/>
    <w:rsid w:val="007C5AFB"/>
    <w:rsid w:val="00817DD6"/>
    <w:rsid w:val="0082796E"/>
    <w:rsid w:val="0083759F"/>
    <w:rsid w:val="00873450"/>
    <w:rsid w:val="00885156"/>
    <w:rsid w:val="008A4836"/>
    <w:rsid w:val="008A5099"/>
    <w:rsid w:val="008C65F1"/>
    <w:rsid w:val="008E5C33"/>
    <w:rsid w:val="00906102"/>
    <w:rsid w:val="009151AA"/>
    <w:rsid w:val="00931BBC"/>
    <w:rsid w:val="0093429D"/>
    <w:rsid w:val="00943573"/>
    <w:rsid w:val="00956C73"/>
    <w:rsid w:val="00964134"/>
    <w:rsid w:val="009677C6"/>
    <w:rsid w:val="00970F7D"/>
    <w:rsid w:val="0098468B"/>
    <w:rsid w:val="00994A3D"/>
    <w:rsid w:val="009B30B1"/>
    <w:rsid w:val="009C2B12"/>
    <w:rsid w:val="009F5802"/>
    <w:rsid w:val="00A058D9"/>
    <w:rsid w:val="00A07834"/>
    <w:rsid w:val="00A16986"/>
    <w:rsid w:val="00A174D9"/>
    <w:rsid w:val="00A83587"/>
    <w:rsid w:val="00AA4D24"/>
    <w:rsid w:val="00AB6715"/>
    <w:rsid w:val="00AE6E68"/>
    <w:rsid w:val="00B1671E"/>
    <w:rsid w:val="00B25EB8"/>
    <w:rsid w:val="00B37F4D"/>
    <w:rsid w:val="00B64467"/>
    <w:rsid w:val="00B71014"/>
    <w:rsid w:val="00B917E7"/>
    <w:rsid w:val="00B91833"/>
    <w:rsid w:val="00B93FF9"/>
    <w:rsid w:val="00BA49E3"/>
    <w:rsid w:val="00BD2F22"/>
    <w:rsid w:val="00BF5E69"/>
    <w:rsid w:val="00BF608A"/>
    <w:rsid w:val="00C52A7B"/>
    <w:rsid w:val="00C56BAF"/>
    <w:rsid w:val="00C679AA"/>
    <w:rsid w:val="00C75972"/>
    <w:rsid w:val="00CB77FE"/>
    <w:rsid w:val="00CC7229"/>
    <w:rsid w:val="00CD066B"/>
    <w:rsid w:val="00CD0DDC"/>
    <w:rsid w:val="00CE4FEE"/>
    <w:rsid w:val="00CF1DCD"/>
    <w:rsid w:val="00D060CF"/>
    <w:rsid w:val="00D14D04"/>
    <w:rsid w:val="00D43166"/>
    <w:rsid w:val="00D53D89"/>
    <w:rsid w:val="00D603CD"/>
    <w:rsid w:val="00D85B46"/>
    <w:rsid w:val="00DB59C3"/>
    <w:rsid w:val="00DC259A"/>
    <w:rsid w:val="00DE23E8"/>
    <w:rsid w:val="00E206ED"/>
    <w:rsid w:val="00E52377"/>
    <w:rsid w:val="00E537AD"/>
    <w:rsid w:val="00E64E17"/>
    <w:rsid w:val="00E866C9"/>
    <w:rsid w:val="00E87920"/>
    <w:rsid w:val="00E915AA"/>
    <w:rsid w:val="00EA3D3C"/>
    <w:rsid w:val="00EC090A"/>
    <w:rsid w:val="00ED20B5"/>
    <w:rsid w:val="00F14922"/>
    <w:rsid w:val="00F16C10"/>
    <w:rsid w:val="00F27D33"/>
    <w:rsid w:val="00F43CE5"/>
    <w:rsid w:val="00F46900"/>
    <w:rsid w:val="00F46DD4"/>
    <w:rsid w:val="00F61D89"/>
    <w:rsid w:val="00F82D94"/>
    <w:rsid w:val="00FB0C6E"/>
    <w:rsid w:val="00FD3B4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B0C6E"/>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paragraph" w:styleId="6">
    <w:name w:val="heading 6"/>
    <w:basedOn w:val="a0"/>
    <w:next w:val="a0"/>
    <w:link w:val="60"/>
    <w:uiPriority w:val="9"/>
    <w:semiHidden/>
    <w:unhideWhenUsed/>
    <w:qFormat/>
    <w:rsid w:val="00D53D8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unhideWhenUsed/>
    <w:rsid w:val="00AB6715"/>
    <w:rPr>
      <w:sz w:val="20"/>
      <w:szCs w:val="20"/>
    </w:rPr>
  </w:style>
  <w:style w:type="character" w:customStyle="1" w:styleId="ad">
    <w:name w:val="コメント文字列 (文字)"/>
    <w:basedOn w:val="a1"/>
    <w:link w:val="ac"/>
    <w:uiPriority w:val="99"/>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 w:type="character" w:customStyle="1" w:styleId="60">
    <w:name w:val="見出し 6 (文字)"/>
    <w:basedOn w:val="a1"/>
    <w:link w:val="6"/>
    <w:uiPriority w:val="9"/>
    <w:semiHidden/>
    <w:rsid w:val="00D53D89"/>
    <w:rPr>
      <w:rFonts w:asciiTheme="majorHAnsi" w:eastAsiaTheme="majorEastAsia" w:hAnsiTheme="majorHAnsi" w:cstheme="majorBidi"/>
      <w:color w:val="243F60" w:themeColor="accent1" w:themeShade="7F"/>
      <w:sz w:val="24"/>
    </w:rPr>
  </w:style>
  <w:style w:type="character" w:styleId="aff5">
    <w:name w:val="Placeholder Text"/>
    <w:basedOn w:val="a1"/>
    <w:uiPriority w:val="99"/>
    <w:semiHidden/>
    <w:rsid w:val="002F67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014958961">
      <w:bodyDiv w:val="1"/>
      <w:marLeft w:val="0"/>
      <w:marRight w:val="0"/>
      <w:marTop w:val="0"/>
      <w:marBottom w:val="0"/>
      <w:divBdr>
        <w:top w:val="none" w:sz="0" w:space="0" w:color="auto"/>
        <w:left w:val="none" w:sz="0" w:space="0" w:color="auto"/>
        <w:bottom w:val="none" w:sz="0" w:space="0" w:color="auto"/>
        <w:right w:val="none" w:sz="0" w:space="0" w:color="auto"/>
      </w:divBdr>
    </w:div>
    <w:div w:id="139187941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9313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47D8CB-7661-A240-AD6C-CA4E57EB794C}">
  <we:reference id="wa104380773" version="1.0.0.2" store="en-001" storeType="OMEX"/>
  <we:alternateReferences>
    <we:reference id="wa104380773" version="1.0.0.2"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C4F7C1-BD96-4299-8219-E82E43D8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292</TotalTime>
  <Pages>1</Pages>
  <Words>4885</Words>
  <Characters>27847</Characters>
  <Application>Microsoft Office Word</Application>
  <DocSecurity>0</DocSecurity>
  <Lines>232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MIWA TORU</cp:lastModifiedBy>
  <cp:revision>43</cp:revision>
  <cp:lastPrinted>2013-10-03T12:51:00Z</cp:lastPrinted>
  <dcterms:created xsi:type="dcterms:W3CDTF">2020-10-02T02:33:00Z</dcterms:created>
  <dcterms:modified xsi:type="dcterms:W3CDTF">2020-12-11T00:11:00Z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http://www.zotero.org/styles/auris-nasus-larynx</vt:lpwstr>
  </property>
  <property fmtid="{D5CDD505-2E9C-101B-9397-08002B2CF9AE}" pid="5" name="Mendeley Recent Style Name 1_1">
    <vt:lpwstr>Auris Nasus Larynx</vt:lpwstr>
  </property>
  <property fmtid="{D5CDD505-2E9C-101B-9397-08002B2CF9AE}" pid="6" name="Mendeley Recent Style Id 2_1">
    <vt:lpwstr>http://www.zotero.org/styles/frontiers-in-neurology</vt:lpwstr>
  </property>
  <property fmtid="{D5CDD505-2E9C-101B-9397-08002B2CF9AE}" pid="7" name="Mendeley Recent Style Name 2_1">
    <vt:lpwstr>Frontiers in Neurology</vt:lpwstr>
  </property>
  <property fmtid="{D5CDD505-2E9C-101B-9397-08002B2CF9AE}" pid="8" name="Mendeley Recent Style Id 3_1">
    <vt:lpwstr>http://www.zotero.org/styles/gait-and-posture</vt:lpwstr>
  </property>
  <property fmtid="{D5CDD505-2E9C-101B-9397-08002B2CF9AE}" pid="9" name="Mendeley Recent Style Name 3_1">
    <vt:lpwstr>Gait &amp; Posture</vt:lpwstr>
  </property>
  <property fmtid="{D5CDD505-2E9C-101B-9397-08002B2CF9AE}" pid="10" name="Mendeley Recent Style Id 4_1">
    <vt:lpwstr>http://www.zotero.org/styles/journal-of-otology</vt:lpwstr>
  </property>
  <property fmtid="{D5CDD505-2E9C-101B-9397-08002B2CF9AE}" pid="11" name="Mendeley Recent Style Name 4_1">
    <vt:lpwstr>Journal of Otology</vt:lpwstr>
  </property>
  <property fmtid="{D5CDD505-2E9C-101B-9397-08002B2CF9AE}" pid="12" name="Mendeley Recent Style Id 5_1">
    <vt:lpwstr>http://www.zotero.org/styles/molecular-brain</vt:lpwstr>
  </property>
  <property fmtid="{D5CDD505-2E9C-101B-9397-08002B2CF9AE}" pid="13" name="Mendeley Recent Style Name 5_1">
    <vt:lpwstr>Molecular Brain</vt:lpwstr>
  </property>
  <property fmtid="{D5CDD505-2E9C-101B-9397-08002B2CF9AE}" pid="14" name="Mendeley Recent Style Id 6_1">
    <vt:lpwstr>https://csl.mendeley.com/styles/4627451/ER</vt:lpwstr>
  </property>
  <property fmtid="{D5CDD505-2E9C-101B-9397-08002B2CF9AE}" pid="15" name="Mendeley Recent Style Name 6_1">
    <vt:lpwstr>Nature - Toru Miwa, MD, PhD</vt:lpwstr>
  </property>
  <property fmtid="{D5CDD505-2E9C-101B-9397-08002B2CF9AE}" pid="16" name="Mendeley Recent Style Id 7_1">
    <vt:lpwstr>http://www.zotero.org/styles/scientific-reports</vt:lpwstr>
  </property>
  <property fmtid="{D5CDD505-2E9C-101B-9397-08002B2CF9AE}" pid="17" name="Mendeley Recent Style Name 7_1">
    <vt:lpwstr>Scientific Reports</vt:lpwstr>
  </property>
  <property fmtid="{D5CDD505-2E9C-101B-9397-08002B2CF9AE}" pid="18" name="Mendeley Recent Style Id 8_1">
    <vt:lpwstr>http://www.zotero.org/styles/the-journal-of-clinical-investigation</vt:lpwstr>
  </property>
  <property fmtid="{D5CDD505-2E9C-101B-9397-08002B2CF9AE}" pid="19" name="Mendeley Recent Style Name 8_1">
    <vt:lpwstr>The Journal of Clinical Investigation</vt:lpwstr>
  </property>
  <property fmtid="{D5CDD505-2E9C-101B-9397-08002B2CF9AE}" pid="20" name="Mendeley Recent Style Id 9_1">
    <vt:lpwstr>https://csl.mendeley.com/styles/4627451/vancouver-TM</vt:lpwstr>
  </property>
  <property fmtid="{D5CDD505-2E9C-101B-9397-08002B2CF9AE}" pid="21" name="Mendeley Recent Style Name 9_1">
    <vt:lpwstr>Vancouver - Toru Miwa, MD, PhD</vt:lpwstr>
  </property>
  <property fmtid="{D5CDD505-2E9C-101B-9397-08002B2CF9AE}" pid="22" name="Mendeley Document_1">
    <vt:lpwstr>True</vt:lpwstr>
  </property>
  <property fmtid="{D5CDD505-2E9C-101B-9397-08002B2CF9AE}" pid="23" name="Mendeley Unique User Id_1">
    <vt:lpwstr>8ccab459-4444-3a36-8f1c-fa7b145477ce</vt:lpwstr>
  </property>
  <property fmtid="{D5CDD505-2E9C-101B-9397-08002B2CF9AE}" pid="24" name="Mendeley Citation Style_1">
    <vt:lpwstr>http://www.zotero.org/styles/frontiers-in-neurology</vt:lpwstr>
  </property>
</Properties>
</file>