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4023" w14:textId="4808F70F" w:rsidR="00471F3F" w:rsidRPr="00471F3F" w:rsidRDefault="00471F3F" w:rsidP="00471F3F">
      <w:pPr>
        <w:spacing w:line="480" w:lineRule="auto"/>
        <w:rPr>
          <w:color w:val="000000" w:themeColor="text1"/>
          <w:sz w:val="32"/>
          <w:szCs w:val="32"/>
        </w:rPr>
      </w:pPr>
      <w:bookmarkStart w:id="0" w:name="_GoBack"/>
      <w:bookmarkEnd w:id="0"/>
      <w:r w:rsidRPr="00471F3F">
        <w:rPr>
          <w:color w:val="000000" w:themeColor="text1"/>
          <w:sz w:val="32"/>
          <w:szCs w:val="32"/>
        </w:rPr>
        <w:t>Supplementary information</w:t>
      </w:r>
    </w:p>
    <w:p w14:paraId="160CFE80" w14:textId="77777777" w:rsidR="00471F3F" w:rsidRPr="00471F3F" w:rsidRDefault="00471F3F" w:rsidP="00471F3F">
      <w:pPr>
        <w:spacing w:line="480" w:lineRule="auto"/>
        <w:rPr>
          <w:b/>
          <w:bCs/>
          <w:color w:val="000000" w:themeColor="text1"/>
          <w:sz w:val="32"/>
          <w:szCs w:val="32"/>
        </w:rPr>
      </w:pPr>
      <w:bookmarkStart w:id="1" w:name="OLE_LINK6"/>
      <w:r w:rsidRPr="00471F3F">
        <w:rPr>
          <w:rFonts w:hint="eastAsia"/>
          <w:b/>
          <w:bCs/>
          <w:color w:val="000000" w:themeColor="text1"/>
          <w:sz w:val="32"/>
          <w:szCs w:val="32"/>
        </w:rPr>
        <w:t>A</w:t>
      </w:r>
      <w:r w:rsidRPr="00471F3F">
        <w:rPr>
          <w:b/>
          <w:bCs/>
          <w:color w:val="000000" w:themeColor="text1"/>
          <w:sz w:val="32"/>
          <w:szCs w:val="32"/>
        </w:rPr>
        <w:t>ccounting and management of natural resource consumption based on Input-output method: A global bibliometric analysis</w:t>
      </w:r>
      <w:bookmarkEnd w:id="1"/>
    </w:p>
    <w:p w14:paraId="0B8C2C8D" w14:textId="77777777" w:rsidR="00471F3F" w:rsidRPr="00A12CDC" w:rsidRDefault="00471F3F" w:rsidP="00471F3F">
      <w:pPr>
        <w:spacing w:line="360" w:lineRule="auto"/>
        <w:jc w:val="left"/>
        <w:rPr>
          <w:color w:val="000000" w:themeColor="text1"/>
          <w:sz w:val="24"/>
          <w:szCs w:val="28"/>
          <w:lang w:val="sv-SE"/>
        </w:rPr>
      </w:pPr>
      <w:r w:rsidRPr="00A12CDC">
        <w:rPr>
          <w:color w:val="000000" w:themeColor="text1"/>
          <w:sz w:val="24"/>
          <w:szCs w:val="28"/>
          <w:lang w:val="sv-SE"/>
        </w:rPr>
        <w:t xml:space="preserve">Siyun </w:t>
      </w:r>
      <w:r w:rsidRPr="00A12CDC">
        <w:rPr>
          <w:rFonts w:hint="eastAsia"/>
          <w:color w:val="000000" w:themeColor="text1"/>
          <w:sz w:val="24"/>
          <w:szCs w:val="28"/>
          <w:lang w:val="sv-SE"/>
        </w:rPr>
        <w:t>Wang</w:t>
      </w:r>
      <w:r w:rsidRPr="00A12CDC">
        <w:rPr>
          <w:color w:val="000000" w:themeColor="text1"/>
          <w:sz w:val="24"/>
          <w:szCs w:val="28"/>
          <w:vertAlign w:val="superscript"/>
          <w:lang w:val="sv-SE"/>
        </w:rPr>
        <w:t>1</w:t>
      </w:r>
      <w:r w:rsidRPr="00A12CDC">
        <w:rPr>
          <w:color w:val="000000" w:themeColor="text1"/>
          <w:sz w:val="24"/>
          <w:szCs w:val="28"/>
          <w:lang w:val="sv-SE"/>
        </w:rPr>
        <w:t>, Xu Tang</w:t>
      </w:r>
      <w:r w:rsidRPr="00A12CDC">
        <w:rPr>
          <w:color w:val="000000" w:themeColor="text1"/>
          <w:sz w:val="24"/>
          <w:szCs w:val="28"/>
          <w:vertAlign w:val="superscript"/>
          <w:lang w:val="sv-SE"/>
        </w:rPr>
        <w:t>1,2 *</w:t>
      </w:r>
      <w:r w:rsidRPr="00A12CDC">
        <w:rPr>
          <w:color w:val="000000" w:themeColor="text1"/>
          <w:sz w:val="24"/>
          <w:szCs w:val="28"/>
          <w:lang w:val="sv-SE"/>
        </w:rPr>
        <w:t>, Baosheng Zhang</w:t>
      </w:r>
      <w:r w:rsidRPr="00A12CDC">
        <w:rPr>
          <w:color w:val="000000" w:themeColor="text1"/>
          <w:sz w:val="24"/>
          <w:szCs w:val="28"/>
          <w:vertAlign w:val="superscript"/>
          <w:lang w:val="sv-SE"/>
        </w:rPr>
        <w:t>1</w:t>
      </w:r>
      <w:r w:rsidRPr="00A12CDC">
        <w:rPr>
          <w:rFonts w:hint="eastAsia"/>
          <w:color w:val="000000" w:themeColor="text1"/>
          <w:sz w:val="24"/>
          <w:szCs w:val="28"/>
          <w:lang w:val="sv-SE"/>
        </w:rPr>
        <w:t>,</w:t>
      </w:r>
      <w:r w:rsidRPr="00A12CDC">
        <w:rPr>
          <w:color w:val="000000" w:themeColor="text1"/>
          <w:sz w:val="24"/>
          <w:szCs w:val="28"/>
          <w:lang w:val="sv-SE"/>
        </w:rPr>
        <w:t xml:space="preserve"> </w:t>
      </w:r>
      <w:r w:rsidRPr="00A12CDC">
        <w:rPr>
          <w:rFonts w:hint="eastAsia"/>
          <w:color w:val="000000" w:themeColor="text1"/>
          <w:sz w:val="24"/>
          <w:szCs w:val="28"/>
          <w:lang w:val="sv-SE"/>
        </w:rPr>
        <w:t>W</w:t>
      </w:r>
      <w:r w:rsidRPr="00A12CDC">
        <w:rPr>
          <w:color w:val="000000" w:themeColor="text1"/>
          <w:sz w:val="24"/>
          <w:szCs w:val="28"/>
          <w:lang w:val="sv-SE"/>
        </w:rPr>
        <w:t>enhuan Wang</w:t>
      </w:r>
      <w:r w:rsidRPr="00A12CDC">
        <w:rPr>
          <w:color w:val="000000" w:themeColor="text1"/>
          <w:sz w:val="24"/>
          <w:szCs w:val="28"/>
          <w:vertAlign w:val="superscript"/>
          <w:lang w:val="sv-SE"/>
        </w:rPr>
        <w:t>3</w:t>
      </w:r>
    </w:p>
    <w:p w14:paraId="1B95CB9B" w14:textId="64E25CB8" w:rsidR="00471F3F" w:rsidRPr="00A12CDC" w:rsidRDefault="00471F3F" w:rsidP="00471F3F">
      <w:pPr>
        <w:spacing w:line="360" w:lineRule="auto"/>
        <w:rPr>
          <w:color w:val="000000" w:themeColor="text1"/>
          <w:sz w:val="24"/>
          <w:szCs w:val="28"/>
        </w:rPr>
      </w:pPr>
      <w:bookmarkStart w:id="2" w:name="_Hlk25869015"/>
      <w:r w:rsidRPr="00A12CDC">
        <w:rPr>
          <w:color w:val="000000" w:themeColor="text1"/>
          <w:sz w:val="24"/>
          <w:szCs w:val="28"/>
          <w:vertAlign w:val="superscript"/>
        </w:rPr>
        <w:t>1</w:t>
      </w:r>
      <w:bookmarkEnd w:id="2"/>
      <w:r w:rsidRPr="00A12CDC">
        <w:rPr>
          <w:color w:val="000000" w:themeColor="text1"/>
          <w:sz w:val="24"/>
          <w:szCs w:val="28"/>
        </w:rPr>
        <w:t>.</w:t>
      </w:r>
      <w:bookmarkStart w:id="3" w:name="OLE_LINK1"/>
      <w:r w:rsidRPr="00A12CDC">
        <w:rPr>
          <w:color w:val="000000" w:themeColor="text1"/>
          <w:sz w:val="24"/>
          <w:szCs w:val="28"/>
        </w:rPr>
        <w:t>School of Economics and Management</w:t>
      </w:r>
      <w:bookmarkEnd w:id="3"/>
      <w:r w:rsidRPr="00A12CDC">
        <w:rPr>
          <w:color w:val="000000" w:themeColor="text1"/>
          <w:sz w:val="24"/>
          <w:szCs w:val="28"/>
        </w:rPr>
        <w:t>, China University of Petroleum-Beijing, Beijing, China</w:t>
      </w:r>
    </w:p>
    <w:p w14:paraId="5CB0BD7E" w14:textId="5B0BE558" w:rsidR="00471F3F" w:rsidRPr="00A12CDC" w:rsidRDefault="00471F3F" w:rsidP="00471F3F">
      <w:pPr>
        <w:spacing w:line="360" w:lineRule="auto"/>
        <w:rPr>
          <w:color w:val="000000" w:themeColor="text1"/>
          <w:sz w:val="24"/>
          <w:lang w:bidi="ar"/>
        </w:rPr>
      </w:pPr>
      <w:r w:rsidRPr="00A12CDC">
        <w:rPr>
          <w:color w:val="000000" w:themeColor="text1"/>
          <w:sz w:val="24"/>
          <w:szCs w:val="28"/>
          <w:vertAlign w:val="superscript"/>
        </w:rPr>
        <w:t>2</w:t>
      </w:r>
      <w:r w:rsidRPr="00A12CDC">
        <w:rPr>
          <w:color w:val="000000" w:themeColor="text1"/>
          <w:sz w:val="24"/>
          <w:szCs w:val="28"/>
        </w:rPr>
        <w:t>.</w:t>
      </w:r>
      <w:r w:rsidRPr="00A12CDC">
        <w:rPr>
          <w:color w:val="000000" w:themeColor="text1"/>
          <w:sz w:val="24"/>
          <w:lang w:bidi="ar"/>
        </w:rPr>
        <w:t>Research Center for China's Oil and Gas Industry Development, China University of Petroleum-Beijing, Beijing, China</w:t>
      </w:r>
    </w:p>
    <w:p w14:paraId="03626FDB" w14:textId="726A4D63" w:rsidR="00471F3F" w:rsidRPr="00A12CDC" w:rsidRDefault="00471F3F" w:rsidP="00471F3F">
      <w:pPr>
        <w:spacing w:line="360" w:lineRule="auto"/>
        <w:rPr>
          <w:color w:val="000000" w:themeColor="text1"/>
          <w:sz w:val="24"/>
          <w:szCs w:val="28"/>
        </w:rPr>
      </w:pPr>
      <w:r w:rsidRPr="00A12CDC">
        <w:rPr>
          <w:rFonts w:hint="eastAsia"/>
          <w:color w:val="000000" w:themeColor="text1"/>
          <w:sz w:val="24"/>
          <w:szCs w:val="28"/>
          <w:vertAlign w:val="superscript"/>
        </w:rPr>
        <w:t>3</w:t>
      </w:r>
      <w:r w:rsidRPr="00A12CDC">
        <w:rPr>
          <w:color w:val="000000" w:themeColor="text1"/>
          <w:sz w:val="24"/>
          <w:szCs w:val="28"/>
        </w:rPr>
        <w:t>.School of Public Administration, Zhejiang University of Technology, Hangzhou, China</w:t>
      </w:r>
    </w:p>
    <w:p w14:paraId="7269D94E" w14:textId="77777777" w:rsidR="00471F3F" w:rsidRPr="00A12CDC" w:rsidRDefault="00471F3F" w:rsidP="00471F3F">
      <w:pPr>
        <w:spacing w:line="360" w:lineRule="auto"/>
        <w:rPr>
          <w:color w:val="000000" w:themeColor="text1"/>
          <w:sz w:val="24"/>
          <w:szCs w:val="28"/>
        </w:rPr>
      </w:pPr>
      <w:r w:rsidRPr="00A12CDC">
        <w:rPr>
          <w:color w:val="000000" w:themeColor="text1"/>
          <w:sz w:val="24"/>
          <w:szCs w:val="28"/>
          <w:vertAlign w:val="superscript"/>
        </w:rPr>
        <w:t xml:space="preserve">* </w:t>
      </w:r>
      <w:r w:rsidRPr="00A12CDC">
        <w:rPr>
          <w:color w:val="000000" w:themeColor="text1"/>
          <w:sz w:val="24"/>
          <w:szCs w:val="28"/>
        </w:rPr>
        <w:t>Corresponding author.</w:t>
      </w:r>
    </w:p>
    <w:p w14:paraId="61C280BE" w14:textId="6D5989FC" w:rsidR="00471F3F" w:rsidRDefault="00471F3F" w:rsidP="00471F3F">
      <w:pPr>
        <w:spacing w:line="360" w:lineRule="auto"/>
        <w:rPr>
          <w:color w:val="000000" w:themeColor="text1"/>
          <w:sz w:val="24"/>
          <w:szCs w:val="28"/>
        </w:rPr>
      </w:pPr>
      <w:r w:rsidRPr="00A12CDC">
        <w:rPr>
          <w:rFonts w:hint="eastAsia"/>
          <w:color w:val="000000" w:themeColor="text1"/>
          <w:sz w:val="24"/>
          <w:szCs w:val="28"/>
        </w:rPr>
        <w:t>E</w:t>
      </w:r>
      <w:r w:rsidRPr="00A12CDC">
        <w:rPr>
          <w:color w:val="000000" w:themeColor="text1"/>
          <w:sz w:val="24"/>
          <w:szCs w:val="28"/>
        </w:rPr>
        <w:t xml:space="preserve">-mail address: </w:t>
      </w:r>
      <w:hyperlink r:id="rId8" w:history="1">
        <w:r w:rsidRPr="0091429F">
          <w:rPr>
            <w:rStyle w:val="a7"/>
            <w:sz w:val="24"/>
            <w:szCs w:val="28"/>
          </w:rPr>
          <w:t>tangxu@cup.edu.cn</w:t>
        </w:r>
      </w:hyperlink>
    </w:p>
    <w:p w14:paraId="1F0F6BAE" w14:textId="2DA2B1AD" w:rsidR="00E40CEB" w:rsidRDefault="00E40CEB" w:rsidP="00471F3F">
      <w:pPr>
        <w:spacing w:line="360" w:lineRule="auto"/>
        <w:rPr>
          <w:color w:val="000000" w:themeColor="text1"/>
          <w:sz w:val="24"/>
          <w:szCs w:val="28"/>
        </w:rPr>
      </w:pPr>
    </w:p>
    <w:p w14:paraId="55870DEB" w14:textId="77777777" w:rsidR="00E40CEB" w:rsidRDefault="00E40CEB" w:rsidP="00471F3F">
      <w:pPr>
        <w:spacing w:line="360" w:lineRule="auto"/>
        <w:rPr>
          <w:rFonts w:hint="eastAsia"/>
          <w:color w:val="000000" w:themeColor="text1"/>
          <w:sz w:val="24"/>
          <w:szCs w:val="28"/>
        </w:rPr>
      </w:pPr>
    </w:p>
    <w:p w14:paraId="0F74EDE7" w14:textId="77777777" w:rsidR="00471F3F" w:rsidRDefault="00471F3F" w:rsidP="00471F3F">
      <w:pPr>
        <w:spacing w:line="360" w:lineRule="auto"/>
        <w:rPr>
          <w:b/>
          <w:bCs/>
          <w:color w:val="000000" w:themeColor="text1"/>
          <w:sz w:val="24"/>
        </w:rPr>
        <w:sectPr w:rsidR="00471F3F" w:rsidSect="00471F3F">
          <w:footerReference w:type="default" r:id="rId9"/>
          <w:pgSz w:w="11906" w:h="16838"/>
          <w:pgMar w:top="1440" w:right="1800" w:bottom="1440" w:left="1800" w:header="851" w:footer="992" w:gutter="0"/>
          <w:cols w:space="425"/>
          <w:docGrid w:type="lines" w:linePitch="312"/>
        </w:sectPr>
      </w:pPr>
    </w:p>
    <w:p w14:paraId="3C6147C9" w14:textId="77777777" w:rsidR="005E0802" w:rsidRPr="00A12CDC" w:rsidRDefault="005E0802" w:rsidP="005E0802">
      <w:pPr>
        <w:spacing w:line="360" w:lineRule="auto"/>
        <w:outlineLvl w:val="1"/>
        <w:rPr>
          <w:b/>
          <w:bCs/>
          <w:color w:val="000000" w:themeColor="text1"/>
          <w:sz w:val="24"/>
        </w:rPr>
      </w:pPr>
      <w:r w:rsidRPr="00A12CDC">
        <w:rPr>
          <w:b/>
          <w:bCs/>
          <w:color w:val="000000" w:themeColor="text1"/>
          <w:sz w:val="24"/>
        </w:rPr>
        <w:lastRenderedPageBreak/>
        <w:t>Table A. Top 15 most highly cited articles.</w:t>
      </w:r>
    </w:p>
    <w:tbl>
      <w:tblPr>
        <w:tblW w:w="5873" w:type="pct"/>
        <w:tblInd w:w="-1139" w:type="dxa"/>
        <w:tblLayout w:type="fixed"/>
        <w:tblLook w:val="04A0" w:firstRow="1" w:lastRow="0" w:firstColumn="1" w:lastColumn="0" w:noHBand="0" w:noVBand="1"/>
      </w:tblPr>
      <w:tblGrid>
        <w:gridCol w:w="6384"/>
        <w:gridCol w:w="4394"/>
        <w:gridCol w:w="2371"/>
        <w:gridCol w:w="1272"/>
        <w:gridCol w:w="564"/>
        <w:gridCol w:w="705"/>
        <w:gridCol w:w="705"/>
      </w:tblGrid>
      <w:tr w:rsidR="005E0802" w:rsidRPr="00A12CDC" w14:paraId="55FB1E6C" w14:textId="77777777" w:rsidTr="003F49DF">
        <w:tc>
          <w:tcPr>
            <w:tcW w:w="1947" w:type="pct"/>
            <w:tcBorders>
              <w:top w:val="single" w:sz="4" w:space="0" w:color="auto"/>
              <w:bottom w:val="single" w:sz="4" w:space="0" w:color="auto"/>
            </w:tcBorders>
            <w:shd w:val="clear" w:color="auto" w:fill="auto"/>
            <w:vAlign w:val="center"/>
          </w:tcPr>
          <w:p w14:paraId="7B0BCD72" w14:textId="77777777" w:rsidR="005E0802" w:rsidRPr="00A12CDC" w:rsidRDefault="005E0802" w:rsidP="00471F3F">
            <w:pPr>
              <w:tabs>
                <w:tab w:val="left" w:pos="377"/>
              </w:tabs>
              <w:spacing w:line="360" w:lineRule="auto"/>
              <w:jc w:val="center"/>
              <w:rPr>
                <w:bCs/>
                <w:color w:val="000000" w:themeColor="text1"/>
                <w:szCs w:val="21"/>
              </w:rPr>
            </w:pPr>
            <w:r w:rsidRPr="00A12CDC">
              <w:rPr>
                <w:bCs/>
                <w:color w:val="000000" w:themeColor="text1"/>
                <w:szCs w:val="21"/>
              </w:rPr>
              <w:t>Article</w:t>
            </w:r>
          </w:p>
        </w:tc>
        <w:tc>
          <w:tcPr>
            <w:tcW w:w="1340" w:type="pct"/>
            <w:tcBorders>
              <w:top w:val="single" w:sz="4" w:space="0" w:color="auto"/>
              <w:bottom w:val="single" w:sz="4" w:space="0" w:color="auto"/>
            </w:tcBorders>
            <w:shd w:val="clear" w:color="auto" w:fill="auto"/>
            <w:vAlign w:val="center"/>
          </w:tcPr>
          <w:p w14:paraId="0ED5900B" w14:textId="77777777" w:rsidR="005E0802" w:rsidRPr="00A12CDC" w:rsidRDefault="005E0802" w:rsidP="00471F3F">
            <w:pPr>
              <w:tabs>
                <w:tab w:val="left" w:pos="377"/>
              </w:tabs>
              <w:spacing w:line="360" w:lineRule="auto"/>
              <w:jc w:val="center"/>
              <w:rPr>
                <w:bCs/>
                <w:color w:val="000000" w:themeColor="text1"/>
                <w:szCs w:val="21"/>
              </w:rPr>
            </w:pPr>
            <w:r w:rsidRPr="00A12CDC">
              <w:rPr>
                <w:bCs/>
                <w:color w:val="000000" w:themeColor="text1"/>
                <w:szCs w:val="21"/>
              </w:rPr>
              <w:t>Author(s)</w:t>
            </w:r>
          </w:p>
        </w:tc>
        <w:tc>
          <w:tcPr>
            <w:tcW w:w="723" w:type="pct"/>
            <w:tcBorders>
              <w:top w:val="single" w:sz="4" w:space="0" w:color="auto"/>
              <w:bottom w:val="single" w:sz="4" w:space="0" w:color="auto"/>
            </w:tcBorders>
            <w:shd w:val="clear" w:color="auto" w:fill="auto"/>
            <w:vAlign w:val="center"/>
          </w:tcPr>
          <w:p w14:paraId="3203B2C4" w14:textId="77777777" w:rsidR="005E0802" w:rsidRPr="00A12CDC" w:rsidRDefault="005E0802" w:rsidP="00471F3F">
            <w:pPr>
              <w:tabs>
                <w:tab w:val="left" w:pos="377"/>
              </w:tabs>
              <w:spacing w:line="360" w:lineRule="auto"/>
              <w:jc w:val="center"/>
              <w:rPr>
                <w:bCs/>
                <w:color w:val="000000" w:themeColor="text1"/>
                <w:szCs w:val="21"/>
              </w:rPr>
            </w:pPr>
            <w:r w:rsidRPr="00A12CDC">
              <w:rPr>
                <w:bCs/>
                <w:color w:val="000000" w:themeColor="text1"/>
                <w:szCs w:val="21"/>
              </w:rPr>
              <w:t>Journal</w:t>
            </w:r>
          </w:p>
        </w:tc>
        <w:tc>
          <w:tcPr>
            <w:tcW w:w="388" w:type="pct"/>
            <w:tcBorders>
              <w:top w:val="single" w:sz="4" w:space="0" w:color="auto"/>
              <w:bottom w:val="single" w:sz="4" w:space="0" w:color="auto"/>
            </w:tcBorders>
            <w:shd w:val="clear" w:color="auto" w:fill="auto"/>
            <w:vAlign w:val="center"/>
          </w:tcPr>
          <w:p w14:paraId="52EDC897" w14:textId="77777777" w:rsidR="005E0802" w:rsidRPr="00A12CDC" w:rsidRDefault="005E0802" w:rsidP="00471F3F">
            <w:pPr>
              <w:tabs>
                <w:tab w:val="left" w:pos="377"/>
              </w:tabs>
              <w:spacing w:line="360" w:lineRule="auto"/>
              <w:jc w:val="center"/>
              <w:rPr>
                <w:bCs/>
                <w:color w:val="000000" w:themeColor="text1"/>
                <w:szCs w:val="21"/>
              </w:rPr>
            </w:pPr>
            <w:r w:rsidRPr="00A12CDC">
              <w:rPr>
                <w:bCs/>
                <w:color w:val="000000" w:themeColor="text1"/>
                <w:szCs w:val="21"/>
              </w:rPr>
              <w:t>Country</w:t>
            </w:r>
          </w:p>
        </w:tc>
        <w:tc>
          <w:tcPr>
            <w:tcW w:w="172" w:type="pct"/>
            <w:tcBorders>
              <w:top w:val="single" w:sz="4" w:space="0" w:color="auto"/>
              <w:bottom w:val="single" w:sz="4" w:space="0" w:color="auto"/>
            </w:tcBorders>
            <w:shd w:val="clear" w:color="auto" w:fill="auto"/>
            <w:vAlign w:val="center"/>
          </w:tcPr>
          <w:p w14:paraId="07353C53" w14:textId="77777777" w:rsidR="005E0802" w:rsidRPr="00A12CDC" w:rsidRDefault="005E0802" w:rsidP="00471F3F">
            <w:pPr>
              <w:tabs>
                <w:tab w:val="left" w:pos="377"/>
              </w:tabs>
              <w:spacing w:line="360" w:lineRule="auto"/>
              <w:jc w:val="center"/>
              <w:rPr>
                <w:bCs/>
                <w:color w:val="000000" w:themeColor="text1"/>
                <w:szCs w:val="21"/>
              </w:rPr>
            </w:pPr>
            <w:r w:rsidRPr="00A12CDC">
              <w:rPr>
                <w:bCs/>
                <w:color w:val="000000" w:themeColor="text1"/>
                <w:szCs w:val="21"/>
              </w:rPr>
              <w:t>TC</w:t>
            </w:r>
          </w:p>
        </w:tc>
        <w:tc>
          <w:tcPr>
            <w:tcW w:w="215" w:type="pct"/>
            <w:tcBorders>
              <w:top w:val="single" w:sz="4" w:space="0" w:color="auto"/>
              <w:bottom w:val="single" w:sz="4" w:space="0" w:color="auto"/>
            </w:tcBorders>
            <w:shd w:val="clear" w:color="auto" w:fill="auto"/>
            <w:vAlign w:val="center"/>
          </w:tcPr>
          <w:p w14:paraId="2057EC1C" w14:textId="77777777" w:rsidR="005E0802" w:rsidRPr="00A12CDC" w:rsidRDefault="005E0802" w:rsidP="00471F3F">
            <w:pPr>
              <w:tabs>
                <w:tab w:val="left" w:pos="377"/>
              </w:tabs>
              <w:spacing w:line="360" w:lineRule="auto"/>
              <w:jc w:val="center"/>
              <w:rPr>
                <w:bCs/>
                <w:color w:val="000000" w:themeColor="text1"/>
                <w:szCs w:val="21"/>
              </w:rPr>
            </w:pPr>
            <w:r w:rsidRPr="00A12CDC">
              <w:rPr>
                <w:bCs/>
                <w:color w:val="000000" w:themeColor="text1"/>
                <w:szCs w:val="21"/>
              </w:rPr>
              <w:t>Year</w:t>
            </w:r>
          </w:p>
        </w:tc>
        <w:tc>
          <w:tcPr>
            <w:tcW w:w="215" w:type="pct"/>
            <w:tcBorders>
              <w:top w:val="single" w:sz="4" w:space="0" w:color="auto"/>
              <w:bottom w:val="single" w:sz="4" w:space="0" w:color="auto"/>
            </w:tcBorders>
            <w:vAlign w:val="center"/>
          </w:tcPr>
          <w:p w14:paraId="6809AB3C" w14:textId="77777777" w:rsidR="005E0802" w:rsidRPr="00A12CDC" w:rsidRDefault="005E0802" w:rsidP="00471F3F">
            <w:pPr>
              <w:tabs>
                <w:tab w:val="left" w:pos="377"/>
              </w:tabs>
              <w:spacing w:line="360" w:lineRule="auto"/>
              <w:jc w:val="center"/>
              <w:rPr>
                <w:bCs/>
                <w:color w:val="000000" w:themeColor="text1"/>
                <w:szCs w:val="21"/>
              </w:rPr>
            </w:pPr>
            <w:r w:rsidRPr="00A12CDC">
              <w:rPr>
                <w:bCs/>
                <w:color w:val="000000" w:themeColor="text1"/>
                <w:szCs w:val="21"/>
              </w:rPr>
              <w:t>TC/Y</w:t>
            </w:r>
          </w:p>
        </w:tc>
      </w:tr>
      <w:tr w:rsidR="005E0802" w:rsidRPr="00A12CDC" w14:paraId="339E5958" w14:textId="77777777" w:rsidTr="003F49DF">
        <w:tc>
          <w:tcPr>
            <w:tcW w:w="1947" w:type="pct"/>
            <w:tcBorders>
              <w:top w:val="single" w:sz="4" w:space="0" w:color="auto"/>
              <w:bottom w:val="single" w:sz="4" w:space="0" w:color="auto"/>
            </w:tcBorders>
            <w:shd w:val="clear" w:color="auto" w:fill="auto"/>
            <w:vAlign w:val="center"/>
          </w:tcPr>
          <w:p w14:paraId="1DCAF838" w14:textId="382C4B12" w:rsidR="005E0802" w:rsidRPr="00A12CDC" w:rsidRDefault="005E0802" w:rsidP="00471F3F">
            <w:pPr>
              <w:tabs>
                <w:tab w:val="left" w:pos="377"/>
              </w:tabs>
              <w:spacing w:line="360" w:lineRule="auto"/>
              <w:rPr>
                <w:color w:val="000000" w:themeColor="text1"/>
                <w:szCs w:val="21"/>
              </w:rPr>
            </w:pPr>
            <w:bookmarkStart w:id="4" w:name="_Hlk4412801"/>
            <w:r w:rsidRPr="00A12CDC">
              <w:rPr>
                <w:color w:val="000000" w:themeColor="text1"/>
                <w:szCs w:val="21"/>
              </w:rPr>
              <w:t>Growth in emission transfers via international trade from 1990 to 2008</w:t>
            </w:r>
            <w:r w:rsidR="00E40CEB">
              <w:rPr>
                <w:color w:val="000000" w:themeColor="text1"/>
                <w:szCs w:val="21"/>
              </w:rPr>
              <w:fldChar w:fldCharType="begin"/>
            </w:r>
            <w:r w:rsidR="00E40CEB">
              <w:rPr>
                <w:color w:val="000000" w:themeColor="text1"/>
                <w:szCs w:val="21"/>
              </w:rPr>
              <w:instrText xml:space="preserve"> REF _Ref66565496 \r \h </w:instrText>
            </w:r>
            <w:r w:rsidR="00E40CEB">
              <w:rPr>
                <w:color w:val="000000" w:themeColor="text1"/>
                <w:szCs w:val="21"/>
              </w:rPr>
            </w:r>
            <w:r w:rsidR="00E40CEB">
              <w:rPr>
                <w:color w:val="000000" w:themeColor="text1"/>
                <w:szCs w:val="21"/>
              </w:rPr>
              <w:fldChar w:fldCharType="separate"/>
            </w:r>
            <w:r w:rsidR="00C56E70">
              <w:rPr>
                <w:color w:val="000000" w:themeColor="text1"/>
                <w:szCs w:val="21"/>
              </w:rPr>
              <w:t>[1]</w:t>
            </w:r>
            <w:r w:rsidR="00E40CEB">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0EA12DCD" w14:textId="008AE2DC"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Peters, G.; Minx, J.; Weber, C.L.; Edenhofer, O.</w:t>
            </w:r>
          </w:p>
        </w:tc>
        <w:tc>
          <w:tcPr>
            <w:tcW w:w="723" w:type="pct"/>
            <w:tcBorders>
              <w:top w:val="single" w:sz="4" w:space="0" w:color="auto"/>
              <w:bottom w:val="single" w:sz="4" w:space="0" w:color="auto"/>
            </w:tcBorders>
            <w:shd w:val="clear" w:color="auto" w:fill="auto"/>
            <w:vAlign w:val="center"/>
          </w:tcPr>
          <w:p w14:paraId="5866C074"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PNAS</w:t>
            </w:r>
          </w:p>
        </w:tc>
        <w:tc>
          <w:tcPr>
            <w:tcW w:w="388" w:type="pct"/>
            <w:tcBorders>
              <w:top w:val="single" w:sz="4" w:space="0" w:color="auto"/>
              <w:bottom w:val="single" w:sz="4" w:space="0" w:color="auto"/>
            </w:tcBorders>
            <w:shd w:val="clear" w:color="auto" w:fill="auto"/>
            <w:vAlign w:val="center"/>
          </w:tcPr>
          <w:p w14:paraId="78F1F7B5"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Norway</w:t>
            </w:r>
          </w:p>
        </w:tc>
        <w:tc>
          <w:tcPr>
            <w:tcW w:w="172" w:type="pct"/>
            <w:tcBorders>
              <w:top w:val="single" w:sz="4" w:space="0" w:color="auto"/>
              <w:bottom w:val="single" w:sz="4" w:space="0" w:color="auto"/>
            </w:tcBorders>
            <w:shd w:val="clear" w:color="auto" w:fill="auto"/>
            <w:vAlign w:val="center"/>
          </w:tcPr>
          <w:p w14:paraId="75B8C539"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655</w:t>
            </w:r>
          </w:p>
        </w:tc>
        <w:tc>
          <w:tcPr>
            <w:tcW w:w="215" w:type="pct"/>
            <w:tcBorders>
              <w:top w:val="single" w:sz="4" w:space="0" w:color="auto"/>
              <w:bottom w:val="single" w:sz="4" w:space="0" w:color="auto"/>
            </w:tcBorders>
            <w:shd w:val="clear" w:color="auto" w:fill="auto"/>
            <w:vAlign w:val="center"/>
          </w:tcPr>
          <w:p w14:paraId="4C732041"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2011</w:t>
            </w:r>
          </w:p>
        </w:tc>
        <w:tc>
          <w:tcPr>
            <w:tcW w:w="215" w:type="pct"/>
            <w:tcBorders>
              <w:top w:val="single" w:sz="4" w:space="0" w:color="auto"/>
              <w:bottom w:val="single" w:sz="4" w:space="0" w:color="auto"/>
            </w:tcBorders>
            <w:vAlign w:val="center"/>
          </w:tcPr>
          <w:p w14:paraId="77A943E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65.5</w:t>
            </w:r>
          </w:p>
        </w:tc>
      </w:tr>
      <w:bookmarkEnd w:id="4"/>
      <w:tr w:rsidR="005E0802" w:rsidRPr="00A12CDC" w14:paraId="23E5AB73" w14:textId="77777777" w:rsidTr="003F49DF">
        <w:tc>
          <w:tcPr>
            <w:tcW w:w="1947" w:type="pct"/>
            <w:tcBorders>
              <w:top w:val="single" w:sz="4" w:space="0" w:color="auto"/>
              <w:bottom w:val="single" w:sz="4" w:space="0" w:color="auto"/>
            </w:tcBorders>
            <w:shd w:val="clear" w:color="auto" w:fill="auto"/>
            <w:vAlign w:val="center"/>
          </w:tcPr>
          <w:p w14:paraId="5CD664CD" w14:textId="7A6314B8"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The material footprint of nations</w:t>
            </w:r>
            <w:r w:rsidR="003F49DF">
              <w:rPr>
                <w:color w:val="000000" w:themeColor="text1"/>
                <w:szCs w:val="21"/>
              </w:rPr>
              <w:fldChar w:fldCharType="begin"/>
            </w:r>
            <w:r w:rsidR="003F49DF">
              <w:rPr>
                <w:color w:val="000000" w:themeColor="text1"/>
                <w:szCs w:val="21"/>
              </w:rPr>
              <w:instrText xml:space="preserve"> REF _Ref66565581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[2]</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27E5F28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Wiedmann, T.O.; Schandl, H.; Lenzen, M.; Moran, D.; Suh, S.; West, J.; Kanemoto, K.</w:t>
            </w:r>
          </w:p>
        </w:tc>
        <w:tc>
          <w:tcPr>
            <w:tcW w:w="723" w:type="pct"/>
            <w:tcBorders>
              <w:top w:val="single" w:sz="4" w:space="0" w:color="auto"/>
              <w:bottom w:val="single" w:sz="4" w:space="0" w:color="auto"/>
            </w:tcBorders>
            <w:shd w:val="clear" w:color="auto" w:fill="auto"/>
            <w:vAlign w:val="center"/>
          </w:tcPr>
          <w:p w14:paraId="3B95E7A8"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PNAS</w:t>
            </w:r>
          </w:p>
        </w:tc>
        <w:tc>
          <w:tcPr>
            <w:tcW w:w="388" w:type="pct"/>
            <w:tcBorders>
              <w:top w:val="single" w:sz="4" w:space="0" w:color="auto"/>
              <w:bottom w:val="single" w:sz="4" w:space="0" w:color="auto"/>
            </w:tcBorders>
            <w:shd w:val="clear" w:color="auto" w:fill="auto"/>
            <w:vAlign w:val="center"/>
          </w:tcPr>
          <w:p w14:paraId="00E4DDDE"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Australia</w:t>
            </w:r>
          </w:p>
        </w:tc>
        <w:tc>
          <w:tcPr>
            <w:tcW w:w="172" w:type="pct"/>
            <w:tcBorders>
              <w:top w:val="single" w:sz="4" w:space="0" w:color="auto"/>
              <w:bottom w:val="single" w:sz="4" w:space="0" w:color="auto"/>
            </w:tcBorders>
            <w:shd w:val="clear" w:color="auto" w:fill="auto"/>
            <w:vAlign w:val="center"/>
          </w:tcPr>
          <w:p w14:paraId="67204C36"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468</w:t>
            </w:r>
          </w:p>
        </w:tc>
        <w:tc>
          <w:tcPr>
            <w:tcW w:w="215" w:type="pct"/>
            <w:tcBorders>
              <w:top w:val="single" w:sz="4" w:space="0" w:color="auto"/>
              <w:bottom w:val="single" w:sz="4" w:space="0" w:color="auto"/>
            </w:tcBorders>
            <w:shd w:val="clear" w:color="auto" w:fill="auto"/>
            <w:vAlign w:val="center"/>
          </w:tcPr>
          <w:p w14:paraId="5D18A728" w14:textId="1C982753"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201</w:t>
            </w:r>
            <w:r w:rsidR="00176CD8">
              <w:rPr>
                <w:color w:val="000000" w:themeColor="text1"/>
                <w:szCs w:val="21"/>
              </w:rPr>
              <w:t>3</w:t>
            </w:r>
          </w:p>
        </w:tc>
        <w:tc>
          <w:tcPr>
            <w:tcW w:w="215" w:type="pct"/>
            <w:tcBorders>
              <w:top w:val="single" w:sz="4" w:space="0" w:color="auto"/>
              <w:bottom w:val="single" w:sz="4" w:space="0" w:color="auto"/>
            </w:tcBorders>
            <w:vAlign w:val="center"/>
          </w:tcPr>
          <w:p w14:paraId="15D19249" w14:textId="2EBB0712" w:rsidR="005E0802" w:rsidRPr="00A12CDC" w:rsidRDefault="00176CD8" w:rsidP="00471F3F">
            <w:pPr>
              <w:tabs>
                <w:tab w:val="left" w:pos="377"/>
              </w:tabs>
              <w:spacing w:line="360" w:lineRule="auto"/>
              <w:jc w:val="center"/>
              <w:rPr>
                <w:color w:val="000000" w:themeColor="text1"/>
                <w:szCs w:val="21"/>
              </w:rPr>
            </w:pPr>
            <w:r>
              <w:rPr>
                <w:color w:val="000000" w:themeColor="text1"/>
                <w:szCs w:val="21"/>
              </w:rPr>
              <w:t>58.5</w:t>
            </w:r>
          </w:p>
        </w:tc>
      </w:tr>
      <w:tr w:rsidR="005E0802" w:rsidRPr="00A12CDC" w14:paraId="6E9CD4AB" w14:textId="77777777" w:rsidTr="003F49DF">
        <w:tc>
          <w:tcPr>
            <w:tcW w:w="1947" w:type="pct"/>
            <w:tcBorders>
              <w:top w:val="single" w:sz="4" w:space="0" w:color="auto"/>
              <w:bottom w:val="single" w:sz="4" w:space="0" w:color="auto"/>
            </w:tcBorders>
            <w:shd w:val="clear" w:color="auto" w:fill="auto"/>
            <w:vAlign w:val="center"/>
          </w:tcPr>
          <w:p w14:paraId="3CEF25B5" w14:textId="2635AFAA"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The drivers of Chinese CO2 emissions from 1980 to 2030</w:t>
            </w:r>
            <w:r w:rsidR="003F49DF">
              <w:rPr>
                <w:color w:val="000000" w:themeColor="text1"/>
                <w:szCs w:val="21"/>
              </w:rPr>
              <w:fldChar w:fldCharType="begin"/>
            </w:r>
            <w:r w:rsidR="003F49DF">
              <w:rPr>
                <w:color w:val="000000" w:themeColor="text1"/>
                <w:szCs w:val="21"/>
              </w:rPr>
              <w:instrText xml:space="preserve"> REF _Ref66565587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[3]</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3D865CCE"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Guan, D.B.; Hubacek, K.; Weber, C.L.; Peters, G.P.; Reiner, D.M.</w:t>
            </w:r>
          </w:p>
        </w:tc>
        <w:tc>
          <w:tcPr>
            <w:tcW w:w="723" w:type="pct"/>
            <w:tcBorders>
              <w:top w:val="single" w:sz="4" w:space="0" w:color="auto"/>
              <w:bottom w:val="single" w:sz="4" w:space="0" w:color="auto"/>
            </w:tcBorders>
            <w:shd w:val="clear" w:color="auto" w:fill="auto"/>
            <w:vAlign w:val="center"/>
          </w:tcPr>
          <w:p w14:paraId="66A332AF"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Global Environmental Change</w:t>
            </w:r>
          </w:p>
        </w:tc>
        <w:tc>
          <w:tcPr>
            <w:tcW w:w="388" w:type="pct"/>
            <w:tcBorders>
              <w:top w:val="single" w:sz="4" w:space="0" w:color="auto"/>
              <w:bottom w:val="single" w:sz="4" w:space="0" w:color="auto"/>
            </w:tcBorders>
            <w:shd w:val="clear" w:color="auto" w:fill="auto"/>
            <w:vAlign w:val="center"/>
          </w:tcPr>
          <w:p w14:paraId="1DDC5A5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China</w:t>
            </w:r>
          </w:p>
        </w:tc>
        <w:tc>
          <w:tcPr>
            <w:tcW w:w="172" w:type="pct"/>
            <w:tcBorders>
              <w:top w:val="single" w:sz="4" w:space="0" w:color="auto"/>
              <w:bottom w:val="single" w:sz="4" w:space="0" w:color="auto"/>
            </w:tcBorders>
            <w:shd w:val="clear" w:color="auto" w:fill="auto"/>
            <w:vAlign w:val="center"/>
          </w:tcPr>
          <w:p w14:paraId="29826B4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363</w:t>
            </w:r>
          </w:p>
        </w:tc>
        <w:tc>
          <w:tcPr>
            <w:tcW w:w="215" w:type="pct"/>
            <w:tcBorders>
              <w:top w:val="single" w:sz="4" w:space="0" w:color="auto"/>
              <w:bottom w:val="single" w:sz="4" w:space="0" w:color="auto"/>
            </w:tcBorders>
            <w:shd w:val="clear" w:color="auto" w:fill="auto"/>
            <w:vAlign w:val="center"/>
          </w:tcPr>
          <w:p w14:paraId="0B59B0E6"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2008</w:t>
            </w:r>
          </w:p>
        </w:tc>
        <w:tc>
          <w:tcPr>
            <w:tcW w:w="215" w:type="pct"/>
            <w:tcBorders>
              <w:top w:val="single" w:sz="4" w:space="0" w:color="auto"/>
              <w:bottom w:val="single" w:sz="4" w:space="0" w:color="auto"/>
            </w:tcBorders>
            <w:vAlign w:val="center"/>
          </w:tcPr>
          <w:p w14:paraId="0AE42CF1"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27.9</w:t>
            </w:r>
          </w:p>
        </w:tc>
      </w:tr>
      <w:tr w:rsidR="005E0802" w:rsidRPr="00A12CDC" w14:paraId="0AE6AFBA" w14:textId="77777777" w:rsidTr="003F49DF">
        <w:tc>
          <w:tcPr>
            <w:tcW w:w="1947" w:type="pct"/>
            <w:tcBorders>
              <w:top w:val="single" w:sz="4" w:space="0" w:color="auto"/>
              <w:bottom w:val="single" w:sz="4" w:space="0" w:color="auto"/>
            </w:tcBorders>
            <w:shd w:val="clear" w:color="auto" w:fill="auto"/>
            <w:vAlign w:val="center"/>
          </w:tcPr>
          <w:p w14:paraId="11978A07" w14:textId="5A81FB59"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Mapping the Structure of the World Economy</w:t>
            </w:r>
            <w:r w:rsidR="003F49DF">
              <w:rPr>
                <w:color w:val="000000" w:themeColor="text1"/>
                <w:szCs w:val="21"/>
              </w:rPr>
              <w:fldChar w:fldCharType="begin"/>
            </w:r>
            <w:r w:rsidR="003F49DF">
              <w:rPr>
                <w:color w:val="000000" w:themeColor="text1"/>
                <w:szCs w:val="21"/>
              </w:rPr>
              <w:instrText xml:space="preserve"> REF _Ref66565593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[4]</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7D96E337" w14:textId="284EE993" w:rsidR="005E0802" w:rsidRPr="00A12CDC" w:rsidRDefault="00DC1C02" w:rsidP="00471F3F">
            <w:pPr>
              <w:tabs>
                <w:tab w:val="left" w:pos="377"/>
              </w:tabs>
              <w:spacing w:line="360" w:lineRule="auto"/>
              <w:jc w:val="center"/>
              <w:rPr>
                <w:color w:val="000000" w:themeColor="text1"/>
                <w:szCs w:val="21"/>
              </w:rPr>
            </w:pPr>
            <w:r w:rsidRPr="00DC1C02">
              <w:rPr>
                <w:color w:val="000000" w:themeColor="text1"/>
                <w:szCs w:val="21"/>
              </w:rPr>
              <w:t>Lenzeiy</w:t>
            </w:r>
            <w:r w:rsidR="005E0802" w:rsidRPr="00A12CDC">
              <w:rPr>
                <w:color w:val="000000" w:themeColor="text1"/>
                <w:szCs w:val="21"/>
              </w:rPr>
              <w:t>, M.; Kanemoto, K.; Moran, D.; Geschke, A.</w:t>
            </w:r>
          </w:p>
        </w:tc>
        <w:tc>
          <w:tcPr>
            <w:tcW w:w="723" w:type="pct"/>
            <w:tcBorders>
              <w:top w:val="single" w:sz="4" w:space="0" w:color="auto"/>
              <w:bottom w:val="single" w:sz="4" w:space="0" w:color="auto"/>
            </w:tcBorders>
            <w:shd w:val="clear" w:color="auto" w:fill="auto"/>
            <w:vAlign w:val="center"/>
          </w:tcPr>
          <w:p w14:paraId="2097A96C"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Environmental Science &amp; Technology</w:t>
            </w:r>
          </w:p>
        </w:tc>
        <w:tc>
          <w:tcPr>
            <w:tcW w:w="388" w:type="pct"/>
            <w:tcBorders>
              <w:top w:val="single" w:sz="4" w:space="0" w:color="auto"/>
              <w:bottom w:val="single" w:sz="4" w:space="0" w:color="auto"/>
            </w:tcBorders>
            <w:shd w:val="clear" w:color="auto" w:fill="auto"/>
            <w:vAlign w:val="center"/>
          </w:tcPr>
          <w:p w14:paraId="754B5232"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Australia</w:t>
            </w:r>
          </w:p>
        </w:tc>
        <w:tc>
          <w:tcPr>
            <w:tcW w:w="172" w:type="pct"/>
            <w:tcBorders>
              <w:top w:val="single" w:sz="4" w:space="0" w:color="auto"/>
              <w:bottom w:val="single" w:sz="4" w:space="0" w:color="auto"/>
            </w:tcBorders>
            <w:shd w:val="clear" w:color="auto" w:fill="auto"/>
            <w:vAlign w:val="center"/>
          </w:tcPr>
          <w:p w14:paraId="659D50AE"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358</w:t>
            </w:r>
          </w:p>
        </w:tc>
        <w:tc>
          <w:tcPr>
            <w:tcW w:w="215" w:type="pct"/>
            <w:tcBorders>
              <w:top w:val="single" w:sz="4" w:space="0" w:color="auto"/>
              <w:bottom w:val="single" w:sz="4" w:space="0" w:color="auto"/>
            </w:tcBorders>
            <w:shd w:val="clear" w:color="auto" w:fill="auto"/>
            <w:vAlign w:val="center"/>
          </w:tcPr>
          <w:p w14:paraId="5F2D219D"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2012</w:t>
            </w:r>
          </w:p>
        </w:tc>
        <w:tc>
          <w:tcPr>
            <w:tcW w:w="215" w:type="pct"/>
            <w:tcBorders>
              <w:top w:val="single" w:sz="4" w:space="0" w:color="auto"/>
              <w:bottom w:val="single" w:sz="4" w:space="0" w:color="auto"/>
            </w:tcBorders>
            <w:vAlign w:val="center"/>
          </w:tcPr>
          <w:p w14:paraId="616F6E48"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39.8</w:t>
            </w:r>
          </w:p>
        </w:tc>
      </w:tr>
      <w:tr w:rsidR="005E0802" w:rsidRPr="00A12CDC" w14:paraId="48B299AF" w14:textId="77777777" w:rsidTr="003F49DF">
        <w:tc>
          <w:tcPr>
            <w:tcW w:w="1947" w:type="pct"/>
            <w:tcBorders>
              <w:top w:val="single" w:sz="4" w:space="0" w:color="auto"/>
              <w:bottom w:val="single" w:sz="4" w:space="0" w:color="auto"/>
            </w:tcBorders>
            <w:shd w:val="clear" w:color="auto" w:fill="auto"/>
            <w:vAlign w:val="center"/>
          </w:tcPr>
          <w:p w14:paraId="4EF037CE" w14:textId="2618FE5C"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Life cycle GHG emission analysis of power generation systems: Japanese case</w:t>
            </w:r>
            <w:r w:rsidR="003F49DF">
              <w:rPr>
                <w:color w:val="000000" w:themeColor="text1"/>
                <w:szCs w:val="21"/>
              </w:rPr>
              <w:fldChar w:fldCharType="begin"/>
            </w:r>
            <w:r w:rsidR="003F49DF">
              <w:rPr>
                <w:color w:val="000000" w:themeColor="text1"/>
                <w:szCs w:val="21"/>
              </w:rPr>
              <w:instrText xml:space="preserve"> REF _Ref66565598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[5]</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7099AD61"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Hondo, H.</w:t>
            </w:r>
          </w:p>
        </w:tc>
        <w:tc>
          <w:tcPr>
            <w:tcW w:w="723" w:type="pct"/>
            <w:tcBorders>
              <w:top w:val="single" w:sz="4" w:space="0" w:color="auto"/>
              <w:bottom w:val="single" w:sz="4" w:space="0" w:color="auto"/>
            </w:tcBorders>
            <w:shd w:val="clear" w:color="auto" w:fill="auto"/>
            <w:vAlign w:val="center"/>
          </w:tcPr>
          <w:p w14:paraId="529D5062"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Energy</w:t>
            </w:r>
          </w:p>
        </w:tc>
        <w:tc>
          <w:tcPr>
            <w:tcW w:w="388" w:type="pct"/>
            <w:tcBorders>
              <w:top w:val="single" w:sz="4" w:space="0" w:color="auto"/>
              <w:bottom w:val="single" w:sz="4" w:space="0" w:color="auto"/>
            </w:tcBorders>
            <w:shd w:val="clear" w:color="auto" w:fill="auto"/>
            <w:vAlign w:val="center"/>
          </w:tcPr>
          <w:p w14:paraId="78219A09"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Japan</w:t>
            </w:r>
          </w:p>
        </w:tc>
        <w:tc>
          <w:tcPr>
            <w:tcW w:w="172" w:type="pct"/>
            <w:tcBorders>
              <w:top w:val="single" w:sz="4" w:space="0" w:color="auto"/>
              <w:bottom w:val="single" w:sz="4" w:space="0" w:color="auto"/>
            </w:tcBorders>
            <w:shd w:val="clear" w:color="auto" w:fill="auto"/>
            <w:vAlign w:val="center"/>
          </w:tcPr>
          <w:p w14:paraId="3C1F54B0"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318</w:t>
            </w:r>
          </w:p>
        </w:tc>
        <w:tc>
          <w:tcPr>
            <w:tcW w:w="215" w:type="pct"/>
            <w:tcBorders>
              <w:top w:val="single" w:sz="4" w:space="0" w:color="auto"/>
              <w:bottom w:val="single" w:sz="4" w:space="0" w:color="auto"/>
            </w:tcBorders>
            <w:shd w:val="clear" w:color="auto" w:fill="auto"/>
            <w:vAlign w:val="center"/>
          </w:tcPr>
          <w:p w14:paraId="1900C2E0"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2005</w:t>
            </w:r>
          </w:p>
        </w:tc>
        <w:tc>
          <w:tcPr>
            <w:tcW w:w="215" w:type="pct"/>
            <w:tcBorders>
              <w:top w:val="single" w:sz="4" w:space="0" w:color="auto"/>
              <w:bottom w:val="single" w:sz="4" w:space="0" w:color="auto"/>
            </w:tcBorders>
            <w:vAlign w:val="center"/>
          </w:tcPr>
          <w:p w14:paraId="4D40C42C"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19.9</w:t>
            </w:r>
          </w:p>
        </w:tc>
      </w:tr>
      <w:tr w:rsidR="005E0802" w:rsidRPr="00A12CDC" w14:paraId="2AE0AAE0" w14:textId="77777777" w:rsidTr="003F49DF">
        <w:tc>
          <w:tcPr>
            <w:tcW w:w="1947" w:type="pct"/>
            <w:tcBorders>
              <w:top w:val="single" w:sz="4" w:space="0" w:color="auto"/>
              <w:bottom w:val="single" w:sz="4" w:space="0" w:color="auto"/>
            </w:tcBorders>
            <w:shd w:val="clear" w:color="auto" w:fill="auto"/>
            <w:vAlign w:val="center"/>
          </w:tcPr>
          <w:p w14:paraId="06BEB647" w14:textId="4469A00D"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Affluence drives the global displacement of land use</w:t>
            </w:r>
            <w:r w:rsidR="003F49DF">
              <w:rPr>
                <w:color w:val="000000" w:themeColor="text1"/>
                <w:szCs w:val="21"/>
              </w:rPr>
              <w:fldChar w:fldCharType="begin"/>
            </w:r>
            <w:r w:rsidR="003F49DF">
              <w:rPr>
                <w:color w:val="000000" w:themeColor="text1"/>
                <w:szCs w:val="21"/>
              </w:rPr>
              <w:instrText xml:space="preserve"> REF _Ref66565604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[6]</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5D638441"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Weinzettel, J.; Hertwich, E.G.; Peters, G.P.; Steen-Olsen, K.; Galli, A.</w:t>
            </w:r>
          </w:p>
        </w:tc>
        <w:tc>
          <w:tcPr>
            <w:tcW w:w="723" w:type="pct"/>
            <w:tcBorders>
              <w:top w:val="single" w:sz="4" w:space="0" w:color="auto"/>
              <w:bottom w:val="single" w:sz="4" w:space="0" w:color="auto"/>
            </w:tcBorders>
            <w:shd w:val="clear" w:color="auto" w:fill="auto"/>
            <w:vAlign w:val="center"/>
          </w:tcPr>
          <w:p w14:paraId="4DD58FDF"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Global Environmental Change</w:t>
            </w:r>
          </w:p>
        </w:tc>
        <w:tc>
          <w:tcPr>
            <w:tcW w:w="388" w:type="pct"/>
            <w:tcBorders>
              <w:top w:val="single" w:sz="4" w:space="0" w:color="auto"/>
              <w:bottom w:val="single" w:sz="4" w:space="0" w:color="auto"/>
            </w:tcBorders>
            <w:shd w:val="clear" w:color="auto" w:fill="auto"/>
            <w:vAlign w:val="center"/>
          </w:tcPr>
          <w:p w14:paraId="14FD4B2F"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Norway</w:t>
            </w:r>
          </w:p>
        </w:tc>
        <w:tc>
          <w:tcPr>
            <w:tcW w:w="172" w:type="pct"/>
            <w:tcBorders>
              <w:top w:val="single" w:sz="4" w:space="0" w:color="auto"/>
              <w:bottom w:val="single" w:sz="4" w:space="0" w:color="auto"/>
            </w:tcBorders>
            <w:shd w:val="clear" w:color="auto" w:fill="auto"/>
            <w:vAlign w:val="center"/>
          </w:tcPr>
          <w:p w14:paraId="543A1680"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287</w:t>
            </w:r>
          </w:p>
        </w:tc>
        <w:tc>
          <w:tcPr>
            <w:tcW w:w="215" w:type="pct"/>
            <w:tcBorders>
              <w:top w:val="single" w:sz="4" w:space="0" w:color="auto"/>
              <w:bottom w:val="single" w:sz="4" w:space="0" w:color="auto"/>
            </w:tcBorders>
            <w:shd w:val="clear" w:color="auto" w:fill="auto"/>
            <w:vAlign w:val="center"/>
          </w:tcPr>
          <w:p w14:paraId="537E10D4"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2013</w:t>
            </w:r>
          </w:p>
        </w:tc>
        <w:tc>
          <w:tcPr>
            <w:tcW w:w="215" w:type="pct"/>
            <w:tcBorders>
              <w:top w:val="single" w:sz="4" w:space="0" w:color="auto"/>
              <w:bottom w:val="single" w:sz="4" w:space="0" w:color="auto"/>
            </w:tcBorders>
            <w:vAlign w:val="center"/>
          </w:tcPr>
          <w:p w14:paraId="2658772C"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35.9</w:t>
            </w:r>
          </w:p>
        </w:tc>
      </w:tr>
      <w:tr w:rsidR="005E0802" w:rsidRPr="00A12CDC" w14:paraId="20152662" w14:textId="77777777" w:rsidTr="003F49DF">
        <w:tc>
          <w:tcPr>
            <w:tcW w:w="1947" w:type="pct"/>
            <w:tcBorders>
              <w:top w:val="single" w:sz="4" w:space="0" w:color="auto"/>
              <w:bottom w:val="single" w:sz="4" w:space="0" w:color="auto"/>
            </w:tcBorders>
            <w:shd w:val="clear" w:color="auto" w:fill="auto"/>
          </w:tcPr>
          <w:p w14:paraId="08082FB1" w14:textId="3285F13F"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The carbon footprint of UK households 1990-2004: A socio-economically disaggregated, quasi-multi-regional input-output model</w:t>
            </w:r>
            <w:r w:rsidR="00493D7D">
              <w:rPr>
                <w:color w:val="000000" w:themeColor="text1"/>
                <w:szCs w:val="21"/>
              </w:rPr>
              <w:fldChar w:fldCharType="begin"/>
            </w:r>
            <w:r w:rsidR="00493D7D">
              <w:rPr>
                <w:color w:val="000000" w:themeColor="text1"/>
                <w:szCs w:val="21"/>
              </w:rPr>
              <w:instrText xml:space="preserve"> REF _Ref66567903 \r \h </w:instrText>
            </w:r>
            <w:r w:rsidR="00493D7D">
              <w:rPr>
                <w:color w:val="000000" w:themeColor="text1"/>
                <w:szCs w:val="21"/>
              </w:rPr>
            </w:r>
            <w:r w:rsidR="00493D7D">
              <w:rPr>
                <w:color w:val="000000" w:themeColor="text1"/>
                <w:szCs w:val="21"/>
              </w:rPr>
              <w:fldChar w:fldCharType="separate"/>
            </w:r>
            <w:r w:rsidR="00C56E70">
              <w:rPr>
                <w:color w:val="000000" w:themeColor="text1"/>
                <w:szCs w:val="21"/>
              </w:rPr>
              <w:t>[7]</w:t>
            </w:r>
            <w:r w:rsidR="00493D7D">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3D1A446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Druckman, A.; Jackson, T.</w:t>
            </w:r>
          </w:p>
        </w:tc>
        <w:tc>
          <w:tcPr>
            <w:tcW w:w="723" w:type="pct"/>
            <w:tcBorders>
              <w:top w:val="single" w:sz="4" w:space="0" w:color="auto"/>
              <w:bottom w:val="single" w:sz="4" w:space="0" w:color="auto"/>
            </w:tcBorders>
            <w:shd w:val="clear" w:color="auto" w:fill="auto"/>
            <w:vAlign w:val="center"/>
          </w:tcPr>
          <w:p w14:paraId="33BE4E7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Ecological Economics</w:t>
            </w:r>
          </w:p>
        </w:tc>
        <w:tc>
          <w:tcPr>
            <w:tcW w:w="388" w:type="pct"/>
            <w:tcBorders>
              <w:top w:val="single" w:sz="4" w:space="0" w:color="auto"/>
              <w:bottom w:val="single" w:sz="4" w:space="0" w:color="auto"/>
            </w:tcBorders>
            <w:shd w:val="clear" w:color="auto" w:fill="auto"/>
            <w:vAlign w:val="center"/>
          </w:tcPr>
          <w:p w14:paraId="26D46C5E"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England</w:t>
            </w:r>
          </w:p>
        </w:tc>
        <w:tc>
          <w:tcPr>
            <w:tcW w:w="172" w:type="pct"/>
            <w:tcBorders>
              <w:top w:val="single" w:sz="4" w:space="0" w:color="auto"/>
              <w:bottom w:val="single" w:sz="4" w:space="0" w:color="auto"/>
            </w:tcBorders>
            <w:shd w:val="clear" w:color="auto" w:fill="auto"/>
            <w:vAlign w:val="center"/>
          </w:tcPr>
          <w:p w14:paraId="3E4E1CC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283</w:t>
            </w:r>
          </w:p>
        </w:tc>
        <w:tc>
          <w:tcPr>
            <w:tcW w:w="215" w:type="pct"/>
            <w:tcBorders>
              <w:top w:val="single" w:sz="4" w:space="0" w:color="auto"/>
              <w:bottom w:val="single" w:sz="4" w:space="0" w:color="auto"/>
            </w:tcBorders>
            <w:shd w:val="clear" w:color="auto" w:fill="auto"/>
            <w:vAlign w:val="center"/>
          </w:tcPr>
          <w:p w14:paraId="55B2D4D6"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2009</w:t>
            </w:r>
          </w:p>
        </w:tc>
        <w:tc>
          <w:tcPr>
            <w:tcW w:w="215" w:type="pct"/>
            <w:tcBorders>
              <w:top w:val="single" w:sz="4" w:space="0" w:color="auto"/>
              <w:bottom w:val="single" w:sz="4" w:space="0" w:color="auto"/>
            </w:tcBorders>
            <w:vAlign w:val="center"/>
          </w:tcPr>
          <w:p w14:paraId="489BE7B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23.6</w:t>
            </w:r>
          </w:p>
        </w:tc>
      </w:tr>
      <w:tr w:rsidR="005E0802" w:rsidRPr="00A12CDC" w14:paraId="2B82EA83" w14:textId="77777777" w:rsidTr="003F49DF">
        <w:tc>
          <w:tcPr>
            <w:tcW w:w="1947" w:type="pct"/>
            <w:tcBorders>
              <w:top w:val="single" w:sz="4" w:space="0" w:color="auto"/>
              <w:bottom w:val="single" w:sz="4" w:space="0" w:color="auto"/>
            </w:tcBorders>
            <w:shd w:val="clear" w:color="auto" w:fill="auto"/>
          </w:tcPr>
          <w:p w14:paraId="666E3B57" w14:textId="1C66627D"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Quantifying the global and distributional aspects of American household carbon footprint</w:t>
            </w:r>
            <w:r w:rsidR="003F49DF">
              <w:rPr>
                <w:color w:val="000000" w:themeColor="text1"/>
                <w:szCs w:val="21"/>
              </w:rPr>
              <w:fldChar w:fldCharType="begin"/>
            </w:r>
            <w:r w:rsidR="003F49DF">
              <w:rPr>
                <w:color w:val="000000" w:themeColor="text1"/>
                <w:szCs w:val="21"/>
              </w:rPr>
              <w:instrText xml:space="preserve"> REF _Ref66565617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[8]</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2DE76C39"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Weber, C.L.; Matthews, H.S.</w:t>
            </w:r>
          </w:p>
        </w:tc>
        <w:tc>
          <w:tcPr>
            <w:tcW w:w="723" w:type="pct"/>
            <w:tcBorders>
              <w:top w:val="single" w:sz="4" w:space="0" w:color="auto"/>
              <w:bottom w:val="single" w:sz="4" w:space="0" w:color="auto"/>
            </w:tcBorders>
            <w:shd w:val="clear" w:color="auto" w:fill="auto"/>
            <w:vAlign w:val="center"/>
          </w:tcPr>
          <w:p w14:paraId="222F849A"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Ecological Economics</w:t>
            </w:r>
          </w:p>
        </w:tc>
        <w:tc>
          <w:tcPr>
            <w:tcW w:w="388" w:type="pct"/>
            <w:tcBorders>
              <w:top w:val="single" w:sz="4" w:space="0" w:color="auto"/>
              <w:bottom w:val="single" w:sz="4" w:space="0" w:color="auto"/>
            </w:tcBorders>
            <w:shd w:val="clear" w:color="auto" w:fill="auto"/>
            <w:vAlign w:val="center"/>
          </w:tcPr>
          <w:p w14:paraId="13FEBCC6"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USA</w:t>
            </w:r>
          </w:p>
        </w:tc>
        <w:tc>
          <w:tcPr>
            <w:tcW w:w="172" w:type="pct"/>
            <w:tcBorders>
              <w:top w:val="single" w:sz="4" w:space="0" w:color="auto"/>
              <w:bottom w:val="single" w:sz="4" w:space="0" w:color="auto"/>
            </w:tcBorders>
            <w:shd w:val="clear" w:color="auto" w:fill="auto"/>
            <w:vAlign w:val="center"/>
          </w:tcPr>
          <w:p w14:paraId="2E9CAD94"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267</w:t>
            </w:r>
          </w:p>
        </w:tc>
        <w:tc>
          <w:tcPr>
            <w:tcW w:w="215" w:type="pct"/>
            <w:tcBorders>
              <w:top w:val="single" w:sz="4" w:space="0" w:color="auto"/>
              <w:bottom w:val="single" w:sz="4" w:space="0" w:color="auto"/>
            </w:tcBorders>
            <w:shd w:val="clear" w:color="auto" w:fill="auto"/>
            <w:vAlign w:val="center"/>
          </w:tcPr>
          <w:p w14:paraId="4BBBE2B4"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2008</w:t>
            </w:r>
          </w:p>
        </w:tc>
        <w:tc>
          <w:tcPr>
            <w:tcW w:w="215" w:type="pct"/>
            <w:tcBorders>
              <w:top w:val="single" w:sz="4" w:space="0" w:color="auto"/>
              <w:bottom w:val="single" w:sz="4" w:space="0" w:color="auto"/>
            </w:tcBorders>
            <w:vAlign w:val="center"/>
          </w:tcPr>
          <w:p w14:paraId="01F4E85D"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20.5</w:t>
            </w:r>
          </w:p>
        </w:tc>
      </w:tr>
      <w:tr w:rsidR="005E0802" w:rsidRPr="00A12CDC" w14:paraId="4F6DB700" w14:textId="77777777" w:rsidTr="003F49DF">
        <w:tc>
          <w:tcPr>
            <w:tcW w:w="1947" w:type="pct"/>
            <w:tcBorders>
              <w:top w:val="single" w:sz="4" w:space="0" w:color="auto"/>
              <w:bottom w:val="single" w:sz="4" w:space="0" w:color="auto"/>
            </w:tcBorders>
            <w:shd w:val="clear" w:color="auto" w:fill="auto"/>
          </w:tcPr>
          <w:p w14:paraId="586B7C4E" w14:textId="2356DF5C"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lastRenderedPageBreak/>
              <w:t>Energy input-output analysis in Turkish agriculture</w:t>
            </w:r>
            <w:r w:rsidR="00493D7D">
              <w:rPr>
                <w:color w:val="000000" w:themeColor="text1"/>
                <w:szCs w:val="21"/>
              </w:rPr>
              <w:fldChar w:fldCharType="begin"/>
            </w:r>
            <w:r w:rsidR="00493D7D">
              <w:rPr>
                <w:color w:val="000000" w:themeColor="text1"/>
                <w:szCs w:val="21"/>
              </w:rPr>
              <w:instrText xml:space="preserve"> REF _Ref66567940 \r \h </w:instrText>
            </w:r>
            <w:r w:rsidR="00493D7D">
              <w:rPr>
                <w:color w:val="000000" w:themeColor="text1"/>
                <w:szCs w:val="21"/>
              </w:rPr>
            </w:r>
            <w:r w:rsidR="00493D7D">
              <w:rPr>
                <w:color w:val="000000" w:themeColor="text1"/>
                <w:szCs w:val="21"/>
              </w:rPr>
              <w:fldChar w:fldCharType="separate"/>
            </w:r>
            <w:r w:rsidR="00C56E70">
              <w:rPr>
                <w:color w:val="000000" w:themeColor="text1"/>
                <w:szCs w:val="21"/>
              </w:rPr>
              <w:t>[9]</w:t>
            </w:r>
            <w:r w:rsidR="00493D7D">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2E8CAF94"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Ozkan, B.; Akcaoz, H.; Fert, C.</w:t>
            </w:r>
          </w:p>
        </w:tc>
        <w:tc>
          <w:tcPr>
            <w:tcW w:w="723" w:type="pct"/>
            <w:tcBorders>
              <w:top w:val="single" w:sz="4" w:space="0" w:color="auto"/>
              <w:bottom w:val="single" w:sz="4" w:space="0" w:color="auto"/>
            </w:tcBorders>
            <w:shd w:val="clear" w:color="auto" w:fill="auto"/>
            <w:vAlign w:val="center"/>
          </w:tcPr>
          <w:p w14:paraId="6638822D"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Renewable Energy</w:t>
            </w:r>
          </w:p>
        </w:tc>
        <w:tc>
          <w:tcPr>
            <w:tcW w:w="388" w:type="pct"/>
            <w:tcBorders>
              <w:top w:val="single" w:sz="4" w:space="0" w:color="auto"/>
              <w:bottom w:val="single" w:sz="4" w:space="0" w:color="auto"/>
            </w:tcBorders>
            <w:shd w:val="clear" w:color="auto" w:fill="auto"/>
            <w:vAlign w:val="center"/>
          </w:tcPr>
          <w:p w14:paraId="20E6E825"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Turkey</w:t>
            </w:r>
          </w:p>
        </w:tc>
        <w:tc>
          <w:tcPr>
            <w:tcW w:w="172" w:type="pct"/>
            <w:tcBorders>
              <w:top w:val="single" w:sz="4" w:space="0" w:color="auto"/>
              <w:bottom w:val="single" w:sz="4" w:space="0" w:color="auto"/>
            </w:tcBorders>
            <w:shd w:val="clear" w:color="auto" w:fill="auto"/>
            <w:vAlign w:val="center"/>
          </w:tcPr>
          <w:p w14:paraId="5564873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251</w:t>
            </w:r>
          </w:p>
        </w:tc>
        <w:tc>
          <w:tcPr>
            <w:tcW w:w="215" w:type="pct"/>
            <w:tcBorders>
              <w:top w:val="single" w:sz="4" w:space="0" w:color="auto"/>
              <w:bottom w:val="single" w:sz="4" w:space="0" w:color="auto"/>
            </w:tcBorders>
            <w:shd w:val="clear" w:color="auto" w:fill="auto"/>
            <w:vAlign w:val="center"/>
          </w:tcPr>
          <w:p w14:paraId="0CA4368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2004</w:t>
            </w:r>
          </w:p>
        </w:tc>
        <w:tc>
          <w:tcPr>
            <w:tcW w:w="215" w:type="pct"/>
            <w:tcBorders>
              <w:top w:val="single" w:sz="4" w:space="0" w:color="auto"/>
              <w:bottom w:val="single" w:sz="4" w:space="0" w:color="auto"/>
            </w:tcBorders>
            <w:vAlign w:val="center"/>
          </w:tcPr>
          <w:p w14:paraId="12CCA1F4"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14.8</w:t>
            </w:r>
          </w:p>
        </w:tc>
      </w:tr>
      <w:tr w:rsidR="005E0802" w:rsidRPr="00A12CDC" w14:paraId="697359A8" w14:textId="77777777" w:rsidTr="003F49DF">
        <w:tc>
          <w:tcPr>
            <w:tcW w:w="1947" w:type="pct"/>
            <w:tcBorders>
              <w:top w:val="single" w:sz="4" w:space="0" w:color="auto"/>
              <w:bottom w:val="single" w:sz="4" w:space="0" w:color="auto"/>
            </w:tcBorders>
            <w:shd w:val="clear" w:color="auto" w:fill="auto"/>
          </w:tcPr>
          <w:p w14:paraId="3F125F08" w14:textId="277B504B"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A modified ecological footprint method and its application to Australia</w:t>
            </w:r>
            <w:r w:rsidR="00493D7D">
              <w:rPr>
                <w:color w:val="000000" w:themeColor="text1"/>
                <w:szCs w:val="21"/>
              </w:rPr>
              <w:fldChar w:fldCharType="begin"/>
            </w:r>
            <w:r w:rsidR="00493D7D">
              <w:rPr>
                <w:color w:val="000000" w:themeColor="text1"/>
                <w:szCs w:val="21"/>
              </w:rPr>
              <w:instrText xml:space="preserve"> REF _Ref66567955 \r \h </w:instrText>
            </w:r>
            <w:r w:rsidR="00493D7D">
              <w:rPr>
                <w:color w:val="000000" w:themeColor="text1"/>
                <w:szCs w:val="21"/>
              </w:rPr>
            </w:r>
            <w:r w:rsidR="00493D7D">
              <w:rPr>
                <w:color w:val="000000" w:themeColor="text1"/>
                <w:szCs w:val="21"/>
              </w:rPr>
              <w:fldChar w:fldCharType="separate"/>
            </w:r>
            <w:r w:rsidR="00C56E70">
              <w:rPr>
                <w:color w:val="000000" w:themeColor="text1"/>
                <w:szCs w:val="21"/>
              </w:rPr>
              <w:t>[10]</w:t>
            </w:r>
            <w:r w:rsidR="00493D7D">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3ED47C30"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Lenzen, M.; Murray, S.A.</w:t>
            </w:r>
          </w:p>
        </w:tc>
        <w:tc>
          <w:tcPr>
            <w:tcW w:w="723" w:type="pct"/>
            <w:tcBorders>
              <w:top w:val="single" w:sz="4" w:space="0" w:color="auto"/>
              <w:bottom w:val="single" w:sz="4" w:space="0" w:color="auto"/>
            </w:tcBorders>
            <w:shd w:val="clear" w:color="auto" w:fill="auto"/>
            <w:vAlign w:val="center"/>
          </w:tcPr>
          <w:p w14:paraId="78AD25CF"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Ecological Economics</w:t>
            </w:r>
          </w:p>
        </w:tc>
        <w:tc>
          <w:tcPr>
            <w:tcW w:w="388" w:type="pct"/>
            <w:tcBorders>
              <w:top w:val="single" w:sz="4" w:space="0" w:color="auto"/>
              <w:bottom w:val="single" w:sz="4" w:space="0" w:color="auto"/>
            </w:tcBorders>
            <w:shd w:val="clear" w:color="auto" w:fill="auto"/>
            <w:vAlign w:val="center"/>
          </w:tcPr>
          <w:p w14:paraId="25907761"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Australia</w:t>
            </w:r>
          </w:p>
        </w:tc>
        <w:tc>
          <w:tcPr>
            <w:tcW w:w="172" w:type="pct"/>
            <w:tcBorders>
              <w:top w:val="single" w:sz="4" w:space="0" w:color="auto"/>
              <w:bottom w:val="single" w:sz="4" w:space="0" w:color="auto"/>
            </w:tcBorders>
            <w:shd w:val="clear" w:color="auto" w:fill="auto"/>
            <w:vAlign w:val="center"/>
          </w:tcPr>
          <w:p w14:paraId="32407D69"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242</w:t>
            </w:r>
          </w:p>
        </w:tc>
        <w:tc>
          <w:tcPr>
            <w:tcW w:w="215" w:type="pct"/>
            <w:tcBorders>
              <w:top w:val="single" w:sz="4" w:space="0" w:color="auto"/>
              <w:bottom w:val="single" w:sz="4" w:space="0" w:color="auto"/>
            </w:tcBorders>
            <w:shd w:val="clear" w:color="auto" w:fill="auto"/>
            <w:vAlign w:val="center"/>
          </w:tcPr>
          <w:p w14:paraId="6F17EF52"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2001</w:t>
            </w:r>
          </w:p>
        </w:tc>
        <w:tc>
          <w:tcPr>
            <w:tcW w:w="215" w:type="pct"/>
            <w:tcBorders>
              <w:top w:val="single" w:sz="4" w:space="0" w:color="auto"/>
              <w:bottom w:val="single" w:sz="4" w:space="0" w:color="auto"/>
            </w:tcBorders>
            <w:vAlign w:val="center"/>
          </w:tcPr>
          <w:p w14:paraId="04451640"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12.1</w:t>
            </w:r>
          </w:p>
        </w:tc>
      </w:tr>
      <w:tr w:rsidR="005E0802" w:rsidRPr="00A12CDC" w14:paraId="62D6FE72" w14:textId="77777777" w:rsidTr="003F49DF">
        <w:tc>
          <w:tcPr>
            <w:tcW w:w="1947" w:type="pct"/>
            <w:tcBorders>
              <w:top w:val="single" w:sz="4" w:space="0" w:color="auto"/>
              <w:bottom w:val="single" w:sz="4" w:space="0" w:color="auto"/>
            </w:tcBorders>
            <w:shd w:val="clear" w:color="auto" w:fill="auto"/>
          </w:tcPr>
          <w:p w14:paraId="09437C05" w14:textId="3EE016E4"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Energy and carbon embodied in the international trade of Brazil: an input-output approach</w:t>
            </w:r>
            <w:r w:rsidR="00493D7D">
              <w:rPr>
                <w:color w:val="000000" w:themeColor="text1"/>
                <w:szCs w:val="21"/>
              </w:rPr>
              <w:fldChar w:fldCharType="begin"/>
            </w:r>
            <w:r w:rsidR="00493D7D">
              <w:rPr>
                <w:color w:val="000000" w:themeColor="text1"/>
                <w:szCs w:val="21"/>
              </w:rPr>
              <w:instrText xml:space="preserve"> REF _Ref66567982 \r \h </w:instrText>
            </w:r>
            <w:r w:rsidR="00493D7D">
              <w:rPr>
                <w:color w:val="000000" w:themeColor="text1"/>
                <w:szCs w:val="21"/>
              </w:rPr>
            </w:r>
            <w:r w:rsidR="00493D7D">
              <w:rPr>
                <w:color w:val="000000" w:themeColor="text1"/>
                <w:szCs w:val="21"/>
              </w:rPr>
              <w:fldChar w:fldCharType="separate"/>
            </w:r>
            <w:r w:rsidR="00C56E70">
              <w:rPr>
                <w:color w:val="000000" w:themeColor="text1"/>
                <w:szCs w:val="21"/>
              </w:rPr>
              <w:t>[11]</w:t>
            </w:r>
            <w:r w:rsidR="00493D7D">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7CF9743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Machado, G; Schaeffer, R; Worrell, E</w:t>
            </w:r>
          </w:p>
        </w:tc>
        <w:tc>
          <w:tcPr>
            <w:tcW w:w="723" w:type="pct"/>
            <w:tcBorders>
              <w:top w:val="single" w:sz="4" w:space="0" w:color="auto"/>
              <w:bottom w:val="single" w:sz="4" w:space="0" w:color="auto"/>
            </w:tcBorders>
            <w:shd w:val="clear" w:color="auto" w:fill="auto"/>
            <w:vAlign w:val="center"/>
          </w:tcPr>
          <w:p w14:paraId="08EBC510"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Ecological Economics</w:t>
            </w:r>
          </w:p>
        </w:tc>
        <w:tc>
          <w:tcPr>
            <w:tcW w:w="388" w:type="pct"/>
            <w:tcBorders>
              <w:top w:val="single" w:sz="4" w:space="0" w:color="auto"/>
              <w:bottom w:val="single" w:sz="4" w:space="0" w:color="auto"/>
            </w:tcBorders>
            <w:shd w:val="clear" w:color="auto" w:fill="auto"/>
            <w:vAlign w:val="center"/>
          </w:tcPr>
          <w:p w14:paraId="57F3A617" w14:textId="3B22AB2E" w:rsidR="005E0802" w:rsidRPr="00A12CDC" w:rsidRDefault="00493567" w:rsidP="00471F3F">
            <w:pPr>
              <w:tabs>
                <w:tab w:val="left" w:pos="377"/>
              </w:tabs>
              <w:spacing w:line="360" w:lineRule="auto"/>
              <w:jc w:val="center"/>
              <w:rPr>
                <w:color w:val="000000" w:themeColor="text1"/>
                <w:szCs w:val="21"/>
              </w:rPr>
            </w:pPr>
            <w:r>
              <w:rPr>
                <w:rFonts w:hint="eastAsia"/>
                <w:color w:val="000000" w:themeColor="text1"/>
                <w:szCs w:val="21"/>
              </w:rPr>
              <w:t>B</w:t>
            </w:r>
            <w:r>
              <w:rPr>
                <w:color w:val="000000" w:themeColor="text1"/>
                <w:szCs w:val="21"/>
              </w:rPr>
              <w:t>razil</w:t>
            </w:r>
          </w:p>
        </w:tc>
        <w:tc>
          <w:tcPr>
            <w:tcW w:w="172" w:type="pct"/>
            <w:tcBorders>
              <w:top w:val="single" w:sz="4" w:space="0" w:color="auto"/>
              <w:bottom w:val="single" w:sz="4" w:space="0" w:color="auto"/>
            </w:tcBorders>
            <w:shd w:val="clear" w:color="auto" w:fill="auto"/>
            <w:vAlign w:val="center"/>
          </w:tcPr>
          <w:p w14:paraId="3937B1CC"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241</w:t>
            </w:r>
          </w:p>
        </w:tc>
        <w:tc>
          <w:tcPr>
            <w:tcW w:w="215" w:type="pct"/>
            <w:tcBorders>
              <w:top w:val="single" w:sz="4" w:space="0" w:color="auto"/>
              <w:bottom w:val="single" w:sz="4" w:space="0" w:color="auto"/>
            </w:tcBorders>
            <w:shd w:val="clear" w:color="auto" w:fill="auto"/>
            <w:vAlign w:val="center"/>
          </w:tcPr>
          <w:p w14:paraId="28ACB91A"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2006</w:t>
            </w:r>
          </w:p>
        </w:tc>
        <w:tc>
          <w:tcPr>
            <w:tcW w:w="215" w:type="pct"/>
            <w:tcBorders>
              <w:top w:val="single" w:sz="4" w:space="0" w:color="auto"/>
              <w:bottom w:val="single" w:sz="4" w:space="0" w:color="auto"/>
            </w:tcBorders>
            <w:vAlign w:val="center"/>
          </w:tcPr>
          <w:p w14:paraId="0545D3B2" w14:textId="2BD2AAF0" w:rsidR="005E0802" w:rsidRPr="00A12CDC" w:rsidRDefault="00493567" w:rsidP="00471F3F">
            <w:pPr>
              <w:tabs>
                <w:tab w:val="left" w:pos="377"/>
              </w:tabs>
              <w:spacing w:line="360" w:lineRule="auto"/>
              <w:jc w:val="center"/>
              <w:rPr>
                <w:color w:val="000000" w:themeColor="text1"/>
                <w:szCs w:val="21"/>
              </w:rPr>
            </w:pPr>
            <w:r>
              <w:rPr>
                <w:rFonts w:hint="eastAsia"/>
                <w:color w:val="000000" w:themeColor="text1"/>
                <w:szCs w:val="21"/>
              </w:rPr>
              <w:t>1</w:t>
            </w:r>
            <w:r>
              <w:rPr>
                <w:color w:val="000000" w:themeColor="text1"/>
                <w:szCs w:val="21"/>
              </w:rPr>
              <w:t>6.1</w:t>
            </w:r>
          </w:p>
        </w:tc>
      </w:tr>
      <w:tr w:rsidR="005E0802" w:rsidRPr="00A12CDC" w14:paraId="1B1EC46D" w14:textId="77777777" w:rsidTr="003F49DF">
        <w:tc>
          <w:tcPr>
            <w:tcW w:w="1947" w:type="pct"/>
            <w:tcBorders>
              <w:top w:val="single" w:sz="4" w:space="0" w:color="auto"/>
              <w:bottom w:val="single" w:sz="4" w:space="0" w:color="auto"/>
            </w:tcBorders>
            <w:shd w:val="clear" w:color="auto" w:fill="auto"/>
          </w:tcPr>
          <w:p w14:paraId="6CEC50C0" w14:textId="2CE2B8BA"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Environment impacts of products - A detailed review of studies</w:t>
            </w:r>
            <w:r w:rsidR="003F49DF">
              <w:rPr>
                <w:color w:val="000000" w:themeColor="text1"/>
                <w:szCs w:val="21"/>
              </w:rPr>
              <w:fldChar w:fldCharType="begin"/>
            </w:r>
            <w:r w:rsidR="003F49DF">
              <w:rPr>
                <w:color w:val="000000" w:themeColor="text1"/>
                <w:szCs w:val="21"/>
              </w:rPr>
              <w:instrText xml:space="preserve"> REF _Ref66565661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[12]</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40E2C0D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Tukker, Arnold; Jansen, Bart</w:t>
            </w:r>
          </w:p>
        </w:tc>
        <w:tc>
          <w:tcPr>
            <w:tcW w:w="723" w:type="pct"/>
            <w:tcBorders>
              <w:top w:val="single" w:sz="4" w:space="0" w:color="auto"/>
              <w:bottom w:val="single" w:sz="4" w:space="0" w:color="auto"/>
            </w:tcBorders>
            <w:shd w:val="clear" w:color="auto" w:fill="auto"/>
            <w:vAlign w:val="center"/>
          </w:tcPr>
          <w:p w14:paraId="560C27DB"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Journal of Industrial Ecology</w:t>
            </w:r>
          </w:p>
        </w:tc>
        <w:tc>
          <w:tcPr>
            <w:tcW w:w="388" w:type="pct"/>
            <w:tcBorders>
              <w:top w:val="single" w:sz="4" w:space="0" w:color="auto"/>
              <w:bottom w:val="single" w:sz="4" w:space="0" w:color="auto"/>
            </w:tcBorders>
            <w:shd w:val="clear" w:color="auto" w:fill="auto"/>
            <w:vAlign w:val="center"/>
          </w:tcPr>
          <w:p w14:paraId="2B61E828" w14:textId="680157B8" w:rsidR="005E0802" w:rsidRPr="00A12CDC" w:rsidRDefault="00493567" w:rsidP="00471F3F">
            <w:pPr>
              <w:tabs>
                <w:tab w:val="left" w:pos="377"/>
              </w:tabs>
              <w:spacing w:line="360" w:lineRule="auto"/>
              <w:jc w:val="center"/>
              <w:rPr>
                <w:color w:val="000000" w:themeColor="text1"/>
                <w:szCs w:val="21"/>
              </w:rPr>
            </w:pPr>
            <w:r w:rsidRPr="00493567">
              <w:rPr>
                <w:color w:val="000000" w:themeColor="text1"/>
                <w:szCs w:val="21"/>
              </w:rPr>
              <w:t>Netherlands</w:t>
            </w:r>
          </w:p>
        </w:tc>
        <w:tc>
          <w:tcPr>
            <w:tcW w:w="172" w:type="pct"/>
            <w:tcBorders>
              <w:top w:val="single" w:sz="4" w:space="0" w:color="auto"/>
              <w:bottom w:val="single" w:sz="4" w:space="0" w:color="auto"/>
            </w:tcBorders>
            <w:shd w:val="clear" w:color="auto" w:fill="auto"/>
            <w:vAlign w:val="center"/>
          </w:tcPr>
          <w:p w14:paraId="66141A1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237</w:t>
            </w:r>
          </w:p>
        </w:tc>
        <w:tc>
          <w:tcPr>
            <w:tcW w:w="215" w:type="pct"/>
            <w:tcBorders>
              <w:top w:val="single" w:sz="4" w:space="0" w:color="auto"/>
              <w:bottom w:val="single" w:sz="4" w:space="0" w:color="auto"/>
            </w:tcBorders>
            <w:shd w:val="clear" w:color="auto" w:fill="auto"/>
            <w:vAlign w:val="center"/>
          </w:tcPr>
          <w:p w14:paraId="2C39390C"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2011</w:t>
            </w:r>
          </w:p>
        </w:tc>
        <w:tc>
          <w:tcPr>
            <w:tcW w:w="215" w:type="pct"/>
            <w:tcBorders>
              <w:top w:val="single" w:sz="4" w:space="0" w:color="auto"/>
              <w:bottom w:val="single" w:sz="4" w:space="0" w:color="auto"/>
            </w:tcBorders>
            <w:vAlign w:val="center"/>
          </w:tcPr>
          <w:p w14:paraId="2A4E5BA6" w14:textId="0043A574" w:rsidR="005E0802" w:rsidRPr="00A12CDC" w:rsidRDefault="00493567" w:rsidP="00471F3F">
            <w:pPr>
              <w:tabs>
                <w:tab w:val="left" w:pos="377"/>
              </w:tabs>
              <w:spacing w:line="360" w:lineRule="auto"/>
              <w:jc w:val="center"/>
              <w:rPr>
                <w:color w:val="000000" w:themeColor="text1"/>
                <w:szCs w:val="21"/>
              </w:rPr>
            </w:pPr>
            <w:r>
              <w:rPr>
                <w:rFonts w:hint="eastAsia"/>
                <w:color w:val="000000" w:themeColor="text1"/>
                <w:szCs w:val="21"/>
              </w:rPr>
              <w:t>2</w:t>
            </w:r>
            <w:r>
              <w:rPr>
                <w:color w:val="000000" w:themeColor="text1"/>
                <w:szCs w:val="21"/>
              </w:rPr>
              <w:t>3.7</w:t>
            </w:r>
          </w:p>
        </w:tc>
      </w:tr>
      <w:tr w:rsidR="005E0802" w:rsidRPr="00A12CDC" w14:paraId="601EEF6E" w14:textId="77777777" w:rsidTr="003F49DF">
        <w:tc>
          <w:tcPr>
            <w:tcW w:w="1947" w:type="pct"/>
            <w:tcBorders>
              <w:top w:val="single" w:sz="4" w:space="0" w:color="auto"/>
              <w:bottom w:val="single" w:sz="4" w:space="0" w:color="auto"/>
            </w:tcBorders>
            <w:shd w:val="clear" w:color="auto" w:fill="auto"/>
          </w:tcPr>
          <w:p w14:paraId="06624A44" w14:textId="6AAB8CA9"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Methodology and Indicators of Economy-wide Material Flow Accounting</w:t>
            </w:r>
            <w:r w:rsidR="003F49DF">
              <w:rPr>
                <w:color w:val="000000" w:themeColor="text1"/>
                <w:szCs w:val="21"/>
              </w:rPr>
              <w:fldChar w:fldCharType="begin"/>
            </w:r>
            <w:r w:rsidR="003F49DF">
              <w:rPr>
                <w:color w:val="000000" w:themeColor="text1"/>
                <w:szCs w:val="21"/>
              </w:rPr>
              <w:instrText xml:space="preserve"> REF _Ref66565669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[13]</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03C7BCD1" w14:textId="7B1F87AD"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Fischer-Kowalski, M.; Krausmann, F.; Giljum, S.; Lutter, S.; Mayer, A.; Bringezu, S.; Moriguchi, Y.; Schuetz, H.; Schandl, H.; Weisz.</w:t>
            </w:r>
          </w:p>
        </w:tc>
        <w:tc>
          <w:tcPr>
            <w:tcW w:w="723" w:type="pct"/>
            <w:tcBorders>
              <w:top w:val="single" w:sz="4" w:space="0" w:color="auto"/>
              <w:bottom w:val="single" w:sz="4" w:space="0" w:color="auto"/>
            </w:tcBorders>
            <w:shd w:val="clear" w:color="auto" w:fill="auto"/>
            <w:vAlign w:val="center"/>
          </w:tcPr>
          <w:p w14:paraId="20A3548D"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Journal of Industrial Ecology</w:t>
            </w:r>
          </w:p>
        </w:tc>
        <w:tc>
          <w:tcPr>
            <w:tcW w:w="388" w:type="pct"/>
            <w:tcBorders>
              <w:top w:val="single" w:sz="4" w:space="0" w:color="auto"/>
              <w:bottom w:val="single" w:sz="4" w:space="0" w:color="auto"/>
            </w:tcBorders>
            <w:shd w:val="clear" w:color="auto" w:fill="auto"/>
            <w:vAlign w:val="center"/>
          </w:tcPr>
          <w:p w14:paraId="34EF68A9" w14:textId="54B84883" w:rsidR="005E0802" w:rsidRPr="00A12CDC" w:rsidRDefault="00A1228B" w:rsidP="00471F3F">
            <w:pPr>
              <w:tabs>
                <w:tab w:val="left" w:pos="377"/>
              </w:tabs>
              <w:spacing w:line="360" w:lineRule="auto"/>
              <w:jc w:val="center"/>
              <w:rPr>
                <w:color w:val="000000" w:themeColor="text1"/>
                <w:szCs w:val="21"/>
              </w:rPr>
            </w:pPr>
            <w:r w:rsidRPr="00A1228B">
              <w:rPr>
                <w:color w:val="000000" w:themeColor="text1"/>
                <w:szCs w:val="21"/>
              </w:rPr>
              <w:t>Austria</w:t>
            </w:r>
          </w:p>
        </w:tc>
        <w:tc>
          <w:tcPr>
            <w:tcW w:w="172" w:type="pct"/>
            <w:tcBorders>
              <w:top w:val="single" w:sz="4" w:space="0" w:color="auto"/>
              <w:bottom w:val="single" w:sz="4" w:space="0" w:color="auto"/>
            </w:tcBorders>
            <w:shd w:val="clear" w:color="auto" w:fill="auto"/>
            <w:vAlign w:val="center"/>
          </w:tcPr>
          <w:p w14:paraId="5F8EE12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234</w:t>
            </w:r>
          </w:p>
        </w:tc>
        <w:tc>
          <w:tcPr>
            <w:tcW w:w="215" w:type="pct"/>
            <w:tcBorders>
              <w:top w:val="single" w:sz="4" w:space="0" w:color="auto"/>
              <w:bottom w:val="single" w:sz="4" w:space="0" w:color="auto"/>
            </w:tcBorders>
            <w:shd w:val="clear" w:color="auto" w:fill="auto"/>
            <w:vAlign w:val="center"/>
          </w:tcPr>
          <w:p w14:paraId="07607322"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2008</w:t>
            </w:r>
          </w:p>
        </w:tc>
        <w:tc>
          <w:tcPr>
            <w:tcW w:w="215" w:type="pct"/>
            <w:tcBorders>
              <w:top w:val="single" w:sz="4" w:space="0" w:color="auto"/>
              <w:bottom w:val="single" w:sz="4" w:space="0" w:color="auto"/>
            </w:tcBorders>
            <w:vAlign w:val="center"/>
          </w:tcPr>
          <w:p w14:paraId="1A2D8A4A" w14:textId="68BB502F" w:rsidR="005E0802" w:rsidRPr="00A12CDC" w:rsidRDefault="00493567" w:rsidP="00471F3F">
            <w:pPr>
              <w:tabs>
                <w:tab w:val="left" w:pos="377"/>
              </w:tabs>
              <w:spacing w:line="360" w:lineRule="auto"/>
              <w:jc w:val="center"/>
              <w:rPr>
                <w:color w:val="000000" w:themeColor="text1"/>
                <w:szCs w:val="21"/>
              </w:rPr>
            </w:pPr>
            <w:r>
              <w:rPr>
                <w:rFonts w:hint="eastAsia"/>
                <w:color w:val="000000" w:themeColor="text1"/>
                <w:szCs w:val="21"/>
              </w:rPr>
              <w:t>1</w:t>
            </w:r>
            <w:r>
              <w:rPr>
                <w:color w:val="000000" w:themeColor="text1"/>
                <w:szCs w:val="21"/>
              </w:rPr>
              <w:t>8.0</w:t>
            </w:r>
          </w:p>
        </w:tc>
      </w:tr>
      <w:tr w:rsidR="005E0802" w:rsidRPr="00A12CDC" w14:paraId="3668AF84" w14:textId="77777777" w:rsidTr="003F49DF">
        <w:tc>
          <w:tcPr>
            <w:tcW w:w="1947" w:type="pct"/>
            <w:tcBorders>
              <w:top w:val="single" w:sz="4" w:space="0" w:color="auto"/>
              <w:bottom w:val="single" w:sz="4" w:space="0" w:color="auto"/>
            </w:tcBorders>
            <w:shd w:val="clear" w:color="auto" w:fill="auto"/>
          </w:tcPr>
          <w:p w14:paraId="1DD431CB" w14:textId="025ADEAC"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Normalization in product life cycle assessment: An LCA of the global and European economic systems in the year 2000</w:t>
            </w:r>
            <w:r w:rsidR="003F49DF">
              <w:rPr>
                <w:color w:val="000000" w:themeColor="text1"/>
                <w:szCs w:val="21"/>
              </w:rPr>
              <w:fldChar w:fldCharType="begin"/>
            </w:r>
            <w:r w:rsidR="003F49DF">
              <w:rPr>
                <w:color w:val="000000" w:themeColor="text1"/>
                <w:szCs w:val="21"/>
              </w:rPr>
              <w:instrText xml:space="preserve"> REF _Ref66565677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[14]</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7087029F"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Sleeswijk, Anneke Wegener; van Oers, Lauran F. C. M.; Guinee, Jeroen B.; Struijs, Jaap; Huijbregts, Mark A. J.</w:t>
            </w:r>
          </w:p>
        </w:tc>
        <w:tc>
          <w:tcPr>
            <w:tcW w:w="723" w:type="pct"/>
            <w:tcBorders>
              <w:top w:val="single" w:sz="4" w:space="0" w:color="auto"/>
              <w:bottom w:val="single" w:sz="4" w:space="0" w:color="auto"/>
            </w:tcBorders>
            <w:shd w:val="clear" w:color="auto" w:fill="auto"/>
            <w:vAlign w:val="center"/>
          </w:tcPr>
          <w:p w14:paraId="067C91B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Science of the Total Environment</w:t>
            </w:r>
          </w:p>
        </w:tc>
        <w:tc>
          <w:tcPr>
            <w:tcW w:w="388" w:type="pct"/>
            <w:tcBorders>
              <w:top w:val="single" w:sz="4" w:space="0" w:color="auto"/>
              <w:bottom w:val="single" w:sz="4" w:space="0" w:color="auto"/>
            </w:tcBorders>
            <w:shd w:val="clear" w:color="auto" w:fill="auto"/>
            <w:vAlign w:val="center"/>
          </w:tcPr>
          <w:p w14:paraId="73EEC802" w14:textId="2E22F3E0" w:rsidR="005E0802" w:rsidRPr="00A12CDC" w:rsidRDefault="00A1228B" w:rsidP="00471F3F">
            <w:pPr>
              <w:tabs>
                <w:tab w:val="left" w:pos="377"/>
              </w:tabs>
              <w:spacing w:line="360" w:lineRule="auto"/>
              <w:jc w:val="center"/>
              <w:rPr>
                <w:color w:val="000000" w:themeColor="text1"/>
                <w:szCs w:val="21"/>
              </w:rPr>
            </w:pPr>
            <w:r w:rsidRPr="00A1228B">
              <w:rPr>
                <w:color w:val="000000" w:themeColor="text1"/>
                <w:szCs w:val="21"/>
              </w:rPr>
              <w:t>Netherlands</w:t>
            </w:r>
          </w:p>
        </w:tc>
        <w:tc>
          <w:tcPr>
            <w:tcW w:w="172" w:type="pct"/>
            <w:tcBorders>
              <w:top w:val="single" w:sz="4" w:space="0" w:color="auto"/>
              <w:bottom w:val="single" w:sz="4" w:space="0" w:color="auto"/>
            </w:tcBorders>
            <w:shd w:val="clear" w:color="auto" w:fill="auto"/>
            <w:vAlign w:val="center"/>
          </w:tcPr>
          <w:p w14:paraId="2A7BED37"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234</w:t>
            </w:r>
          </w:p>
        </w:tc>
        <w:tc>
          <w:tcPr>
            <w:tcW w:w="215" w:type="pct"/>
            <w:tcBorders>
              <w:top w:val="single" w:sz="4" w:space="0" w:color="auto"/>
              <w:bottom w:val="single" w:sz="4" w:space="0" w:color="auto"/>
            </w:tcBorders>
            <w:shd w:val="clear" w:color="auto" w:fill="auto"/>
            <w:vAlign w:val="center"/>
          </w:tcPr>
          <w:p w14:paraId="6F480D73"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2016</w:t>
            </w:r>
          </w:p>
        </w:tc>
        <w:tc>
          <w:tcPr>
            <w:tcW w:w="215" w:type="pct"/>
            <w:tcBorders>
              <w:top w:val="single" w:sz="4" w:space="0" w:color="auto"/>
              <w:bottom w:val="single" w:sz="4" w:space="0" w:color="auto"/>
            </w:tcBorders>
            <w:vAlign w:val="center"/>
          </w:tcPr>
          <w:p w14:paraId="3A38F701" w14:textId="6F9B02BB" w:rsidR="005E0802" w:rsidRPr="00A12CDC" w:rsidRDefault="00493567" w:rsidP="00471F3F">
            <w:pPr>
              <w:tabs>
                <w:tab w:val="left" w:pos="377"/>
              </w:tabs>
              <w:spacing w:line="360" w:lineRule="auto"/>
              <w:jc w:val="center"/>
              <w:rPr>
                <w:color w:val="000000" w:themeColor="text1"/>
                <w:szCs w:val="21"/>
              </w:rPr>
            </w:pPr>
            <w:r>
              <w:rPr>
                <w:rFonts w:hint="eastAsia"/>
                <w:color w:val="000000" w:themeColor="text1"/>
                <w:szCs w:val="21"/>
              </w:rPr>
              <w:t>4</w:t>
            </w:r>
            <w:r>
              <w:rPr>
                <w:color w:val="000000" w:themeColor="text1"/>
                <w:szCs w:val="21"/>
              </w:rPr>
              <w:t>6.8</w:t>
            </w:r>
          </w:p>
        </w:tc>
      </w:tr>
      <w:tr w:rsidR="005E0802" w:rsidRPr="00A12CDC" w14:paraId="0FA6679D" w14:textId="77777777" w:rsidTr="003F49DF">
        <w:tc>
          <w:tcPr>
            <w:tcW w:w="1947" w:type="pct"/>
            <w:tcBorders>
              <w:top w:val="single" w:sz="4" w:space="0" w:color="auto"/>
              <w:bottom w:val="single" w:sz="4" w:space="0" w:color="auto"/>
            </w:tcBorders>
            <w:shd w:val="clear" w:color="auto" w:fill="auto"/>
          </w:tcPr>
          <w:p w14:paraId="69221FBC" w14:textId="411A9E20" w:rsidR="005E0802" w:rsidRPr="00A12CDC" w:rsidRDefault="005E0802" w:rsidP="00471F3F">
            <w:pPr>
              <w:tabs>
                <w:tab w:val="left" w:pos="377"/>
              </w:tabs>
              <w:spacing w:line="360" w:lineRule="auto"/>
              <w:rPr>
                <w:color w:val="000000" w:themeColor="text1"/>
                <w:szCs w:val="21"/>
              </w:rPr>
            </w:pPr>
            <w:r w:rsidRPr="00A12CDC">
              <w:rPr>
                <w:color w:val="000000" w:themeColor="text1"/>
                <w:szCs w:val="21"/>
              </w:rPr>
              <w:t>Consumption-based emission accounting for Chinese cities</w:t>
            </w:r>
            <w:r w:rsidR="003F49DF">
              <w:rPr>
                <w:color w:val="000000" w:themeColor="text1"/>
                <w:szCs w:val="21"/>
              </w:rPr>
              <w:fldChar w:fldCharType="begin"/>
            </w:r>
            <w:r w:rsidR="003F49DF">
              <w:rPr>
                <w:color w:val="000000" w:themeColor="text1"/>
                <w:szCs w:val="21"/>
              </w:rPr>
              <w:instrText xml:space="preserve"> REF _Ref66565687 \r \h </w:instrText>
            </w:r>
            <w:r w:rsidR="003F49DF">
              <w:rPr>
                <w:color w:val="000000" w:themeColor="text1"/>
                <w:szCs w:val="21"/>
              </w:rPr>
            </w:r>
            <w:r w:rsidR="003F49DF">
              <w:rPr>
                <w:color w:val="000000" w:themeColor="text1"/>
                <w:szCs w:val="21"/>
              </w:rPr>
              <w:fldChar w:fldCharType="separate"/>
            </w:r>
            <w:r w:rsidR="00C56E70">
              <w:rPr>
                <w:color w:val="000000" w:themeColor="text1"/>
                <w:szCs w:val="21"/>
              </w:rPr>
              <w:t>[15]</w:t>
            </w:r>
            <w:r w:rsidR="003F49DF">
              <w:rPr>
                <w:color w:val="000000" w:themeColor="text1"/>
                <w:szCs w:val="21"/>
              </w:rPr>
              <w:fldChar w:fldCharType="end"/>
            </w:r>
          </w:p>
        </w:tc>
        <w:tc>
          <w:tcPr>
            <w:tcW w:w="1340" w:type="pct"/>
            <w:tcBorders>
              <w:top w:val="single" w:sz="4" w:space="0" w:color="auto"/>
              <w:bottom w:val="single" w:sz="4" w:space="0" w:color="auto"/>
            </w:tcBorders>
            <w:shd w:val="clear" w:color="auto" w:fill="auto"/>
            <w:vAlign w:val="center"/>
          </w:tcPr>
          <w:p w14:paraId="5D2865C2"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Mi, Zhifu; Zhang, Yunkun; Guan, Dabo; Shan, Yuli; Liu, Zhu; Cong, Ronggang; Yuan, Xiao-Chen; Wei, Yi-Ming</w:t>
            </w:r>
          </w:p>
        </w:tc>
        <w:tc>
          <w:tcPr>
            <w:tcW w:w="723" w:type="pct"/>
            <w:tcBorders>
              <w:top w:val="single" w:sz="4" w:space="0" w:color="auto"/>
              <w:bottom w:val="single" w:sz="4" w:space="0" w:color="auto"/>
            </w:tcBorders>
            <w:shd w:val="clear" w:color="auto" w:fill="auto"/>
            <w:vAlign w:val="center"/>
          </w:tcPr>
          <w:p w14:paraId="71D4A3FB"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Applied Energy</w:t>
            </w:r>
          </w:p>
        </w:tc>
        <w:tc>
          <w:tcPr>
            <w:tcW w:w="388" w:type="pct"/>
            <w:tcBorders>
              <w:top w:val="single" w:sz="4" w:space="0" w:color="auto"/>
              <w:bottom w:val="single" w:sz="4" w:space="0" w:color="auto"/>
            </w:tcBorders>
            <w:shd w:val="clear" w:color="auto" w:fill="auto"/>
            <w:vAlign w:val="center"/>
          </w:tcPr>
          <w:p w14:paraId="05A3D297" w14:textId="46727712" w:rsidR="005E0802" w:rsidRPr="00A12CDC" w:rsidRDefault="00A1228B" w:rsidP="00471F3F">
            <w:pPr>
              <w:tabs>
                <w:tab w:val="left" w:pos="377"/>
              </w:tabs>
              <w:spacing w:line="360" w:lineRule="auto"/>
              <w:jc w:val="center"/>
              <w:rPr>
                <w:color w:val="000000" w:themeColor="text1"/>
                <w:szCs w:val="21"/>
              </w:rPr>
            </w:pPr>
            <w:r>
              <w:rPr>
                <w:rFonts w:hint="eastAsia"/>
                <w:color w:val="000000" w:themeColor="text1"/>
                <w:szCs w:val="21"/>
              </w:rPr>
              <w:t>C</w:t>
            </w:r>
            <w:r>
              <w:rPr>
                <w:color w:val="000000" w:themeColor="text1"/>
                <w:szCs w:val="21"/>
              </w:rPr>
              <w:t>hina</w:t>
            </w:r>
          </w:p>
        </w:tc>
        <w:tc>
          <w:tcPr>
            <w:tcW w:w="172" w:type="pct"/>
            <w:tcBorders>
              <w:top w:val="single" w:sz="4" w:space="0" w:color="auto"/>
              <w:bottom w:val="single" w:sz="4" w:space="0" w:color="auto"/>
            </w:tcBorders>
            <w:shd w:val="clear" w:color="auto" w:fill="auto"/>
            <w:vAlign w:val="center"/>
          </w:tcPr>
          <w:p w14:paraId="78D2AED0"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232</w:t>
            </w:r>
          </w:p>
        </w:tc>
        <w:tc>
          <w:tcPr>
            <w:tcW w:w="215" w:type="pct"/>
            <w:tcBorders>
              <w:top w:val="single" w:sz="4" w:space="0" w:color="auto"/>
              <w:bottom w:val="single" w:sz="4" w:space="0" w:color="auto"/>
            </w:tcBorders>
            <w:shd w:val="clear" w:color="auto" w:fill="auto"/>
            <w:vAlign w:val="center"/>
          </w:tcPr>
          <w:p w14:paraId="45895819" w14:textId="77777777" w:rsidR="005E0802" w:rsidRPr="00A12CDC" w:rsidRDefault="005E0802" w:rsidP="00471F3F">
            <w:pPr>
              <w:tabs>
                <w:tab w:val="left" w:pos="377"/>
              </w:tabs>
              <w:spacing w:line="360" w:lineRule="auto"/>
              <w:jc w:val="center"/>
              <w:rPr>
                <w:color w:val="000000" w:themeColor="text1"/>
                <w:szCs w:val="21"/>
              </w:rPr>
            </w:pPr>
            <w:r w:rsidRPr="00A12CDC">
              <w:rPr>
                <w:color w:val="000000" w:themeColor="text1"/>
                <w:szCs w:val="21"/>
              </w:rPr>
              <w:t>2006</w:t>
            </w:r>
          </w:p>
        </w:tc>
        <w:tc>
          <w:tcPr>
            <w:tcW w:w="215" w:type="pct"/>
            <w:tcBorders>
              <w:top w:val="single" w:sz="4" w:space="0" w:color="auto"/>
              <w:bottom w:val="single" w:sz="4" w:space="0" w:color="auto"/>
            </w:tcBorders>
            <w:vAlign w:val="center"/>
          </w:tcPr>
          <w:p w14:paraId="41059EB5" w14:textId="02C89A7E" w:rsidR="005E0802" w:rsidRPr="00A12CDC" w:rsidRDefault="00493567" w:rsidP="00471F3F">
            <w:pPr>
              <w:tabs>
                <w:tab w:val="left" w:pos="377"/>
              </w:tabs>
              <w:spacing w:line="360" w:lineRule="auto"/>
              <w:jc w:val="center"/>
              <w:rPr>
                <w:color w:val="000000" w:themeColor="text1"/>
                <w:szCs w:val="21"/>
              </w:rPr>
            </w:pPr>
            <w:r>
              <w:rPr>
                <w:rFonts w:hint="eastAsia"/>
                <w:color w:val="000000" w:themeColor="text1"/>
                <w:szCs w:val="21"/>
              </w:rPr>
              <w:t>1</w:t>
            </w:r>
            <w:r>
              <w:rPr>
                <w:color w:val="000000" w:themeColor="text1"/>
                <w:szCs w:val="21"/>
              </w:rPr>
              <w:t>5.5</w:t>
            </w:r>
          </w:p>
        </w:tc>
      </w:tr>
    </w:tbl>
    <w:p w14:paraId="7DE1AE0D" w14:textId="77777777" w:rsidR="005E0802" w:rsidRPr="00A12CDC" w:rsidRDefault="005E0802" w:rsidP="005E0802">
      <w:pPr>
        <w:widowControl/>
        <w:jc w:val="left"/>
        <w:rPr>
          <w:color w:val="000000" w:themeColor="text1"/>
          <w:sz w:val="24"/>
        </w:rPr>
      </w:pPr>
      <w:r w:rsidRPr="00A12CDC">
        <w:rPr>
          <w:color w:val="000000" w:themeColor="text1"/>
          <w:sz w:val="24"/>
        </w:rPr>
        <w:t>Year: publication year; Country: the country of the first author; TC: total citation; TC/Y: annual citations.</w:t>
      </w:r>
    </w:p>
    <w:p w14:paraId="55DF1584" w14:textId="77777777" w:rsidR="005E0802" w:rsidRPr="00A12CDC" w:rsidRDefault="005E0802" w:rsidP="005E0802">
      <w:pPr>
        <w:widowControl/>
        <w:jc w:val="left"/>
        <w:rPr>
          <w:color w:val="000000" w:themeColor="text1"/>
          <w:sz w:val="24"/>
        </w:rPr>
      </w:pPr>
    </w:p>
    <w:p w14:paraId="6A495F43" w14:textId="77777777" w:rsidR="005E0802" w:rsidRPr="00A12CDC" w:rsidRDefault="005E0802" w:rsidP="005E0802">
      <w:pPr>
        <w:spacing w:line="360" w:lineRule="auto"/>
        <w:outlineLvl w:val="1"/>
        <w:rPr>
          <w:b/>
          <w:bCs/>
          <w:color w:val="000000" w:themeColor="text1"/>
          <w:sz w:val="24"/>
        </w:rPr>
        <w:sectPr w:rsidR="005E0802" w:rsidRPr="00A12CDC" w:rsidSect="00471F3F">
          <w:pgSz w:w="16838" w:h="11906" w:orient="landscape"/>
          <w:pgMar w:top="1800" w:right="1440" w:bottom="1800" w:left="1440" w:header="851" w:footer="992" w:gutter="0"/>
          <w:cols w:space="425"/>
          <w:docGrid w:type="lines" w:linePitch="312"/>
        </w:sectPr>
      </w:pPr>
    </w:p>
    <w:p w14:paraId="1BD88647" w14:textId="77777777" w:rsidR="005E0802" w:rsidRPr="00A12CDC" w:rsidRDefault="005E0802" w:rsidP="005E0802">
      <w:pPr>
        <w:spacing w:line="360" w:lineRule="auto"/>
        <w:outlineLvl w:val="1"/>
        <w:rPr>
          <w:b/>
          <w:bCs/>
          <w:color w:val="000000" w:themeColor="text1"/>
          <w:sz w:val="24"/>
        </w:rPr>
      </w:pPr>
      <w:r w:rsidRPr="00A12CDC">
        <w:rPr>
          <w:b/>
          <w:bCs/>
          <w:color w:val="000000" w:themeColor="text1"/>
          <w:sz w:val="24"/>
        </w:rPr>
        <w:lastRenderedPageBreak/>
        <w:t>Table B. Research topic and lead papers of each cluster</w:t>
      </w:r>
    </w:p>
    <w:tbl>
      <w:tblPr>
        <w:tblStyle w:val="2"/>
        <w:tblW w:w="14459" w:type="dxa"/>
        <w:jc w:val="center"/>
        <w:tblLook w:val="04A0" w:firstRow="1" w:lastRow="0" w:firstColumn="1" w:lastColumn="0" w:noHBand="0" w:noVBand="1"/>
      </w:tblPr>
      <w:tblGrid>
        <w:gridCol w:w="993"/>
        <w:gridCol w:w="1417"/>
        <w:gridCol w:w="3544"/>
        <w:gridCol w:w="2410"/>
        <w:gridCol w:w="6095"/>
      </w:tblGrid>
      <w:tr w:rsidR="005E0802" w:rsidRPr="00A12CDC" w14:paraId="0159BBA8" w14:textId="77777777" w:rsidTr="00176C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CA40BB6"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Cluster#</w:t>
            </w:r>
          </w:p>
        </w:tc>
        <w:tc>
          <w:tcPr>
            <w:tcW w:w="1417" w:type="dxa"/>
            <w:vAlign w:val="center"/>
          </w:tcPr>
          <w:p w14:paraId="1C622E9E" w14:textId="77777777" w:rsidR="005E0802" w:rsidRPr="00A12CDC" w:rsidRDefault="005E0802" w:rsidP="00471F3F">
            <w:pPr>
              <w:pStyle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1"/>
              </w:rPr>
            </w:pPr>
            <w:r w:rsidRPr="00A12CDC">
              <w:rPr>
                <w:b w:val="0"/>
                <w:bCs w:val="0"/>
                <w:color w:val="000000" w:themeColor="text1"/>
                <w:szCs w:val="21"/>
              </w:rPr>
              <w:t>No. of Paper</w:t>
            </w:r>
          </w:p>
        </w:tc>
        <w:tc>
          <w:tcPr>
            <w:tcW w:w="3544" w:type="dxa"/>
            <w:vAlign w:val="center"/>
          </w:tcPr>
          <w:p w14:paraId="7DA333A5" w14:textId="77777777" w:rsidR="005E0802" w:rsidRPr="00A12CDC" w:rsidRDefault="005E0802" w:rsidP="00471F3F">
            <w:pPr>
              <w:pStyle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1"/>
              </w:rPr>
            </w:pPr>
            <w:r w:rsidRPr="00A12CDC">
              <w:rPr>
                <w:b w:val="0"/>
                <w:bCs w:val="0"/>
                <w:color w:val="000000" w:themeColor="text1"/>
                <w:szCs w:val="21"/>
              </w:rPr>
              <w:t>Area of Research Focus</w:t>
            </w:r>
          </w:p>
        </w:tc>
        <w:tc>
          <w:tcPr>
            <w:tcW w:w="2410" w:type="dxa"/>
            <w:vAlign w:val="center"/>
          </w:tcPr>
          <w:p w14:paraId="79012F62" w14:textId="77777777" w:rsidR="005E0802" w:rsidRPr="00A12CDC" w:rsidRDefault="005E0802" w:rsidP="00471F3F">
            <w:pPr>
              <w:pStyle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1"/>
              </w:rPr>
            </w:pPr>
            <w:r w:rsidRPr="00A12CDC">
              <w:rPr>
                <w:b w:val="0"/>
                <w:bCs w:val="0"/>
                <w:color w:val="000000" w:themeColor="text1"/>
                <w:szCs w:val="21"/>
              </w:rPr>
              <w:t>Average Publication Year</w:t>
            </w:r>
          </w:p>
        </w:tc>
        <w:tc>
          <w:tcPr>
            <w:tcW w:w="6095" w:type="dxa"/>
            <w:vAlign w:val="center"/>
          </w:tcPr>
          <w:p w14:paraId="3D83B8EA" w14:textId="77777777" w:rsidR="005E0802" w:rsidRPr="00A12CDC" w:rsidRDefault="005E0802" w:rsidP="00471F3F">
            <w:pPr>
              <w:pStyle w:val="0"/>
              <w:spacing w:line="36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1"/>
              </w:rPr>
            </w:pPr>
            <w:r w:rsidRPr="00A12CDC">
              <w:rPr>
                <w:b w:val="0"/>
                <w:bCs w:val="0"/>
                <w:color w:val="000000" w:themeColor="text1"/>
                <w:szCs w:val="21"/>
              </w:rPr>
              <w:t>Lead Paper in Terms of Total Link Strength</w:t>
            </w:r>
          </w:p>
        </w:tc>
      </w:tr>
      <w:tr w:rsidR="005E0802" w:rsidRPr="00A12CDC" w14:paraId="21BEA986" w14:textId="77777777" w:rsidTr="00176C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A80DCEB"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1</w:t>
            </w:r>
          </w:p>
        </w:tc>
        <w:tc>
          <w:tcPr>
            <w:tcW w:w="1417" w:type="dxa"/>
            <w:vAlign w:val="center"/>
          </w:tcPr>
          <w:p w14:paraId="6CA808BF"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51</w:t>
            </w:r>
          </w:p>
        </w:tc>
        <w:tc>
          <w:tcPr>
            <w:tcW w:w="3544" w:type="dxa"/>
            <w:vAlign w:val="center"/>
          </w:tcPr>
          <w:p w14:paraId="056489D7"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embodied energy; CO2 emission; countries; households</w:t>
            </w:r>
          </w:p>
        </w:tc>
        <w:tc>
          <w:tcPr>
            <w:tcW w:w="2410" w:type="dxa"/>
            <w:vAlign w:val="center"/>
          </w:tcPr>
          <w:p w14:paraId="7D08B9B8"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2007</w:t>
            </w:r>
          </w:p>
        </w:tc>
        <w:tc>
          <w:tcPr>
            <w:tcW w:w="6095" w:type="dxa"/>
            <w:vAlign w:val="center"/>
          </w:tcPr>
          <w:p w14:paraId="52C9C606" w14:textId="271E2B15"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Guan et al. (2008)</w:t>
            </w:r>
            <w:r w:rsidR="00F52542">
              <w:rPr>
                <w:color w:val="000000" w:themeColor="text1"/>
                <w:szCs w:val="21"/>
              </w:rPr>
              <w:fldChar w:fldCharType="begin"/>
            </w:r>
            <w:r w:rsidR="00F52542">
              <w:rPr>
                <w:color w:val="000000" w:themeColor="text1"/>
                <w:szCs w:val="21"/>
              </w:rPr>
              <w:instrText xml:space="preserve"> REF _Ref66568713 \r \h </w:instrText>
            </w:r>
            <w:r w:rsidR="00F52542">
              <w:rPr>
                <w:color w:val="000000" w:themeColor="text1"/>
                <w:szCs w:val="21"/>
              </w:rPr>
            </w:r>
            <w:r w:rsidR="00176CD8">
              <w:rPr>
                <w:color w:val="000000" w:themeColor="text1"/>
                <w:szCs w:val="21"/>
              </w:rPr>
              <w:instrText xml:space="preserve"> \* MERGEFORMAT </w:instrText>
            </w:r>
            <w:r w:rsidR="00F52542">
              <w:rPr>
                <w:color w:val="000000" w:themeColor="text1"/>
                <w:szCs w:val="21"/>
              </w:rPr>
              <w:fldChar w:fldCharType="separate"/>
            </w:r>
            <w:r w:rsidR="00C56E70">
              <w:rPr>
                <w:color w:val="000000" w:themeColor="text1"/>
                <w:szCs w:val="21"/>
              </w:rPr>
              <w:t>[3]</w:t>
            </w:r>
            <w:r w:rsidR="00F52542">
              <w:rPr>
                <w:color w:val="000000" w:themeColor="text1"/>
                <w:szCs w:val="21"/>
              </w:rPr>
              <w:fldChar w:fldCharType="end"/>
            </w:r>
            <w:r w:rsidRPr="00A12CDC">
              <w:rPr>
                <w:color w:val="000000" w:themeColor="text1"/>
                <w:szCs w:val="21"/>
              </w:rPr>
              <w:t>; Hondo (2005)</w:t>
            </w:r>
            <w:r w:rsidR="00F52542">
              <w:rPr>
                <w:color w:val="000000" w:themeColor="text1"/>
                <w:szCs w:val="21"/>
              </w:rPr>
              <w:fldChar w:fldCharType="begin"/>
            </w:r>
            <w:r w:rsidR="00F52542">
              <w:rPr>
                <w:color w:val="000000" w:themeColor="text1"/>
                <w:szCs w:val="21"/>
              </w:rPr>
              <w:instrText xml:space="preserve"> REF _Ref66568729 \r \h </w:instrText>
            </w:r>
            <w:r w:rsidR="00F52542">
              <w:rPr>
                <w:color w:val="000000" w:themeColor="text1"/>
                <w:szCs w:val="21"/>
              </w:rPr>
            </w:r>
            <w:r w:rsidR="00176CD8">
              <w:rPr>
                <w:color w:val="000000" w:themeColor="text1"/>
                <w:szCs w:val="21"/>
              </w:rPr>
              <w:instrText xml:space="preserve"> \* MERGEFORMAT </w:instrText>
            </w:r>
            <w:r w:rsidR="00F52542">
              <w:rPr>
                <w:color w:val="000000" w:themeColor="text1"/>
                <w:szCs w:val="21"/>
              </w:rPr>
              <w:fldChar w:fldCharType="separate"/>
            </w:r>
            <w:r w:rsidR="00C56E70">
              <w:rPr>
                <w:color w:val="000000" w:themeColor="text1"/>
                <w:szCs w:val="21"/>
              </w:rPr>
              <w:t>[5]</w:t>
            </w:r>
            <w:r w:rsidR="00F52542">
              <w:rPr>
                <w:color w:val="000000" w:themeColor="text1"/>
                <w:szCs w:val="21"/>
              </w:rPr>
              <w:fldChar w:fldCharType="end"/>
            </w:r>
            <w:r w:rsidRPr="00A12CDC">
              <w:rPr>
                <w:color w:val="000000" w:themeColor="text1"/>
                <w:szCs w:val="21"/>
              </w:rPr>
              <w:t>; Druckman and Jackson (2009)</w:t>
            </w:r>
            <w:r w:rsidR="00F52542">
              <w:rPr>
                <w:color w:val="000000" w:themeColor="text1"/>
                <w:szCs w:val="21"/>
              </w:rPr>
              <w:fldChar w:fldCharType="begin"/>
            </w:r>
            <w:r w:rsidR="00F52542">
              <w:rPr>
                <w:color w:val="000000" w:themeColor="text1"/>
                <w:szCs w:val="21"/>
              </w:rPr>
              <w:instrText xml:space="preserve"> REF _Ref66567903 \r \h </w:instrText>
            </w:r>
            <w:r w:rsidR="00F52542">
              <w:rPr>
                <w:color w:val="000000" w:themeColor="text1"/>
                <w:szCs w:val="21"/>
              </w:rPr>
            </w:r>
            <w:r w:rsidR="00176CD8">
              <w:rPr>
                <w:color w:val="000000" w:themeColor="text1"/>
                <w:szCs w:val="21"/>
              </w:rPr>
              <w:instrText xml:space="preserve"> \* MERGEFORMAT </w:instrText>
            </w:r>
            <w:r w:rsidR="00F52542">
              <w:rPr>
                <w:color w:val="000000" w:themeColor="text1"/>
                <w:szCs w:val="21"/>
              </w:rPr>
              <w:fldChar w:fldCharType="separate"/>
            </w:r>
            <w:r w:rsidR="00C56E70">
              <w:rPr>
                <w:color w:val="000000" w:themeColor="text1"/>
                <w:szCs w:val="21"/>
              </w:rPr>
              <w:t>[7]</w:t>
            </w:r>
            <w:r w:rsidR="00F52542">
              <w:rPr>
                <w:color w:val="000000" w:themeColor="text1"/>
                <w:szCs w:val="21"/>
              </w:rPr>
              <w:fldChar w:fldCharType="end"/>
            </w:r>
            <w:r w:rsidRPr="00A12CDC">
              <w:rPr>
                <w:color w:val="000000" w:themeColor="text1"/>
                <w:szCs w:val="21"/>
              </w:rPr>
              <w:t>; Lenzen and Murray (2001)</w:t>
            </w:r>
            <w:r w:rsidR="00F52542">
              <w:rPr>
                <w:color w:val="000000" w:themeColor="text1"/>
                <w:szCs w:val="21"/>
              </w:rPr>
              <w:fldChar w:fldCharType="begin"/>
            </w:r>
            <w:r w:rsidR="00F52542">
              <w:rPr>
                <w:color w:val="000000" w:themeColor="text1"/>
                <w:szCs w:val="21"/>
              </w:rPr>
              <w:instrText xml:space="preserve"> REF _Ref66567955 \r \h </w:instrText>
            </w:r>
            <w:r w:rsidR="00F52542">
              <w:rPr>
                <w:color w:val="000000" w:themeColor="text1"/>
                <w:szCs w:val="21"/>
              </w:rPr>
            </w:r>
            <w:r w:rsidR="00176CD8">
              <w:rPr>
                <w:color w:val="000000" w:themeColor="text1"/>
                <w:szCs w:val="21"/>
              </w:rPr>
              <w:instrText xml:space="preserve"> \* MERGEFORMAT </w:instrText>
            </w:r>
            <w:r w:rsidR="00F52542">
              <w:rPr>
                <w:color w:val="000000" w:themeColor="text1"/>
                <w:szCs w:val="21"/>
              </w:rPr>
              <w:fldChar w:fldCharType="separate"/>
            </w:r>
            <w:r w:rsidR="00C56E70">
              <w:rPr>
                <w:color w:val="000000" w:themeColor="text1"/>
                <w:szCs w:val="21"/>
              </w:rPr>
              <w:t>[10]</w:t>
            </w:r>
            <w:r w:rsidR="00F52542">
              <w:rPr>
                <w:color w:val="000000" w:themeColor="text1"/>
                <w:szCs w:val="21"/>
              </w:rPr>
              <w:fldChar w:fldCharType="end"/>
            </w:r>
            <w:r w:rsidRPr="00A12CDC">
              <w:rPr>
                <w:color w:val="000000" w:themeColor="text1"/>
                <w:szCs w:val="21"/>
              </w:rPr>
              <w:t>; Machado et al. (2001)</w:t>
            </w:r>
            <w:r w:rsidR="00F52542">
              <w:rPr>
                <w:color w:val="000000" w:themeColor="text1"/>
                <w:szCs w:val="21"/>
              </w:rPr>
              <w:fldChar w:fldCharType="begin"/>
            </w:r>
            <w:r w:rsidR="00F52542">
              <w:rPr>
                <w:color w:val="000000" w:themeColor="text1"/>
                <w:szCs w:val="21"/>
              </w:rPr>
              <w:instrText xml:space="preserve"> REF _Ref66567982 \r \h </w:instrText>
            </w:r>
            <w:r w:rsidR="00F52542">
              <w:rPr>
                <w:color w:val="000000" w:themeColor="text1"/>
                <w:szCs w:val="21"/>
              </w:rPr>
            </w:r>
            <w:r w:rsidR="00176CD8">
              <w:rPr>
                <w:color w:val="000000" w:themeColor="text1"/>
                <w:szCs w:val="21"/>
              </w:rPr>
              <w:instrText xml:space="preserve"> \* MERGEFORMAT </w:instrText>
            </w:r>
            <w:r w:rsidR="00F52542">
              <w:rPr>
                <w:color w:val="000000" w:themeColor="text1"/>
                <w:szCs w:val="21"/>
              </w:rPr>
              <w:fldChar w:fldCharType="separate"/>
            </w:r>
            <w:r w:rsidR="00C56E70">
              <w:rPr>
                <w:color w:val="000000" w:themeColor="text1"/>
                <w:szCs w:val="21"/>
              </w:rPr>
              <w:t>[11]</w:t>
            </w:r>
            <w:r w:rsidR="00F52542">
              <w:rPr>
                <w:color w:val="000000" w:themeColor="text1"/>
                <w:szCs w:val="21"/>
              </w:rPr>
              <w:fldChar w:fldCharType="end"/>
            </w:r>
          </w:p>
        </w:tc>
      </w:tr>
      <w:tr w:rsidR="005E0802" w:rsidRPr="00A12CDC" w14:paraId="70920D77" w14:textId="77777777" w:rsidTr="00176CD8">
        <w:trPr>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2A7A4F40"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2</w:t>
            </w:r>
          </w:p>
        </w:tc>
        <w:tc>
          <w:tcPr>
            <w:tcW w:w="1417" w:type="dxa"/>
            <w:vAlign w:val="center"/>
          </w:tcPr>
          <w:p w14:paraId="313F0E5C"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43</w:t>
            </w:r>
          </w:p>
        </w:tc>
        <w:tc>
          <w:tcPr>
            <w:tcW w:w="3544" w:type="dxa"/>
            <w:vAlign w:val="center"/>
          </w:tcPr>
          <w:p w14:paraId="5B16BD88"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Material consumption; MRIO; sustainable resource management; international supply chain; cities; database</w:t>
            </w:r>
          </w:p>
        </w:tc>
        <w:tc>
          <w:tcPr>
            <w:tcW w:w="2410" w:type="dxa"/>
            <w:vAlign w:val="center"/>
          </w:tcPr>
          <w:p w14:paraId="1271E9A5"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2014</w:t>
            </w:r>
          </w:p>
        </w:tc>
        <w:tc>
          <w:tcPr>
            <w:tcW w:w="6095" w:type="dxa"/>
            <w:vAlign w:val="center"/>
          </w:tcPr>
          <w:p w14:paraId="371D0D3F" w14:textId="6B7C660E"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Wiedmann et al. (201</w:t>
            </w:r>
            <w:r w:rsidR="00F52542">
              <w:rPr>
                <w:color w:val="000000" w:themeColor="text1"/>
                <w:szCs w:val="21"/>
              </w:rPr>
              <w:t>3</w:t>
            </w:r>
            <w:r w:rsidRPr="00A12CDC">
              <w:rPr>
                <w:color w:val="000000" w:themeColor="text1"/>
                <w:szCs w:val="21"/>
              </w:rPr>
              <w:t>)</w:t>
            </w:r>
            <w:r w:rsidR="00F52542">
              <w:rPr>
                <w:color w:val="000000" w:themeColor="text1"/>
                <w:szCs w:val="21"/>
              </w:rPr>
              <w:fldChar w:fldCharType="begin"/>
            </w:r>
            <w:r w:rsidR="00F52542">
              <w:rPr>
                <w:color w:val="000000" w:themeColor="text1"/>
                <w:szCs w:val="21"/>
              </w:rPr>
              <w:instrText xml:space="preserve"> REF _Ref66568843 \r \h </w:instrText>
            </w:r>
            <w:r w:rsidR="00F52542">
              <w:rPr>
                <w:color w:val="000000" w:themeColor="text1"/>
                <w:szCs w:val="21"/>
              </w:rPr>
            </w:r>
            <w:r w:rsidR="00F52542">
              <w:rPr>
                <w:color w:val="000000" w:themeColor="text1"/>
                <w:szCs w:val="21"/>
              </w:rPr>
              <w:fldChar w:fldCharType="separate"/>
            </w:r>
            <w:r w:rsidR="00C56E70">
              <w:rPr>
                <w:color w:val="000000" w:themeColor="text1"/>
                <w:szCs w:val="21"/>
              </w:rPr>
              <w:t>[2]</w:t>
            </w:r>
            <w:r w:rsidR="00F52542">
              <w:rPr>
                <w:color w:val="000000" w:themeColor="text1"/>
                <w:szCs w:val="21"/>
              </w:rPr>
              <w:fldChar w:fldCharType="end"/>
            </w:r>
            <w:r w:rsidRPr="00A12CDC">
              <w:rPr>
                <w:color w:val="000000" w:themeColor="text1"/>
                <w:szCs w:val="21"/>
              </w:rPr>
              <w:t xml:space="preserve">; </w:t>
            </w:r>
            <w:r w:rsidR="00F52542" w:rsidRPr="00F52542">
              <w:rPr>
                <w:color w:val="000000" w:themeColor="text1"/>
                <w:szCs w:val="21"/>
              </w:rPr>
              <w:t>Lenzeiy</w:t>
            </w:r>
            <w:r w:rsidRPr="00A12CDC">
              <w:rPr>
                <w:color w:val="000000" w:themeColor="text1"/>
                <w:szCs w:val="21"/>
              </w:rPr>
              <w:t xml:space="preserve"> et al. (2012)</w:t>
            </w:r>
            <w:r w:rsidR="00F52542">
              <w:rPr>
                <w:color w:val="000000" w:themeColor="text1"/>
                <w:szCs w:val="21"/>
              </w:rPr>
              <w:fldChar w:fldCharType="begin"/>
            </w:r>
            <w:r w:rsidR="00F52542">
              <w:rPr>
                <w:color w:val="000000" w:themeColor="text1"/>
                <w:szCs w:val="21"/>
              </w:rPr>
              <w:instrText xml:space="preserve"> REF _Ref66568898 \r \h </w:instrText>
            </w:r>
            <w:r w:rsidR="00F52542">
              <w:rPr>
                <w:color w:val="000000" w:themeColor="text1"/>
                <w:szCs w:val="21"/>
              </w:rPr>
            </w:r>
            <w:r w:rsidR="00F52542">
              <w:rPr>
                <w:color w:val="000000" w:themeColor="text1"/>
                <w:szCs w:val="21"/>
              </w:rPr>
              <w:fldChar w:fldCharType="separate"/>
            </w:r>
            <w:r w:rsidR="00C56E70">
              <w:rPr>
                <w:color w:val="000000" w:themeColor="text1"/>
                <w:szCs w:val="21"/>
              </w:rPr>
              <w:t>[4]</w:t>
            </w:r>
            <w:r w:rsidR="00F52542">
              <w:rPr>
                <w:color w:val="000000" w:themeColor="text1"/>
                <w:szCs w:val="21"/>
              </w:rPr>
              <w:fldChar w:fldCharType="end"/>
            </w:r>
            <w:r w:rsidRPr="00A12CDC">
              <w:rPr>
                <w:color w:val="000000" w:themeColor="text1"/>
                <w:szCs w:val="21"/>
              </w:rPr>
              <w:t>; Weinzettel et al. (2013)</w:t>
            </w:r>
            <w:r w:rsidR="00F317FF">
              <w:rPr>
                <w:color w:val="000000" w:themeColor="text1"/>
                <w:szCs w:val="21"/>
              </w:rPr>
              <w:fldChar w:fldCharType="begin"/>
            </w:r>
            <w:r w:rsidR="00F317FF">
              <w:rPr>
                <w:color w:val="000000" w:themeColor="text1"/>
                <w:szCs w:val="21"/>
              </w:rPr>
              <w:instrText xml:space="preserve"> REF _Ref66568936 \r \h </w:instrText>
            </w:r>
            <w:r w:rsidR="00F317FF">
              <w:rPr>
                <w:color w:val="000000" w:themeColor="text1"/>
                <w:szCs w:val="21"/>
              </w:rPr>
            </w:r>
            <w:r w:rsidR="00F317FF">
              <w:rPr>
                <w:color w:val="000000" w:themeColor="text1"/>
                <w:szCs w:val="21"/>
              </w:rPr>
              <w:fldChar w:fldCharType="separate"/>
            </w:r>
            <w:r w:rsidR="00C56E70">
              <w:rPr>
                <w:color w:val="000000" w:themeColor="text1"/>
                <w:szCs w:val="21"/>
              </w:rPr>
              <w:t>[6]</w:t>
            </w:r>
            <w:r w:rsidR="00F317FF">
              <w:rPr>
                <w:color w:val="000000" w:themeColor="text1"/>
                <w:szCs w:val="21"/>
              </w:rPr>
              <w:fldChar w:fldCharType="end"/>
            </w:r>
            <w:r w:rsidRPr="00A12CDC">
              <w:rPr>
                <w:color w:val="000000" w:themeColor="text1"/>
                <w:szCs w:val="21"/>
              </w:rPr>
              <w:t>; Mi et al. (2016)</w:t>
            </w:r>
            <w:r w:rsidR="00F317FF">
              <w:rPr>
                <w:color w:val="000000" w:themeColor="text1"/>
                <w:szCs w:val="21"/>
              </w:rPr>
              <w:fldChar w:fldCharType="begin"/>
            </w:r>
            <w:r w:rsidR="00F317FF">
              <w:rPr>
                <w:color w:val="000000" w:themeColor="text1"/>
                <w:szCs w:val="21"/>
              </w:rPr>
              <w:instrText xml:space="preserve"> REF _Ref66568960 \r \h </w:instrText>
            </w:r>
            <w:r w:rsidR="00F317FF">
              <w:rPr>
                <w:color w:val="000000" w:themeColor="text1"/>
                <w:szCs w:val="21"/>
              </w:rPr>
            </w:r>
            <w:r w:rsidR="00F317FF">
              <w:rPr>
                <w:color w:val="000000" w:themeColor="text1"/>
                <w:szCs w:val="21"/>
              </w:rPr>
              <w:fldChar w:fldCharType="separate"/>
            </w:r>
            <w:r w:rsidR="00C56E70">
              <w:rPr>
                <w:color w:val="000000" w:themeColor="text1"/>
                <w:szCs w:val="21"/>
              </w:rPr>
              <w:t>[15]</w:t>
            </w:r>
            <w:r w:rsidR="00F317FF">
              <w:rPr>
                <w:color w:val="000000" w:themeColor="text1"/>
                <w:szCs w:val="21"/>
              </w:rPr>
              <w:fldChar w:fldCharType="end"/>
            </w:r>
            <w:r w:rsidRPr="00A12CDC">
              <w:rPr>
                <w:color w:val="000000" w:themeColor="text1"/>
                <w:szCs w:val="21"/>
              </w:rPr>
              <w:t>; Wood et al. (2015)</w:t>
            </w:r>
            <w:r w:rsidR="00F317FF">
              <w:rPr>
                <w:color w:val="000000" w:themeColor="text1"/>
                <w:szCs w:val="21"/>
              </w:rPr>
              <w:fldChar w:fldCharType="begin"/>
            </w:r>
            <w:r w:rsidR="00F317FF">
              <w:rPr>
                <w:color w:val="000000" w:themeColor="text1"/>
                <w:szCs w:val="21"/>
              </w:rPr>
              <w:instrText xml:space="preserve"> REF _Ref66568039 \r \h </w:instrText>
            </w:r>
            <w:r w:rsidR="00F317FF">
              <w:rPr>
                <w:color w:val="000000" w:themeColor="text1"/>
                <w:szCs w:val="21"/>
              </w:rPr>
            </w:r>
            <w:r w:rsidR="00F317FF">
              <w:rPr>
                <w:color w:val="000000" w:themeColor="text1"/>
                <w:szCs w:val="21"/>
              </w:rPr>
              <w:fldChar w:fldCharType="separate"/>
            </w:r>
            <w:r w:rsidR="00C56E70">
              <w:rPr>
                <w:color w:val="000000" w:themeColor="text1"/>
                <w:szCs w:val="21"/>
              </w:rPr>
              <w:t>[16]</w:t>
            </w:r>
            <w:r w:rsidR="00F317FF">
              <w:rPr>
                <w:color w:val="000000" w:themeColor="text1"/>
                <w:szCs w:val="21"/>
              </w:rPr>
              <w:fldChar w:fldCharType="end"/>
            </w:r>
          </w:p>
        </w:tc>
      </w:tr>
      <w:tr w:rsidR="005E0802" w:rsidRPr="00A12CDC" w14:paraId="51D4ED45" w14:textId="77777777" w:rsidTr="00176C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2E1B776E"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3</w:t>
            </w:r>
          </w:p>
        </w:tc>
        <w:tc>
          <w:tcPr>
            <w:tcW w:w="1417" w:type="dxa"/>
            <w:vAlign w:val="center"/>
          </w:tcPr>
          <w:p w14:paraId="6EC191B2"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34</w:t>
            </w:r>
          </w:p>
        </w:tc>
        <w:tc>
          <w:tcPr>
            <w:tcW w:w="3544" w:type="dxa"/>
            <w:vAlign w:val="center"/>
          </w:tcPr>
          <w:p w14:paraId="12FF5898"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Environmental impact; LCA; circular economy; MRIO; hybrid LCA</w:t>
            </w:r>
          </w:p>
        </w:tc>
        <w:tc>
          <w:tcPr>
            <w:tcW w:w="2410" w:type="dxa"/>
            <w:vAlign w:val="center"/>
          </w:tcPr>
          <w:p w14:paraId="68F68DAB"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2010</w:t>
            </w:r>
          </w:p>
        </w:tc>
        <w:tc>
          <w:tcPr>
            <w:tcW w:w="6095" w:type="dxa"/>
            <w:vAlign w:val="center"/>
          </w:tcPr>
          <w:p w14:paraId="55A5B9C7" w14:textId="1F897A9D"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Tukker and Jansen (2006)</w:t>
            </w:r>
            <w:r w:rsidR="00F317FF">
              <w:rPr>
                <w:color w:val="000000" w:themeColor="text1"/>
                <w:szCs w:val="21"/>
              </w:rPr>
              <w:fldChar w:fldCharType="begin"/>
            </w:r>
            <w:r w:rsidR="00F317FF">
              <w:rPr>
                <w:color w:val="000000" w:themeColor="text1"/>
                <w:szCs w:val="21"/>
              </w:rPr>
              <w:instrText xml:space="preserve"> REF _Ref66569176 \r \h </w:instrText>
            </w:r>
            <w:r w:rsidR="00F317FF">
              <w:rPr>
                <w:color w:val="000000" w:themeColor="text1"/>
                <w:szCs w:val="21"/>
              </w:rPr>
            </w:r>
            <w:r w:rsidR="00F317FF">
              <w:rPr>
                <w:color w:val="000000" w:themeColor="text1"/>
                <w:szCs w:val="21"/>
              </w:rPr>
              <w:fldChar w:fldCharType="separate"/>
            </w:r>
            <w:r w:rsidR="00C56E70">
              <w:rPr>
                <w:color w:val="000000" w:themeColor="text1"/>
                <w:szCs w:val="21"/>
              </w:rPr>
              <w:t>[12]</w:t>
            </w:r>
            <w:r w:rsidR="00F317FF">
              <w:rPr>
                <w:color w:val="000000" w:themeColor="text1"/>
                <w:szCs w:val="21"/>
              </w:rPr>
              <w:fldChar w:fldCharType="end"/>
            </w:r>
            <w:r w:rsidRPr="00A12CDC">
              <w:rPr>
                <w:color w:val="000000" w:themeColor="text1"/>
                <w:szCs w:val="21"/>
              </w:rPr>
              <w:t>; Genovese et al. (2017)</w:t>
            </w:r>
            <w:r w:rsidR="00F317FF">
              <w:rPr>
                <w:color w:val="000000" w:themeColor="text1"/>
                <w:szCs w:val="21"/>
              </w:rPr>
              <w:fldChar w:fldCharType="begin"/>
            </w:r>
            <w:r w:rsidR="00F317FF">
              <w:rPr>
                <w:color w:val="000000" w:themeColor="text1"/>
                <w:szCs w:val="21"/>
              </w:rPr>
              <w:instrText xml:space="preserve"> REF _Ref66568046 \r \h </w:instrText>
            </w:r>
            <w:r w:rsidR="00F317FF">
              <w:rPr>
                <w:color w:val="000000" w:themeColor="text1"/>
                <w:szCs w:val="21"/>
              </w:rPr>
            </w:r>
            <w:r w:rsidR="00F317FF">
              <w:rPr>
                <w:color w:val="000000" w:themeColor="text1"/>
                <w:szCs w:val="21"/>
              </w:rPr>
              <w:fldChar w:fldCharType="separate"/>
            </w:r>
            <w:r w:rsidR="00C56E70">
              <w:rPr>
                <w:color w:val="000000" w:themeColor="text1"/>
                <w:szCs w:val="21"/>
              </w:rPr>
              <w:t>[17]</w:t>
            </w:r>
            <w:r w:rsidR="00F317FF">
              <w:rPr>
                <w:color w:val="000000" w:themeColor="text1"/>
                <w:szCs w:val="21"/>
              </w:rPr>
              <w:fldChar w:fldCharType="end"/>
            </w:r>
            <w:r w:rsidRPr="00A12CDC">
              <w:rPr>
                <w:color w:val="000000" w:themeColor="text1"/>
                <w:szCs w:val="21"/>
              </w:rPr>
              <w:t>; Wiedmann et al. (2011)</w:t>
            </w:r>
            <w:r w:rsidR="00F317FF">
              <w:rPr>
                <w:color w:val="000000" w:themeColor="text1"/>
                <w:szCs w:val="21"/>
              </w:rPr>
              <w:fldChar w:fldCharType="begin"/>
            </w:r>
            <w:r w:rsidR="00F317FF">
              <w:rPr>
                <w:color w:val="000000" w:themeColor="text1"/>
                <w:szCs w:val="21"/>
              </w:rPr>
              <w:instrText xml:space="preserve"> REF _Ref66568058 \r \h </w:instrText>
            </w:r>
            <w:r w:rsidR="00F317FF">
              <w:rPr>
                <w:color w:val="000000" w:themeColor="text1"/>
                <w:szCs w:val="21"/>
              </w:rPr>
            </w:r>
            <w:r w:rsidR="00F317FF">
              <w:rPr>
                <w:color w:val="000000" w:themeColor="text1"/>
                <w:szCs w:val="21"/>
              </w:rPr>
              <w:fldChar w:fldCharType="separate"/>
            </w:r>
            <w:r w:rsidR="00C56E70">
              <w:rPr>
                <w:color w:val="000000" w:themeColor="text1"/>
                <w:szCs w:val="21"/>
              </w:rPr>
              <w:t>[18]</w:t>
            </w:r>
            <w:r w:rsidR="00F317FF">
              <w:rPr>
                <w:color w:val="000000" w:themeColor="text1"/>
                <w:szCs w:val="21"/>
              </w:rPr>
              <w:fldChar w:fldCharType="end"/>
            </w:r>
            <w:r w:rsidRPr="00A12CDC">
              <w:rPr>
                <w:color w:val="000000" w:themeColor="text1"/>
                <w:szCs w:val="21"/>
              </w:rPr>
              <w:t>; Nassen et al. (2007)</w:t>
            </w:r>
            <w:r w:rsidR="00F317FF">
              <w:rPr>
                <w:color w:val="000000" w:themeColor="text1"/>
                <w:szCs w:val="21"/>
              </w:rPr>
              <w:fldChar w:fldCharType="begin"/>
            </w:r>
            <w:r w:rsidR="00F317FF">
              <w:rPr>
                <w:color w:val="000000" w:themeColor="text1"/>
                <w:szCs w:val="21"/>
              </w:rPr>
              <w:instrText xml:space="preserve"> REF _Ref66568065 \r \h </w:instrText>
            </w:r>
            <w:r w:rsidR="00F317FF">
              <w:rPr>
                <w:color w:val="000000" w:themeColor="text1"/>
                <w:szCs w:val="21"/>
              </w:rPr>
            </w:r>
            <w:r w:rsidR="00F317FF">
              <w:rPr>
                <w:color w:val="000000" w:themeColor="text1"/>
                <w:szCs w:val="21"/>
              </w:rPr>
              <w:fldChar w:fldCharType="separate"/>
            </w:r>
            <w:r w:rsidR="00C56E70">
              <w:rPr>
                <w:color w:val="000000" w:themeColor="text1"/>
                <w:szCs w:val="21"/>
              </w:rPr>
              <w:t>[19]</w:t>
            </w:r>
            <w:r w:rsidR="00F317FF">
              <w:rPr>
                <w:color w:val="000000" w:themeColor="text1"/>
                <w:szCs w:val="21"/>
              </w:rPr>
              <w:fldChar w:fldCharType="end"/>
            </w:r>
            <w:r w:rsidRPr="00A12CDC">
              <w:rPr>
                <w:color w:val="000000" w:themeColor="text1"/>
                <w:szCs w:val="21"/>
              </w:rPr>
              <w:t>; Crawford (2008)</w:t>
            </w:r>
            <w:r w:rsidR="003003C6">
              <w:rPr>
                <w:color w:val="000000" w:themeColor="text1"/>
                <w:szCs w:val="21"/>
              </w:rPr>
              <w:fldChar w:fldCharType="begin"/>
            </w:r>
            <w:r w:rsidR="003003C6">
              <w:rPr>
                <w:color w:val="000000" w:themeColor="text1"/>
                <w:szCs w:val="21"/>
              </w:rPr>
              <w:instrText xml:space="preserve"> REF _Ref66568071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[20]</w:t>
            </w:r>
            <w:r w:rsidR="003003C6">
              <w:rPr>
                <w:color w:val="000000" w:themeColor="text1"/>
                <w:szCs w:val="21"/>
              </w:rPr>
              <w:fldChar w:fldCharType="end"/>
            </w:r>
          </w:p>
        </w:tc>
      </w:tr>
      <w:tr w:rsidR="005E0802" w:rsidRPr="00A12CDC" w14:paraId="15A64D89" w14:textId="77777777" w:rsidTr="00176CD8">
        <w:trPr>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09F5212"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4</w:t>
            </w:r>
          </w:p>
        </w:tc>
        <w:tc>
          <w:tcPr>
            <w:tcW w:w="1417" w:type="dxa"/>
            <w:vAlign w:val="center"/>
          </w:tcPr>
          <w:p w14:paraId="2B1C6CDC"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30</w:t>
            </w:r>
          </w:p>
        </w:tc>
        <w:tc>
          <w:tcPr>
            <w:tcW w:w="3544" w:type="dxa"/>
            <w:vAlign w:val="center"/>
          </w:tcPr>
          <w:p w14:paraId="7C88F22F"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International trade; inter-regional trade; emission transfer; structural decomposition analysis; China</w:t>
            </w:r>
          </w:p>
        </w:tc>
        <w:tc>
          <w:tcPr>
            <w:tcW w:w="2410" w:type="dxa"/>
            <w:vAlign w:val="center"/>
          </w:tcPr>
          <w:p w14:paraId="2CBFF31B"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2013</w:t>
            </w:r>
          </w:p>
        </w:tc>
        <w:tc>
          <w:tcPr>
            <w:tcW w:w="6095" w:type="dxa"/>
            <w:vAlign w:val="center"/>
          </w:tcPr>
          <w:p w14:paraId="5ADE1A5D" w14:textId="3B8D7C9C"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Peters et al. (2011)</w:t>
            </w:r>
            <w:r w:rsidR="003003C6">
              <w:rPr>
                <w:color w:val="000000" w:themeColor="text1"/>
                <w:szCs w:val="21"/>
              </w:rPr>
              <w:fldChar w:fldCharType="begin"/>
            </w:r>
            <w:r w:rsidR="003003C6">
              <w:rPr>
                <w:color w:val="000000" w:themeColor="text1"/>
                <w:szCs w:val="21"/>
              </w:rPr>
              <w:instrText xml:space="preserve"> REF _Ref66569729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[1]</w:t>
            </w:r>
            <w:r w:rsidR="003003C6">
              <w:rPr>
                <w:color w:val="000000" w:themeColor="text1"/>
                <w:szCs w:val="21"/>
              </w:rPr>
              <w:fldChar w:fldCharType="end"/>
            </w:r>
            <w:r w:rsidRPr="00A12CDC">
              <w:rPr>
                <w:color w:val="000000" w:themeColor="text1"/>
                <w:szCs w:val="21"/>
              </w:rPr>
              <w:t>; Su and Ang (2014)</w:t>
            </w:r>
            <w:r w:rsidR="003003C6">
              <w:rPr>
                <w:color w:val="000000" w:themeColor="text1"/>
                <w:szCs w:val="21"/>
              </w:rPr>
              <w:fldChar w:fldCharType="begin"/>
            </w:r>
            <w:r w:rsidR="003003C6">
              <w:rPr>
                <w:color w:val="000000" w:themeColor="text1"/>
                <w:szCs w:val="21"/>
              </w:rPr>
              <w:instrText xml:space="preserve"> REF _Ref66568078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[21]</w:t>
            </w:r>
            <w:r w:rsidR="003003C6">
              <w:rPr>
                <w:color w:val="000000" w:themeColor="text1"/>
                <w:szCs w:val="21"/>
              </w:rPr>
              <w:fldChar w:fldCharType="end"/>
            </w:r>
            <w:r w:rsidRPr="00A12CDC">
              <w:rPr>
                <w:color w:val="000000" w:themeColor="text1"/>
                <w:szCs w:val="21"/>
              </w:rPr>
              <w:t>; Guan et al. (2014)</w:t>
            </w:r>
            <w:r w:rsidR="003003C6">
              <w:rPr>
                <w:color w:val="000000" w:themeColor="text1"/>
                <w:szCs w:val="21"/>
              </w:rPr>
              <w:fldChar w:fldCharType="begin"/>
            </w:r>
            <w:r w:rsidR="003003C6">
              <w:rPr>
                <w:color w:val="000000" w:themeColor="text1"/>
                <w:szCs w:val="21"/>
              </w:rPr>
              <w:instrText xml:space="preserve"> REF _Ref66568085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[22]</w:t>
            </w:r>
            <w:r w:rsidR="003003C6">
              <w:rPr>
                <w:color w:val="000000" w:themeColor="text1"/>
                <w:szCs w:val="21"/>
              </w:rPr>
              <w:fldChar w:fldCharType="end"/>
            </w:r>
            <w:r w:rsidRPr="00A12CDC">
              <w:rPr>
                <w:color w:val="000000" w:themeColor="text1"/>
                <w:szCs w:val="21"/>
              </w:rPr>
              <w:t>; Lin and Sun (2010)</w:t>
            </w:r>
            <w:r w:rsidR="003003C6">
              <w:rPr>
                <w:color w:val="000000" w:themeColor="text1"/>
                <w:szCs w:val="21"/>
              </w:rPr>
              <w:fldChar w:fldCharType="begin"/>
            </w:r>
            <w:r w:rsidR="003003C6">
              <w:rPr>
                <w:color w:val="000000" w:themeColor="text1"/>
                <w:szCs w:val="21"/>
              </w:rPr>
              <w:instrText xml:space="preserve"> REF _Ref66568118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[23]</w:t>
            </w:r>
            <w:r w:rsidR="003003C6">
              <w:rPr>
                <w:color w:val="000000" w:themeColor="text1"/>
                <w:szCs w:val="21"/>
              </w:rPr>
              <w:fldChar w:fldCharType="end"/>
            </w:r>
            <w:r w:rsidRPr="00A12CDC">
              <w:rPr>
                <w:color w:val="000000" w:themeColor="text1"/>
                <w:szCs w:val="21"/>
              </w:rPr>
              <w:t>; Su and Ang (2013)</w:t>
            </w:r>
            <w:r w:rsidR="003003C6">
              <w:rPr>
                <w:color w:val="000000" w:themeColor="text1"/>
                <w:szCs w:val="21"/>
              </w:rPr>
              <w:fldChar w:fldCharType="begin"/>
            </w:r>
            <w:r w:rsidR="003003C6">
              <w:rPr>
                <w:color w:val="000000" w:themeColor="text1"/>
                <w:szCs w:val="21"/>
              </w:rPr>
              <w:instrText xml:space="preserve"> REF _Ref66568126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[24]</w:t>
            </w:r>
            <w:r w:rsidR="003003C6">
              <w:rPr>
                <w:color w:val="000000" w:themeColor="text1"/>
                <w:szCs w:val="21"/>
              </w:rPr>
              <w:fldChar w:fldCharType="end"/>
            </w:r>
          </w:p>
        </w:tc>
      </w:tr>
      <w:tr w:rsidR="005E0802" w:rsidRPr="00A12CDC" w14:paraId="3C003FC9" w14:textId="77777777" w:rsidTr="00176C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27F93BE4"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5</w:t>
            </w:r>
          </w:p>
        </w:tc>
        <w:tc>
          <w:tcPr>
            <w:tcW w:w="1417" w:type="dxa"/>
            <w:vAlign w:val="center"/>
          </w:tcPr>
          <w:p w14:paraId="1F7B595F"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25</w:t>
            </w:r>
          </w:p>
        </w:tc>
        <w:tc>
          <w:tcPr>
            <w:tcW w:w="3544" w:type="dxa"/>
            <w:vAlign w:val="center"/>
          </w:tcPr>
          <w:p w14:paraId="5A20462F"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Household; consumer behavior; CO2 footprint; international trade; geographic distribution</w:t>
            </w:r>
          </w:p>
        </w:tc>
        <w:tc>
          <w:tcPr>
            <w:tcW w:w="2410" w:type="dxa"/>
            <w:vAlign w:val="center"/>
          </w:tcPr>
          <w:p w14:paraId="23316D84"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2009</w:t>
            </w:r>
          </w:p>
        </w:tc>
        <w:tc>
          <w:tcPr>
            <w:tcW w:w="6095" w:type="dxa"/>
            <w:vAlign w:val="center"/>
          </w:tcPr>
          <w:p w14:paraId="3A431EC5" w14:textId="061B76A2"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Weber et al. (2008)</w:t>
            </w:r>
            <w:r w:rsidR="003003C6">
              <w:rPr>
                <w:color w:val="000000" w:themeColor="text1"/>
                <w:szCs w:val="21"/>
              </w:rPr>
              <w:fldChar w:fldCharType="begin"/>
            </w:r>
            <w:r w:rsidR="003003C6">
              <w:rPr>
                <w:color w:val="000000" w:themeColor="text1"/>
                <w:szCs w:val="21"/>
              </w:rPr>
              <w:instrText xml:space="preserve"> REF _Ref66570030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[8]</w:t>
            </w:r>
            <w:r w:rsidR="003003C6">
              <w:rPr>
                <w:color w:val="000000" w:themeColor="text1"/>
                <w:szCs w:val="21"/>
              </w:rPr>
              <w:fldChar w:fldCharType="end"/>
            </w:r>
            <w:r w:rsidRPr="00A12CDC">
              <w:rPr>
                <w:color w:val="000000" w:themeColor="text1"/>
                <w:szCs w:val="21"/>
              </w:rPr>
              <w:t>; Weber et al. (2007)</w:t>
            </w:r>
            <w:r w:rsidR="003003C6">
              <w:rPr>
                <w:color w:val="000000" w:themeColor="text1"/>
                <w:szCs w:val="21"/>
              </w:rPr>
              <w:fldChar w:fldCharType="begin"/>
            </w:r>
            <w:r w:rsidR="003003C6">
              <w:rPr>
                <w:color w:val="000000" w:themeColor="text1"/>
                <w:szCs w:val="21"/>
              </w:rPr>
              <w:instrText xml:space="preserve"> REF _Ref66568134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[25]</w:t>
            </w:r>
            <w:r w:rsidR="003003C6">
              <w:rPr>
                <w:color w:val="000000" w:themeColor="text1"/>
                <w:szCs w:val="21"/>
              </w:rPr>
              <w:fldChar w:fldCharType="end"/>
            </w:r>
            <w:r w:rsidRPr="00A12CDC">
              <w:rPr>
                <w:color w:val="000000" w:themeColor="text1"/>
                <w:szCs w:val="21"/>
              </w:rPr>
              <w:t>; Baiocchi et al. (2010)</w:t>
            </w:r>
            <w:r w:rsidR="003003C6">
              <w:rPr>
                <w:color w:val="000000" w:themeColor="text1"/>
                <w:szCs w:val="21"/>
              </w:rPr>
              <w:fldChar w:fldCharType="begin"/>
            </w:r>
            <w:r w:rsidR="003003C6">
              <w:rPr>
                <w:color w:val="000000" w:themeColor="text1"/>
                <w:szCs w:val="21"/>
              </w:rPr>
              <w:instrText xml:space="preserve"> REF _Ref66568142 \r \h </w:instrText>
            </w:r>
            <w:r w:rsidR="003003C6">
              <w:rPr>
                <w:color w:val="000000" w:themeColor="text1"/>
                <w:szCs w:val="21"/>
              </w:rPr>
            </w:r>
            <w:r w:rsidR="003003C6">
              <w:rPr>
                <w:color w:val="000000" w:themeColor="text1"/>
                <w:szCs w:val="21"/>
              </w:rPr>
              <w:fldChar w:fldCharType="separate"/>
            </w:r>
            <w:r w:rsidR="00C56E70">
              <w:rPr>
                <w:color w:val="000000" w:themeColor="text1"/>
                <w:szCs w:val="21"/>
              </w:rPr>
              <w:t>[26]</w:t>
            </w:r>
            <w:r w:rsidR="003003C6">
              <w:rPr>
                <w:color w:val="000000" w:themeColor="text1"/>
                <w:szCs w:val="21"/>
              </w:rPr>
              <w:fldChar w:fldCharType="end"/>
            </w:r>
            <w:r w:rsidRPr="00A12CDC">
              <w:rPr>
                <w:color w:val="000000" w:themeColor="text1"/>
                <w:szCs w:val="21"/>
              </w:rPr>
              <w:t>; Pachauri and Spreng (2002)</w:t>
            </w:r>
            <w:r w:rsidR="00B66623">
              <w:rPr>
                <w:color w:val="000000" w:themeColor="text1"/>
                <w:szCs w:val="21"/>
              </w:rPr>
              <w:fldChar w:fldCharType="begin"/>
            </w:r>
            <w:r w:rsidR="00B66623">
              <w:rPr>
                <w:color w:val="000000" w:themeColor="text1"/>
                <w:szCs w:val="21"/>
              </w:rPr>
              <w:instrText xml:space="preserve"> REF _Ref66568148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[27]</w:t>
            </w:r>
            <w:r w:rsidR="00B66623">
              <w:rPr>
                <w:color w:val="000000" w:themeColor="text1"/>
                <w:szCs w:val="21"/>
              </w:rPr>
              <w:fldChar w:fldCharType="end"/>
            </w:r>
            <w:r w:rsidRPr="00A12CDC">
              <w:rPr>
                <w:color w:val="000000" w:themeColor="text1"/>
                <w:szCs w:val="21"/>
              </w:rPr>
              <w:t>; Liu et al. (2011)</w:t>
            </w:r>
            <w:r w:rsidR="00B66623">
              <w:rPr>
                <w:color w:val="000000" w:themeColor="text1"/>
                <w:szCs w:val="21"/>
              </w:rPr>
              <w:fldChar w:fldCharType="begin"/>
            </w:r>
            <w:r w:rsidR="00B66623">
              <w:rPr>
                <w:color w:val="000000" w:themeColor="text1"/>
                <w:szCs w:val="21"/>
              </w:rPr>
              <w:instrText xml:space="preserve"> REF _Ref66568155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[28]</w:t>
            </w:r>
            <w:r w:rsidR="00B66623">
              <w:rPr>
                <w:color w:val="000000" w:themeColor="text1"/>
                <w:szCs w:val="21"/>
              </w:rPr>
              <w:fldChar w:fldCharType="end"/>
            </w:r>
          </w:p>
        </w:tc>
      </w:tr>
      <w:tr w:rsidR="005E0802" w:rsidRPr="00A12CDC" w14:paraId="26CAA43A" w14:textId="77777777" w:rsidTr="00176CD8">
        <w:trPr>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09BE226"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lastRenderedPageBreak/>
              <w:t>6</w:t>
            </w:r>
          </w:p>
        </w:tc>
        <w:tc>
          <w:tcPr>
            <w:tcW w:w="1417" w:type="dxa"/>
            <w:vAlign w:val="center"/>
          </w:tcPr>
          <w:p w14:paraId="273FCDBB"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17</w:t>
            </w:r>
          </w:p>
        </w:tc>
        <w:tc>
          <w:tcPr>
            <w:tcW w:w="3544" w:type="dxa"/>
            <w:vAlign w:val="center"/>
          </w:tcPr>
          <w:p w14:paraId="55C45793"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Greenhouse gas emission; material; natural resources; final consumption; international trade</w:t>
            </w:r>
          </w:p>
        </w:tc>
        <w:tc>
          <w:tcPr>
            <w:tcW w:w="2410" w:type="dxa"/>
            <w:vAlign w:val="center"/>
          </w:tcPr>
          <w:p w14:paraId="686077AB"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2011</w:t>
            </w:r>
          </w:p>
        </w:tc>
        <w:tc>
          <w:tcPr>
            <w:tcW w:w="6095" w:type="dxa"/>
            <w:vAlign w:val="center"/>
          </w:tcPr>
          <w:p w14:paraId="57DBD015" w14:textId="2EF862E0"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Chen and Zhang (2010)</w:t>
            </w:r>
            <w:r w:rsidR="00B66623">
              <w:rPr>
                <w:color w:val="000000" w:themeColor="text1"/>
                <w:szCs w:val="21"/>
              </w:rPr>
              <w:fldChar w:fldCharType="begin"/>
            </w:r>
            <w:r w:rsidR="00B66623">
              <w:rPr>
                <w:color w:val="000000" w:themeColor="text1"/>
                <w:szCs w:val="21"/>
              </w:rPr>
              <w:instrText xml:space="preserve"> REF _Ref66568163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[29]</w:t>
            </w:r>
            <w:r w:rsidR="00B66623">
              <w:rPr>
                <w:color w:val="000000" w:themeColor="text1"/>
                <w:szCs w:val="21"/>
              </w:rPr>
              <w:fldChar w:fldCharType="end"/>
            </w:r>
            <w:r w:rsidRPr="00A12CDC">
              <w:rPr>
                <w:color w:val="000000" w:themeColor="text1"/>
                <w:szCs w:val="21"/>
              </w:rPr>
              <w:t>; Chen and Chen (2010)</w:t>
            </w:r>
            <w:r w:rsidR="00B66623">
              <w:rPr>
                <w:color w:val="000000" w:themeColor="text1"/>
                <w:szCs w:val="21"/>
              </w:rPr>
              <w:fldChar w:fldCharType="begin"/>
            </w:r>
            <w:r w:rsidR="00B66623">
              <w:rPr>
                <w:color w:val="000000" w:themeColor="text1"/>
                <w:szCs w:val="21"/>
              </w:rPr>
              <w:instrText xml:space="preserve"> REF _Ref66568169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[30]</w:t>
            </w:r>
            <w:r w:rsidR="00B66623">
              <w:rPr>
                <w:color w:val="000000" w:themeColor="text1"/>
                <w:szCs w:val="21"/>
              </w:rPr>
              <w:fldChar w:fldCharType="end"/>
            </w:r>
            <w:r w:rsidRPr="00A12CDC">
              <w:rPr>
                <w:color w:val="000000" w:themeColor="text1"/>
                <w:szCs w:val="21"/>
              </w:rPr>
              <w:t>; Bruckner et al. (2012)</w:t>
            </w:r>
            <w:r w:rsidR="00B66623">
              <w:rPr>
                <w:color w:val="000000" w:themeColor="text1"/>
                <w:szCs w:val="21"/>
              </w:rPr>
              <w:fldChar w:fldCharType="begin"/>
            </w:r>
            <w:r w:rsidR="00B66623">
              <w:rPr>
                <w:color w:val="000000" w:themeColor="text1"/>
                <w:szCs w:val="21"/>
              </w:rPr>
              <w:instrText xml:space="preserve"> REF _Ref66568176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[31]</w:t>
            </w:r>
            <w:r w:rsidR="00B66623">
              <w:rPr>
                <w:color w:val="000000" w:themeColor="text1"/>
                <w:szCs w:val="21"/>
              </w:rPr>
              <w:fldChar w:fldCharType="end"/>
            </w:r>
            <w:r w:rsidRPr="00A12CDC">
              <w:rPr>
                <w:color w:val="000000" w:themeColor="text1"/>
                <w:szCs w:val="21"/>
              </w:rPr>
              <w:t>; Chen et al. (2010)</w:t>
            </w:r>
            <w:r w:rsidR="00B66623">
              <w:rPr>
                <w:color w:val="000000" w:themeColor="text1"/>
                <w:szCs w:val="21"/>
              </w:rPr>
              <w:fldChar w:fldCharType="begin"/>
            </w:r>
            <w:r w:rsidR="00B66623">
              <w:rPr>
                <w:color w:val="000000" w:themeColor="text1"/>
                <w:szCs w:val="21"/>
              </w:rPr>
              <w:instrText xml:space="preserve"> REF _Ref66568182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[32]</w:t>
            </w:r>
            <w:r w:rsidR="00B66623">
              <w:rPr>
                <w:color w:val="000000" w:themeColor="text1"/>
                <w:szCs w:val="21"/>
              </w:rPr>
              <w:fldChar w:fldCharType="end"/>
            </w:r>
            <w:r w:rsidRPr="00A12CDC">
              <w:rPr>
                <w:color w:val="000000" w:themeColor="text1"/>
                <w:szCs w:val="21"/>
              </w:rPr>
              <w:t>; Chen and Chen (2011)</w:t>
            </w:r>
            <w:r w:rsidR="00B66623">
              <w:rPr>
                <w:color w:val="000000" w:themeColor="text1"/>
                <w:szCs w:val="21"/>
              </w:rPr>
              <w:fldChar w:fldCharType="begin"/>
            </w:r>
            <w:r w:rsidR="00B66623">
              <w:rPr>
                <w:color w:val="000000" w:themeColor="text1"/>
                <w:szCs w:val="21"/>
              </w:rPr>
              <w:instrText xml:space="preserve"> REF _Ref66568188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[33]</w:t>
            </w:r>
            <w:r w:rsidR="00B66623">
              <w:rPr>
                <w:color w:val="000000" w:themeColor="text1"/>
                <w:szCs w:val="21"/>
              </w:rPr>
              <w:fldChar w:fldCharType="end"/>
            </w:r>
          </w:p>
        </w:tc>
      </w:tr>
      <w:tr w:rsidR="005E0802" w:rsidRPr="00A12CDC" w14:paraId="60F875BF" w14:textId="77777777" w:rsidTr="00176C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470AFC71"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7</w:t>
            </w:r>
          </w:p>
        </w:tc>
        <w:tc>
          <w:tcPr>
            <w:tcW w:w="1417" w:type="dxa"/>
            <w:vAlign w:val="center"/>
          </w:tcPr>
          <w:p w14:paraId="0B835DCF"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4</w:t>
            </w:r>
          </w:p>
        </w:tc>
        <w:tc>
          <w:tcPr>
            <w:tcW w:w="3544" w:type="dxa"/>
            <w:vAlign w:val="center"/>
          </w:tcPr>
          <w:p w14:paraId="49B2911C"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 xml:space="preserve">Rebound; energy efficiency; </w:t>
            </w:r>
          </w:p>
        </w:tc>
        <w:tc>
          <w:tcPr>
            <w:tcW w:w="2410" w:type="dxa"/>
            <w:vAlign w:val="center"/>
          </w:tcPr>
          <w:p w14:paraId="6275C0E0" w14:textId="77777777"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2012</w:t>
            </w:r>
          </w:p>
        </w:tc>
        <w:tc>
          <w:tcPr>
            <w:tcW w:w="6095" w:type="dxa"/>
            <w:vAlign w:val="center"/>
          </w:tcPr>
          <w:p w14:paraId="5A754C2E" w14:textId="508E0548" w:rsidR="005E0802" w:rsidRPr="00A12CDC" w:rsidRDefault="005E0802" w:rsidP="00471F3F">
            <w:pPr>
              <w:pStyle w:val="0"/>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1"/>
              </w:rPr>
            </w:pPr>
            <w:r w:rsidRPr="00A12CDC">
              <w:rPr>
                <w:color w:val="000000" w:themeColor="text1"/>
                <w:szCs w:val="21"/>
              </w:rPr>
              <w:t>Hanley et al. (2009)</w:t>
            </w:r>
            <w:r w:rsidR="00B66623">
              <w:rPr>
                <w:color w:val="000000" w:themeColor="text1"/>
                <w:szCs w:val="21"/>
              </w:rPr>
              <w:fldChar w:fldCharType="begin"/>
            </w:r>
            <w:r w:rsidR="00B66623">
              <w:rPr>
                <w:color w:val="000000" w:themeColor="text1"/>
                <w:szCs w:val="21"/>
              </w:rPr>
              <w:instrText xml:space="preserve"> REF _Ref66568196 \r \h </w:instrText>
            </w:r>
            <w:r w:rsidR="00B66623">
              <w:rPr>
                <w:color w:val="000000" w:themeColor="text1"/>
                <w:szCs w:val="21"/>
              </w:rPr>
            </w:r>
            <w:r w:rsidR="00B66623">
              <w:rPr>
                <w:color w:val="000000" w:themeColor="text1"/>
                <w:szCs w:val="21"/>
              </w:rPr>
              <w:fldChar w:fldCharType="separate"/>
            </w:r>
            <w:r w:rsidR="00C56E70">
              <w:rPr>
                <w:color w:val="000000" w:themeColor="text1"/>
                <w:szCs w:val="21"/>
              </w:rPr>
              <w:t>[34]</w:t>
            </w:r>
            <w:r w:rsidR="00B66623">
              <w:rPr>
                <w:color w:val="000000" w:themeColor="text1"/>
                <w:szCs w:val="21"/>
              </w:rPr>
              <w:fldChar w:fldCharType="end"/>
            </w:r>
            <w:r w:rsidRPr="00A12CDC">
              <w:rPr>
                <w:color w:val="000000" w:themeColor="text1"/>
                <w:szCs w:val="21"/>
              </w:rPr>
              <w:t>; Thomas and Azevedo (2013)</w:t>
            </w:r>
            <w:r w:rsidR="007E12B7">
              <w:rPr>
                <w:color w:val="000000" w:themeColor="text1"/>
                <w:szCs w:val="21"/>
              </w:rPr>
              <w:fldChar w:fldCharType="begin"/>
            </w:r>
            <w:r w:rsidR="007E12B7">
              <w:rPr>
                <w:color w:val="000000" w:themeColor="text1"/>
                <w:szCs w:val="21"/>
              </w:rPr>
              <w:instrText xml:space="preserve"> REF _Ref66568202 \r \h </w:instrText>
            </w:r>
            <w:r w:rsidR="007E12B7">
              <w:rPr>
                <w:color w:val="000000" w:themeColor="text1"/>
                <w:szCs w:val="21"/>
              </w:rPr>
            </w:r>
            <w:r w:rsidR="007E12B7">
              <w:rPr>
                <w:color w:val="000000" w:themeColor="text1"/>
                <w:szCs w:val="21"/>
              </w:rPr>
              <w:fldChar w:fldCharType="separate"/>
            </w:r>
            <w:r w:rsidR="00C56E70">
              <w:rPr>
                <w:color w:val="000000" w:themeColor="text1"/>
                <w:szCs w:val="21"/>
              </w:rPr>
              <w:t>[35]</w:t>
            </w:r>
            <w:r w:rsidR="007E12B7">
              <w:rPr>
                <w:color w:val="000000" w:themeColor="text1"/>
                <w:szCs w:val="21"/>
              </w:rPr>
              <w:fldChar w:fldCharType="end"/>
            </w:r>
            <w:r w:rsidRPr="00A12CDC">
              <w:rPr>
                <w:color w:val="000000" w:themeColor="text1"/>
                <w:szCs w:val="21"/>
              </w:rPr>
              <w:t>; Wiebe et al. (2012)</w:t>
            </w:r>
            <w:r w:rsidR="007E12B7">
              <w:rPr>
                <w:color w:val="000000" w:themeColor="text1"/>
                <w:szCs w:val="21"/>
              </w:rPr>
              <w:fldChar w:fldCharType="begin"/>
            </w:r>
            <w:r w:rsidR="007E12B7">
              <w:rPr>
                <w:color w:val="000000" w:themeColor="text1"/>
                <w:szCs w:val="21"/>
              </w:rPr>
              <w:instrText xml:space="preserve"> REF _Ref66568211 \r \h </w:instrText>
            </w:r>
            <w:r w:rsidR="007E12B7">
              <w:rPr>
                <w:color w:val="000000" w:themeColor="text1"/>
                <w:szCs w:val="21"/>
              </w:rPr>
            </w:r>
            <w:r w:rsidR="007E12B7">
              <w:rPr>
                <w:color w:val="000000" w:themeColor="text1"/>
                <w:szCs w:val="21"/>
              </w:rPr>
              <w:fldChar w:fldCharType="separate"/>
            </w:r>
            <w:r w:rsidR="00C56E70">
              <w:rPr>
                <w:color w:val="000000" w:themeColor="text1"/>
                <w:szCs w:val="21"/>
              </w:rPr>
              <w:t>[36]</w:t>
            </w:r>
            <w:r w:rsidR="007E12B7">
              <w:rPr>
                <w:color w:val="000000" w:themeColor="text1"/>
                <w:szCs w:val="21"/>
              </w:rPr>
              <w:fldChar w:fldCharType="end"/>
            </w:r>
          </w:p>
        </w:tc>
      </w:tr>
      <w:tr w:rsidR="005E0802" w:rsidRPr="00A12CDC" w14:paraId="5EC66061" w14:textId="77777777" w:rsidTr="00176CD8">
        <w:trPr>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6CA15F3" w14:textId="77777777" w:rsidR="005E0802" w:rsidRPr="00A12CDC" w:rsidRDefault="005E0802" w:rsidP="00471F3F">
            <w:pPr>
              <w:pStyle w:val="0"/>
              <w:spacing w:line="360" w:lineRule="auto"/>
              <w:jc w:val="center"/>
              <w:rPr>
                <w:b w:val="0"/>
                <w:bCs w:val="0"/>
                <w:color w:val="000000" w:themeColor="text1"/>
                <w:szCs w:val="21"/>
              </w:rPr>
            </w:pPr>
            <w:r w:rsidRPr="00A12CDC">
              <w:rPr>
                <w:b w:val="0"/>
                <w:bCs w:val="0"/>
                <w:color w:val="000000" w:themeColor="text1"/>
                <w:szCs w:val="21"/>
              </w:rPr>
              <w:t>8</w:t>
            </w:r>
          </w:p>
        </w:tc>
        <w:tc>
          <w:tcPr>
            <w:tcW w:w="1417" w:type="dxa"/>
            <w:vAlign w:val="center"/>
          </w:tcPr>
          <w:p w14:paraId="01B8E4E5"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3</w:t>
            </w:r>
          </w:p>
        </w:tc>
        <w:tc>
          <w:tcPr>
            <w:tcW w:w="3544" w:type="dxa"/>
            <w:vAlign w:val="center"/>
          </w:tcPr>
          <w:p w14:paraId="2D31E1F6"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Interdependencies; CGE; GIS</w:t>
            </w:r>
          </w:p>
        </w:tc>
        <w:tc>
          <w:tcPr>
            <w:tcW w:w="2410" w:type="dxa"/>
            <w:vAlign w:val="center"/>
          </w:tcPr>
          <w:p w14:paraId="6DB659C2" w14:textId="77777777"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2009</w:t>
            </w:r>
          </w:p>
        </w:tc>
        <w:tc>
          <w:tcPr>
            <w:tcW w:w="6095" w:type="dxa"/>
            <w:vAlign w:val="center"/>
          </w:tcPr>
          <w:p w14:paraId="079E4B96" w14:textId="28151DA1" w:rsidR="005E0802" w:rsidRPr="00A12CDC" w:rsidRDefault="005E0802" w:rsidP="00471F3F">
            <w:pPr>
              <w:pStyle w:val="0"/>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21"/>
              </w:rPr>
            </w:pPr>
            <w:r w:rsidRPr="00A12CDC">
              <w:rPr>
                <w:color w:val="000000" w:themeColor="text1"/>
                <w:szCs w:val="21"/>
              </w:rPr>
              <w:t>Zhang and Peeta (2011)</w:t>
            </w:r>
            <w:r w:rsidR="007E12B7">
              <w:rPr>
                <w:color w:val="000000" w:themeColor="text1"/>
                <w:szCs w:val="21"/>
              </w:rPr>
              <w:fldChar w:fldCharType="begin"/>
            </w:r>
            <w:r w:rsidR="007E12B7">
              <w:rPr>
                <w:color w:val="000000" w:themeColor="text1"/>
                <w:szCs w:val="21"/>
              </w:rPr>
              <w:instrText xml:space="preserve"> REF _Ref66568219 \r \h </w:instrText>
            </w:r>
            <w:r w:rsidR="007E12B7">
              <w:rPr>
                <w:color w:val="000000" w:themeColor="text1"/>
                <w:szCs w:val="21"/>
              </w:rPr>
            </w:r>
            <w:r w:rsidR="007E12B7">
              <w:rPr>
                <w:color w:val="000000" w:themeColor="text1"/>
                <w:szCs w:val="21"/>
              </w:rPr>
              <w:fldChar w:fldCharType="separate"/>
            </w:r>
            <w:r w:rsidR="00C56E70">
              <w:rPr>
                <w:color w:val="000000" w:themeColor="text1"/>
                <w:szCs w:val="21"/>
              </w:rPr>
              <w:t>[37]</w:t>
            </w:r>
            <w:r w:rsidR="007E12B7">
              <w:rPr>
                <w:color w:val="000000" w:themeColor="text1"/>
                <w:szCs w:val="21"/>
              </w:rPr>
              <w:fldChar w:fldCharType="end"/>
            </w:r>
            <w:r w:rsidRPr="00A12CDC">
              <w:rPr>
                <w:color w:val="000000" w:themeColor="text1"/>
                <w:szCs w:val="21"/>
              </w:rPr>
              <w:t>; Irwin et al. (2010)</w:t>
            </w:r>
            <w:r w:rsidR="007E12B7">
              <w:rPr>
                <w:color w:val="000000" w:themeColor="text1"/>
                <w:szCs w:val="21"/>
              </w:rPr>
              <w:fldChar w:fldCharType="begin"/>
            </w:r>
            <w:r w:rsidR="007E12B7">
              <w:rPr>
                <w:color w:val="000000" w:themeColor="text1"/>
                <w:szCs w:val="21"/>
              </w:rPr>
              <w:instrText xml:space="preserve"> REF _Ref66568225 \r \h </w:instrText>
            </w:r>
            <w:r w:rsidR="007E12B7">
              <w:rPr>
                <w:color w:val="000000" w:themeColor="text1"/>
                <w:szCs w:val="21"/>
              </w:rPr>
            </w:r>
            <w:r w:rsidR="007E12B7">
              <w:rPr>
                <w:color w:val="000000" w:themeColor="text1"/>
                <w:szCs w:val="21"/>
              </w:rPr>
              <w:fldChar w:fldCharType="separate"/>
            </w:r>
            <w:r w:rsidR="00C56E70">
              <w:rPr>
                <w:color w:val="000000" w:themeColor="text1"/>
                <w:szCs w:val="21"/>
              </w:rPr>
              <w:t>[38]</w:t>
            </w:r>
            <w:r w:rsidR="007E12B7">
              <w:rPr>
                <w:color w:val="000000" w:themeColor="text1"/>
                <w:szCs w:val="21"/>
              </w:rPr>
              <w:fldChar w:fldCharType="end"/>
            </w:r>
            <w:r w:rsidRPr="00A12CDC">
              <w:rPr>
                <w:color w:val="000000" w:themeColor="text1"/>
                <w:szCs w:val="21"/>
              </w:rPr>
              <w:t>; Van der Veen and Logtmeijer (2005)</w:t>
            </w:r>
            <w:r w:rsidR="007E12B7">
              <w:rPr>
                <w:color w:val="000000" w:themeColor="text1"/>
                <w:szCs w:val="21"/>
              </w:rPr>
              <w:fldChar w:fldCharType="begin"/>
            </w:r>
            <w:r w:rsidR="007E12B7">
              <w:rPr>
                <w:color w:val="000000" w:themeColor="text1"/>
                <w:szCs w:val="21"/>
              </w:rPr>
              <w:instrText xml:space="preserve"> REF _Ref66568231 \r \h </w:instrText>
            </w:r>
            <w:r w:rsidR="007E12B7">
              <w:rPr>
                <w:color w:val="000000" w:themeColor="text1"/>
                <w:szCs w:val="21"/>
              </w:rPr>
            </w:r>
            <w:r w:rsidR="007E12B7">
              <w:rPr>
                <w:color w:val="000000" w:themeColor="text1"/>
                <w:szCs w:val="21"/>
              </w:rPr>
              <w:fldChar w:fldCharType="separate"/>
            </w:r>
            <w:r w:rsidR="00C56E70">
              <w:rPr>
                <w:color w:val="000000" w:themeColor="text1"/>
                <w:szCs w:val="21"/>
              </w:rPr>
              <w:t>[39]</w:t>
            </w:r>
            <w:r w:rsidR="007E12B7">
              <w:rPr>
                <w:color w:val="000000" w:themeColor="text1"/>
                <w:szCs w:val="21"/>
              </w:rPr>
              <w:fldChar w:fldCharType="end"/>
            </w:r>
          </w:p>
        </w:tc>
      </w:tr>
    </w:tbl>
    <w:p w14:paraId="7B6C4D7D" w14:textId="77777777" w:rsidR="005E0802" w:rsidRPr="00A12CDC" w:rsidRDefault="005E0802" w:rsidP="005E0802">
      <w:pPr>
        <w:spacing w:line="360" w:lineRule="auto"/>
        <w:rPr>
          <w:color w:val="000000" w:themeColor="text1"/>
          <w:sz w:val="24"/>
        </w:rPr>
      </w:pPr>
    </w:p>
    <w:p w14:paraId="04E5B5F7" w14:textId="77777777" w:rsidR="005E0802" w:rsidRPr="00A12CDC" w:rsidRDefault="005E0802" w:rsidP="005E0802">
      <w:pPr>
        <w:spacing w:line="360" w:lineRule="auto"/>
        <w:outlineLvl w:val="0"/>
        <w:rPr>
          <w:b/>
          <w:bCs/>
          <w:color w:val="000000" w:themeColor="text1"/>
          <w:sz w:val="24"/>
        </w:rPr>
        <w:sectPr w:rsidR="005E0802" w:rsidRPr="00A12CDC" w:rsidSect="00471F3F">
          <w:pgSz w:w="16838" w:h="11906" w:orient="landscape"/>
          <w:pgMar w:top="1800" w:right="1440" w:bottom="1800" w:left="1440" w:header="851" w:footer="992" w:gutter="0"/>
          <w:cols w:space="425"/>
          <w:docGrid w:type="lines" w:linePitch="312"/>
        </w:sectPr>
      </w:pPr>
    </w:p>
    <w:p w14:paraId="7B827A73" w14:textId="77777777" w:rsidR="005E0802" w:rsidRPr="00A12CDC" w:rsidRDefault="005E0802" w:rsidP="005E0802">
      <w:pPr>
        <w:spacing w:line="360" w:lineRule="auto"/>
        <w:outlineLvl w:val="1"/>
        <w:rPr>
          <w:b/>
          <w:bCs/>
          <w:color w:val="000000" w:themeColor="text1"/>
          <w:sz w:val="24"/>
        </w:rPr>
      </w:pPr>
      <w:r w:rsidRPr="00A12CDC">
        <w:rPr>
          <w:b/>
          <w:bCs/>
          <w:color w:val="000000" w:themeColor="text1"/>
          <w:sz w:val="24"/>
        </w:rPr>
        <w:lastRenderedPageBreak/>
        <w:t>The performances of institutions and authors</w:t>
      </w:r>
    </w:p>
    <w:p w14:paraId="57A0970B" w14:textId="1852B151" w:rsidR="005E0802" w:rsidRPr="00A12CDC" w:rsidRDefault="005E0802" w:rsidP="005E0802">
      <w:pPr>
        <w:pStyle w:val="0"/>
        <w:spacing w:line="360" w:lineRule="auto"/>
        <w:ind w:firstLineChars="200" w:firstLine="480"/>
        <w:rPr>
          <w:color w:val="000000" w:themeColor="text1"/>
          <w:sz w:val="24"/>
        </w:rPr>
      </w:pPr>
      <w:r w:rsidRPr="00A12CDC">
        <w:rPr>
          <w:color w:val="000000" w:themeColor="text1"/>
          <w:sz w:val="24"/>
        </w:rPr>
        <w:t>Over the past 20 years, 4015 scholars from 1278 institutions have made outstanding contributions to the field. In this paper, 90 institutions with no less than 10 publications and 209 authors with no less than 5 publications were analyzed deeply. The results are shown in Fig</w:t>
      </w:r>
      <w:r w:rsidR="00E40CEB">
        <w:rPr>
          <w:color w:val="000000" w:themeColor="text1"/>
          <w:sz w:val="24"/>
        </w:rPr>
        <w:t>ure</w:t>
      </w:r>
      <w:r w:rsidRPr="00A12CDC">
        <w:rPr>
          <w:color w:val="000000" w:themeColor="text1"/>
          <w:sz w:val="24"/>
        </w:rPr>
        <w:t xml:space="preserve"> C, Fi</w:t>
      </w:r>
      <w:r w:rsidR="00E40CEB">
        <w:rPr>
          <w:color w:val="000000" w:themeColor="text1"/>
          <w:sz w:val="24"/>
        </w:rPr>
        <w:t>gure</w:t>
      </w:r>
      <w:r w:rsidRPr="00A12CDC">
        <w:rPr>
          <w:color w:val="000000" w:themeColor="text1"/>
          <w:sz w:val="24"/>
        </w:rPr>
        <w:t xml:space="preserve"> D, Table E and Table F.</w:t>
      </w:r>
    </w:p>
    <w:p w14:paraId="46CF7835" w14:textId="09C9F159" w:rsidR="005E0802" w:rsidRPr="00A12CDC" w:rsidRDefault="005E0802" w:rsidP="005E0802">
      <w:pPr>
        <w:pStyle w:val="0"/>
        <w:spacing w:line="360" w:lineRule="auto"/>
        <w:ind w:firstLineChars="200" w:firstLine="480"/>
        <w:rPr>
          <w:color w:val="000000" w:themeColor="text1"/>
          <w:sz w:val="24"/>
        </w:rPr>
      </w:pPr>
      <w:r w:rsidRPr="00A12CDC">
        <w:rPr>
          <w:color w:val="000000" w:themeColor="text1"/>
          <w:sz w:val="24"/>
        </w:rPr>
        <w:t xml:space="preserve">From the perspective of institutions, half of the top 10 cited institutions is from China, while the rest are from Australia, UK, Norway, and </w:t>
      </w:r>
      <w:r w:rsidR="00DC59A1">
        <w:rPr>
          <w:color w:val="000000" w:themeColor="text1"/>
          <w:sz w:val="24"/>
        </w:rPr>
        <w:t xml:space="preserve">the </w:t>
      </w:r>
      <w:r>
        <w:rPr>
          <w:color w:val="000000" w:themeColor="text1"/>
          <w:sz w:val="24"/>
        </w:rPr>
        <w:t>USA</w:t>
      </w:r>
      <w:r w:rsidRPr="00A12CDC">
        <w:rPr>
          <w:color w:val="000000" w:themeColor="text1"/>
          <w:sz w:val="24"/>
        </w:rPr>
        <w:t>, although the average publication year of China is relatively late. The University of Sydney (64 articles, 3917 citations)</w:t>
      </w:r>
      <w:r>
        <w:rPr>
          <w:color w:val="000000" w:themeColor="text1"/>
          <w:sz w:val="24"/>
        </w:rPr>
        <w:t>,</w:t>
      </w:r>
      <w:r w:rsidRPr="00A12CDC">
        <w:rPr>
          <w:color w:val="000000" w:themeColor="text1"/>
          <w:sz w:val="24"/>
        </w:rPr>
        <w:t xml:space="preserve"> the Chinese Academy of Sciences (156 articles, 3695 citations) and Peking University (112 articles, 3393 citations) ranked top three among 90 institutions in terms of citation frequency. Beijing Normal University (165 articles, 3087 citations) ranked first in terms of publication volume. Carnegie Mellon University (17 articles,2054 citations), </w:t>
      </w:r>
      <w:r>
        <w:rPr>
          <w:color w:val="000000" w:themeColor="text1"/>
          <w:sz w:val="24"/>
        </w:rPr>
        <w:t>t</w:t>
      </w:r>
      <w:r w:rsidRPr="00A12CDC">
        <w:rPr>
          <w:color w:val="000000" w:themeColor="text1"/>
          <w:sz w:val="24"/>
        </w:rPr>
        <w:t>he University of York (10 articles,1025 citations) and the Norwegian University of Science and Technology (32 articles,2472 citations) rank among the top in the world with 120.82 citations per article, 102.50, and 77.25 citations per article, respectively, occupying a key position in this field. Thus, the main research strength in this field can be found from the number of citations, the number of publications and the number of citations per article.</w:t>
      </w:r>
    </w:p>
    <w:p w14:paraId="204362B8" w14:textId="77777777" w:rsidR="005E0802" w:rsidRPr="00A12CDC" w:rsidRDefault="005E0802" w:rsidP="005E0802">
      <w:pPr>
        <w:pStyle w:val="0"/>
        <w:spacing w:line="360" w:lineRule="auto"/>
        <w:ind w:firstLineChars="200" w:firstLine="480"/>
        <w:rPr>
          <w:color w:val="000000" w:themeColor="text1"/>
          <w:sz w:val="24"/>
        </w:rPr>
      </w:pPr>
      <w:r w:rsidRPr="00A12CDC">
        <w:rPr>
          <w:color w:val="000000" w:themeColor="text1"/>
          <w:sz w:val="24"/>
        </w:rPr>
        <w:t xml:space="preserve">Authors with more citations and publications can be defined as core authors in this field. It can be seen from Table E that 40% of the top 20 core authors are composed of Chinese scholars. This demonstrates once again that China occupies a high academic position in this field </w:t>
      </w:r>
      <w:r>
        <w:rPr>
          <w:color w:val="000000" w:themeColor="text1"/>
          <w:sz w:val="24"/>
        </w:rPr>
        <w:t xml:space="preserve">from </w:t>
      </w:r>
      <w:r w:rsidRPr="00A12CDC">
        <w:rPr>
          <w:color w:val="000000" w:themeColor="text1"/>
          <w:sz w:val="24"/>
        </w:rPr>
        <w:t xml:space="preserve">both quantitatively and qualitatively, and contributes a great deal to the advancement of this field. From the perspective of publication volume, Pro. Chen B. from Beijing Normal University (44 articles, 1320 citations), Pro. Chen G.Q. from Peking University (42 articles, 2188 citations) and Pro. Liang S. from Beijing Normal University (40 articles, 893 citations) are the top three scholars. Pro. Guan D.B. from the University of Cambridge (40 articles, 2936 citations) and Pro. Hubacek, K. from the University of Maryland (39 articles, 2825 citations) and Pro. Lenzen, M. from the University of Sydney (32 articles, 2371 citations) were in the top three in terms of cumulative citations. Pro. Weber, CI. (7 articles,1461 citations) from the World Wildlife </w:t>
      </w:r>
      <w:r w:rsidRPr="00A12CDC">
        <w:rPr>
          <w:color w:val="000000" w:themeColor="text1"/>
          <w:sz w:val="24"/>
        </w:rPr>
        <w:lastRenderedPageBreak/>
        <w:t>Fund, Pro. Peters, GP., (9 articles, 1826 citations) and Pro. Moran, D. (8 articles,1120 citations) of Norwegian University of Science and Technology, with fewer than 10 articles, but rank among the top three in the field in terms of the average number of citations per article.</w:t>
      </w:r>
    </w:p>
    <w:p w14:paraId="542F0209" w14:textId="77777777" w:rsidR="005E0802" w:rsidRPr="00A12CDC" w:rsidRDefault="005E0802" w:rsidP="005E0802">
      <w:pPr>
        <w:pStyle w:val="0"/>
        <w:spacing w:line="360" w:lineRule="auto"/>
        <w:ind w:firstLineChars="200" w:firstLine="480"/>
        <w:rPr>
          <w:color w:val="000000" w:themeColor="text1"/>
          <w:sz w:val="24"/>
        </w:rPr>
      </w:pPr>
      <w:r w:rsidRPr="00A12CDC">
        <w:rPr>
          <w:color w:val="000000" w:themeColor="text1"/>
          <w:sz w:val="24"/>
        </w:rPr>
        <w:t>Researchers actively communicate with each other based on inter-institutional cooperation, and gradually form close cooperation partners both at home and abroad. Pro. Feng, KS., and Pro. Hubacek, K., from the University of Maryland, for example, have jointly published 23 articles. Pro. Peters, GP., and Pro. Ang, BW., from the National University of Singapore, co-authored 10 articles. Pro. Wood, R., and Pro. Hertwich, EG., of the Norwegian University of Science and Technology, published 7 articles in total. Pro. Guan, DB. Of the University of Cambridge and Pro. Meng, J., from the University of London, United Kingdom, jointly published 15 articles. Pro. Tukker, A., from Leiden University, and Pro. Wood, R., from the Norwegian University of Science and Technology, have co-authored 10 articles. Pro. Liang, S., from Beijing Normal University, and Pro. Xu, M., from the University of Michigan, have jointly published 16 articles.</w:t>
      </w:r>
    </w:p>
    <w:p w14:paraId="59335A0E" w14:textId="77777777" w:rsidR="005E0802" w:rsidRPr="00A12CDC" w:rsidRDefault="005E0802" w:rsidP="005E0802">
      <w:pPr>
        <w:pStyle w:val="0"/>
        <w:spacing w:line="360" w:lineRule="auto"/>
        <w:jc w:val="center"/>
        <w:rPr>
          <w:color w:val="000000" w:themeColor="text1"/>
          <w:sz w:val="24"/>
        </w:rPr>
      </w:pPr>
      <w:r w:rsidRPr="00A12CDC">
        <w:rPr>
          <w:rFonts w:hint="eastAsia"/>
          <w:noProof/>
          <w:color w:val="000000" w:themeColor="text1"/>
          <w:sz w:val="24"/>
        </w:rPr>
        <w:drawing>
          <wp:inline distT="0" distB="0" distL="0" distR="0" wp14:anchorId="0C0929F8" wp14:editId="51F93FA7">
            <wp:extent cx="5561173" cy="3409950"/>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4365" cy="3418039"/>
                    </a:xfrm>
                    <a:prstGeom prst="rect">
                      <a:avLst/>
                    </a:prstGeom>
                  </pic:spPr>
                </pic:pic>
              </a:graphicData>
            </a:graphic>
          </wp:inline>
        </w:drawing>
      </w:r>
    </w:p>
    <w:p w14:paraId="2212A873" w14:textId="3ADA3455" w:rsidR="005E0802" w:rsidRPr="00A12CDC" w:rsidRDefault="005E0802" w:rsidP="005E0802">
      <w:pPr>
        <w:pStyle w:val="0"/>
        <w:spacing w:line="360" w:lineRule="auto"/>
        <w:jc w:val="center"/>
        <w:rPr>
          <w:noProof/>
          <w:color w:val="000000" w:themeColor="text1"/>
          <w:sz w:val="24"/>
        </w:rPr>
      </w:pPr>
      <w:r w:rsidRPr="00A12CDC">
        <w:rPr>
          <w:noProof/>
          <w:color w:val="000000" w:themeColor="text1"/>
          <w:sz w:val="24"/>
        </w:rPr>
        <w:t>Fi</w:t>
      </w:r>
      <w:r w:rsidR="00DC59A1">
        <w:rPr>
          <w:noProof/>
          <w:color w:val="000000" w:themeColor="text1"/>
          <w:sz w:val="24"/>
        </w:rPr>
        <w:t>gure</w:t>
      </w:r>
      <w:r w:rsidRPr="00A12CDC">
        <w:rPr>
          <w:noProof/>
          <w:color w:val="000000" w:themeColor="text1"/>
          <w:sz w:val="24"/>
        </w:rPr>
        <w:t xml:space="preserve"> C. I</w:t>
      </w:r>
      <w:r w:rsidRPr="00A12CDC">
        <w:rPr>
          <w:rFonts w:hint="eastAsia"/>
          <w:noProof/>
          <w:color w:val="000000" w:themeColor="text1"/>
          <w:sz w:val="24"/>
        </w:rPr>
        <w:t>ns</w:t>
      </w:r>
      <w:r w:rsidRPr="00A12CDC">
        <w:rPr>
          <w:noProof/>
          <w:color w:val="000000" w:themeColor="text1"/>
          <w:sz w:val="24"/>
        </w:rPr>
        <w:t>titutions</w:t>
      </w:r>
      <w:r>
        <w:rPr>
          <w:noProof/>
          <w:color w:val="000000" w:themeColor="text1"/>
          <w:sz w:val="24"/>
        </w:rPr>
        <w:t>’</w:t>
      </w:r>
      <w:r w:rsidRPr="00A12CDC">
        <w:rPr>
          <w:noProof/>
          <w:color w:val="000000" w:themeColor="text1"/>
          <w:sz w:val="24"/>
        </w:rPr>
        <w:t xml:space="preserve"> </w:t>
      </w:r>
      <w:r w:rsidRPr="00A12CDC">
        <w:rPr>
          <w:color w:val="000000" w:themeColor="text1"/>
          <w:sz w:val="24"/>
        </w:rPr>
        <w:t>collaboration</w:t>
      </w:r>
      <w:r w:rsidRPr="00A12CDC">
        <w:rPr>
          <w:noProof/>
          <w:color w:val="000000" w:themeColor="text1"/>
          <w:sz w:val="24"/>
        </w:rPr>
        <w:t>.</w:t>
      </w:r>
    </w:p>
    <w:p w14:paraId="40D503B1" w14:textId="77777777" w:rsidR="005E0802" w:rsidRPr="00A12CDC" w:rsidRDefault="005E0802" w:rsidP="005E0802">
      <w:pPr>
        <w:pStyle w:val="0"/>
        <w:spacing w:line="360" w:lineRule="auto"/>
        <w:jc w:val="center"/>
        <w:rPr>
          <w:color w:val="000000" w:themeColor="text1"/>
        </w:rPr>
      </w:pPr>
      <w:r w:rsidRPr="00A12CDC">
        <w:rPr>
          <w:color w:val="000000" w:themeColor="text1"/>
        </w:rPr>
        <w:t>Note: The color bar represents the average year of publication of national articles.</w:t>
      </w:r>
    </w:p>
    <w:p w14:paraId="46FB74D1" w14:textId="77777777" w:rsidR="005E0802" w:rsidRPr="00A12CDC" w:rsidRDefault="005E0802" w:rsidP="005E0802">
      <w:pPr>
        <w:pStyle w:val="0"/>
        <w:spacing w:line="360" w:lineRule="auto"/>
        <w:jc w:val="center"/>
        <w:rPr>
          <w:color w:val="000000" w:themeColor="text1"/>
          <w:sz w:val="24"/>
        </w:rPr>
      </w:pPr>
    </w:p>
    <w:p w14:paraId="37BD55C3" w14:textId="77777777" w:rsidR="005E0802" w:rsidRPr="00A12CDC" w:rsidRDefault="005E0802" w:rsidP="005E0802">
      <w:pPr>
        <w:pStyle w:val="0"/>
        <w:spacing w:line="360" w:lineRule="auto"/>
        <w:jc w:val="center"/>
        <w:rPr>
          <w:color w:val="000000" w:themeColor="text1"/>
          <w:sz w:val="24"/>
        </w:rPr>
      </w:pPr>
      <w:r w:rsidRPr="00A12CDC">
        <w:rPr>
          <w:color w:val="000000" w:themeColor="text1"/>
          <w:sz w:val="24"/>
        </w:rPr>
        <w:t>Table D. The top 10 institutions or institutions in terms of cumulative citations</w:t>
      </w:r>
      <w:r w:rsidRPr="00A12CDC">
        <w:rPr>
          <w:rFonts w:hint="eastAsia"/>
          <w:color w:val="000000" w:themeColor="text1"/>
          <w:sz w:val="24"/>
        </w:rPr>
        <w:t>.</w:t>
      </w:r>
    </w:p>
    <w:tbl>
      <w:tblPr>
        <w:tblW w:w="10490" w:type="dxa"/>
        <w:jc w:val="center"/>
        <w:tblLook w:val="04A0" w:firstRow="1" w:lastRow="0" w:firstColumn="1" w:lastColumn="0" w:noHBand="0" w:noVBand="1"/>
      </w:tblPr>
      <w:tblGrid>
        <w:gridCol w:w="6679"/>
        <w:gridCol w:w="1356"/>
        <w:gridCol w:w="1476"/>
        <w:gridCol w:w="979"/>
      </w:tblGrid>
      <w:tr w:rsidR="005E0802" w:rsidRPr="00A12CDC" w14:paraId="07A60FDE" w14:textId="77777777" w:rsidTr="00471F3F">
        <w:trPr>
          <w:jc w:val="center"/>
        </w:trPr>
        <w:tc>
          <w:tcPr>
            <w:tcW w:w="6679" w:type="dxa"/>
            <w:tcBorders>
              <w:top w:val="single" w:sz="4" w:space="0" w:color="auto"/>
              <w:bottom w:val="single" w:sz="4" w:space="0" w:color="auto"/>
            </w:tcBorders>
            <w:shd w:val="clear" w:color="auto" w:fill="auto"/>
          </w:tcPr>
          <w:p w14:paraId="758FD987"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Institution, Country</w:t>
            </w:r>
          </w:p>
        </w:tc>
        <w:tc>
          <w:tcPr>
            <w:tcW w:w="1356" w:type="dxa"/>
            <w:tcBorders>
              <w:top w:val="single" w:sz="4" w:space="0" w:color="auto"/>
              <w:bottom w:val="single" w:sz="4" w:space="0" w:color="auto"/>
            </w:tcBorders>
            <w:shd w:val="clear" w:color="auto" w:fill="auto"/>
          </w:tcPr>
          <w:p w14:paraId="2A98F905"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TP (%)</w:t>
            </w:r>
          </w:p>
        </w:tc>
        <w:tc>
          <w:tcPr>
            <w:tcW w:w="1476" w:type="dxa"/>
            <w:tcBorders>
              <w:top w:val="single" w:sz="4" w:space="0" w:color="auto"/>
              <w:bottom w:val="single" w:sz="4" w:space="0" w:color="auto"/>
            </w:tcBorders>
            <w:shd w:val="clear" w:color="auto" w:fill="auto"/>
          </w:tcPr>
          <w:p w14:paraId="4995FAB9"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TC (%)</w:t>
            </w:r>
          </w:p>
        </w:tc>
        <w:tc>
          <w:tcPr>
            <w:tcW w:w="979" w:type="dxa"/>
            <w:tcBorders>
              <w:top w:val="single" w:sz="4" w:space="0" w:color="auto"/>
              <w:bottom w:val="single" w:sz="4" w:space="0" w:color="auto"/>
            </w:tcBorders>
            <w:shd w:val="clear" w:color="auto" w:fill="auto"/>
          </w:tcPr>
          <w:p w14:paraId="19C0771B"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TC/TP</w:t>
            </w:r>
          </w:p>
        </w:tc>
      </w:tr>
      <w:tr w:rsidR="005E0802" w:rsidRPr="00A12CDC" w14:paraId="6F7B8BA4" w14:textId="77777777" w:rsidTr="00471F3F">
        <w:trPr>
          <w:jc w:val="center"/>
        </w:trPr>
        <w:tc>
          <w:tcPr>
            <w:tcW w:w="6679" w:type="dxa"/>
            <w:tcBorders>
              <w:top w:val="single" w:sz="4" w:space="0" w:color="auto"/>
            </w:tcBorders>
            <w:shd w:val="clear" w:color="auto" w:fill="auto"/>
          </w:tcPr>
          <w:p w14:paraId="08BB6EF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University of Sydney, Australia</w:t>
            </w:r>
          </w:p>
        </w:tc>
        <w:tc>
          <w:tcPr>
            <w:tcW w:w="1356" w:type="dxa"/>
            <w:tcBorders>
              <w:top w:val="single" w:sz="4" w:space="0" w:color="auto"/>
            </w:tcBorders>
            <w:shd w:val="clear" w:color="auto" w:fill="auto"/>
          </w:tcPr>
          <w:p w14:paraId="199C15B4"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64(2.86%)</w:t>
            </w:r>
          </w:p>
        </w:tc>
        <w:tc>
          <w:tcPr>
            <w:tcW w:w="1476" w:type="dxa"/>
            <w:tcBorders>
              <w:top w:val="single" w:sz="4" w:space="0" w:color="auto"/>
            </w:tcBorders>
            <w:shd w:val="clear" w:color="auto" w:fill="auto"/>
          </w:tcPr>
          <w:p w14:paraId="13F9616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3917(5.99%)</w:t>
            </w:r>
          </w:p>
        </w:tc>
        <w:tc>
          <w:tcPr>
            <w:tcW w:w="979" w:type="dxa"/>
            <w:tcBorders>
              <w:top w:val="single" w:sz="4" w:space="0" w:color="auto"/>
            </w:tcBorders>
            <w:shd w:val="clear" w:color="auto" w:fill="auto"/>
          </w:tcPr>
          <w:p w14:paraId="611B4D91"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61.20</w:t>
            </w:r>
          </w:p>
        </w:tc>
      </w:tr>
      <w:tr w:rsidR="005E0802" w:rsidRPr="00A12CDC" w14:paraId="61FBF982" w14:textId="77777777" w:rsidTr="00471F3F">
        <w:trPr>
          <w:jc w:val="center"/>
        </w:trPr>
        <w:tc>
          <w:tcPr>
            <w:tcW w:w="6679" w:type="dxa"/>
            <w:shd w:val="clear" w:color="auto" w:fill="auto"/>
          </w:tcPr>
          <w:p w14:paraId="71A8F5D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China Academy of Sciences, China</w:t>
            </w:r>
          </w:p>
        </w:tc>
        <w:tc>
          <w:tcPr>
            <w:tcW w:w="1356" w:type="dxa"/>
            <w:shd w:val="clear" w:color="auto" w:fill="auto"/>
          </w:tcPr>
          <w:p w14:paraId="79ECC65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156(6.97%)</w:t>
            </w:r>
          </w:p>
        </w:tc>
        <w:tc>
          <w:tcPr>
            <w:tcW w:w="1476" w:type="dxa"/>
            <w:shd w:val="clear" w:color="auto" w:fill="auto"/>
          </w:tcPr>
          <w:p w14:paraId="0B812A0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3695(5.56%)</w:t>
            </w:r>
          </w:p>
        </w:tc>
        <w:tc>
          <w:tcPr>
            <w:tcW w:w="979" w:type="dxa"/>
            <w:shd w:val="clear" w:color="auto" w:fill="auto"/>
          </w:tcPr>
          <w:p w14:paraId="7537351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23.69</w:t>
            </w:r>
          </w:p>
        </w:tc>
      </w:tr>
      <w:tr w:rsidR="005E0802" w:rsidRPr="00A12CDC" w14:paraId="4A8243B3" w14:textId="77777777" w:rsidTr="00471F3F">
        <w:trPr>
          <w:jc w:val="center"/>
        </w:trPr>
        <w:tc>
          <w:tcPr>
            <w:tcW w:w="6679" w:type="dxa"/>
            <w:shd w:val="clear" w:color="auto" w:fill="auto"/>
          </w:tcPr>
          <w:p w14:paraId="1A9FE7B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Peking University, China</w:t>
            </w:r>
          </w:p>
        </w:tc>
        <w:tc>
          <w:tcPr>
            <w:tcW w:w="1356" w:type="dxa"/>
            <w:shd w:val="clear" w:color="auto" w:fill="auto"/>
          </w:tcPr>
          <w:p w14:paraId="038A0CA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112(5.00%)</w:t>
            </w:r>
          </w:p>
        </w:tc>
        <w:tc>
          <w:tcPr>
            <w:tcW w:w="1476" w:type="dxa"/>
            <w:shd w:val="clear" w:color="auto" w:fill="auto"/>
          </w:tcPr>
          <w:p w14:paraId="62138DE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3393(5.19%)</w:t>
            </w:r>
          </w:p>
        </w:tc>
        <w:tc>
          <w:tcPr>
            <w:tcW w:w="979" w:type="dxa"/>
            <w:shd w:val="clear" w:color="auto" w:fill="auto"/>
          </w:tcPr>
          <w:p w14:paraId="2338863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30.29</w:t>
            </w:r>
          </w:p>
        </w:tc>
      </w:tr>
      <w:tr w:rsidR="005E0802" w:rsidRPr="00A12CDC" w14:paraId="0E0B7F87" w14:textId="77777777" w:rsidTr="00471F3F">
        <w:trPr>
          <w:jc w:val="center"/>
        </w:trPr>
        <w:tc>
          <w:tcPr>
            <w:tcW w:w="6679" w:type="dxa"/>
            <w:shd w:val="clear" w:color="auto" w:fill="auto"/>
          </w:tcPr>
          <w:p w14:paraId="026C01B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University of Leeds, UK</w:t>
            </w:r>
          </w:p>
        </w:tc>
        <w:tc>
          <w:tcPr>
            <w:tcW w:w="1356" w:type="dxa"/>
            <w:shd w:val="clear" w:color="auto" w:fill="auto"/>
          </w:tcPr>
          <w:p w14:paraId="0489D11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52(2.32%)</w:t>
            </w:r>
          </w:p>
        </w:tc>
        <w:tc>
          <w:tcPr>
            <w:tcW w:w="1476" w:type="dxa"/>
            <w:shd w:val="clear" w:color="auto" w:fill="auto"/>
          </w:tcPr>
          <w:p w14:paraId="36267D5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3199(4.89%)</w:t>
            </w:r>
          </w:p>
        </w:tc>
        <w:tc>
          <w:tcPr>
            <w:tcW w:w="979" w:type="dxa"/>
            <w:shd w:val="clear" w:color="auto" w:fill="auto"/>
          </w:tcPr>
          <w:p w14:paraId="7DA3C00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61.52</w:t>
            </w:r>
          </w:p>
        </w:tc>
      </w:tr>
      <w:tr w:rsidR="005E0802" w:rsidRPr="00A12CDC" w14:paraId="4446341E" w14:textId="77777777" w:rsidTr="00471F3F">
        <w:trPr>
          <w:jc w:val="center"/>
        </w:trPr>
        <w:tc>
          <w:tcPr>
            <w:tcW w:w="6679" w:type="dxa"/>
            <w:shd w:val="clear" w:color="auto" w:fill="auto"/>
          </w:tcPr>
          <w:p w14:paraId="6A28188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Beijing Normal University, China</w:t>
            </w:r>
          </w:p>
        </w:tc>
        <w:tc>
          <w:tcPr>
            <w:tcW w:w="1356" w:type="dxa"/>
            <w:shd w:val="clear" w:color="auto" w:fill="auto"/>
          </w:tcPr>
          <w:p w14:paraId="1F4320D5"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165(7.37%)</w:t>
            </w:r>
          </w:p>
        </w:tc>
        <w:tc>
          <w:tcPr>
            <w:tcW w:w="1476" w:type="dxa"/>
            <w:shd w:val="clear" w:color="auto" w:fill="auto"/>
          </w:tcPr>
          <w:p w14:paraId="6D4F6105"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3087(4.72%)</w:t>
            </w:r>
          </w:p>
        </w:tc>
        <w:tc>
          <w:tcPr>
            <w:tcW w:w="979" w:type="dxa"/>
            <w:shd w:val="clear" w:color="auto" w:fill="auto"/>
          </w:tcPr>
          <w:p w14:paraId="1949EE4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18.71</w:t>
            </w:r>
          </w:p>
        </w:tc>
      </w:tr>
      <w:tr w:rsidR="005E0802" w:rsidRPr="00A12CDC" w14:paraId="0B0E751F" w14:textId="77777777" w:rsidTr="00471F3F">
        <w:trPr>
          <w:jc w:val="center"/>
        </w:trPr>
        <w:tc>
          <w:tcPr>
            <w:tcW w:w="6679" w:type="dxa"/>
            <w:shd w:val="clear" w:color="auto" w:fill="auto"/>
          </w:tcPr>
          <w:p w14:paraId="544A2A14"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Norwegian University of Science and Technology, Norway</w:t>
            </w:r>
          </w:p>
        </w:tc>
        <w:tc>
          <w:tcPr>
            <w:tcW w:w="1356" w:type="dxa"/>
            <w:shd w:val="clear" w:color="auto" w:fill="auto"/>
          </w:tcPr>
          <w:p w14:paraId="3C3D3089"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32(1.43%)</w:t>
            </w:r>
          </w:p>
        </w:tc>
        <w:tc>
          <w:tcPr>
            <w:tcW w:w="1476" w:type="dxa"/>
            <w:shd w:val="clear" w:color="auto" w:fill="auto"/>
          </w:tcPr>
          <w:p w14:paraId="127BC77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2472(3.78%)</w:t>
            </w:r>
          </w:p>
        </w:tc>
        <w:tc>
          <w:tcPr>
            <w:tcW w:w="979" w:type="dxa"/>
            <w:shd w:val="clear" w:color="auto" w:fill="auto"/>
          </w:tcPr>
          <w:p w14:paraId="31A110C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77.25</w:t>
            </w:r>
          </w:p>
        </w:tc>
      </w:tr>
      <w:tr w:rsidR="005E0802" w:rsidRPr="00A12CDC" w14:paraId="48835295" w14:textId="77777777" w:rsidTr="00471F3F">
        <w:trPr>
          <w:jc w:val="center"/>
        </w:trPr>
        <w:tc>
          <w:tcPr>
            <w:tcW w:w="6679" w:type="dxa"/>
            <w:shd w:val="clear" w:color="auto" w:fill="auto"/>
          </w:tcPr>
          <w:p w14:paraId="44AFE846"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Tsinghua University, China</w:t>
            </w:r>
          </w:p>
        </w:tc>
        <w:tc>
          <w:tcPr>
            <w:tcW w:w="1356" w:type="dxa"/>
            <w:shd w:val="clear" w:color="auto" w:fill="auto"/>
          </w:tcPr>
          <w:p w14:paraId="2B6EA03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87(3.89%)</w:t>
            </w:r>
          </w:p>
        </w:tc>
        <w:tc>
          <w:tcPr>
            <w:tcW w:w="1476" w:type="dxa"/>
            <w:shd w:val="clear" w:color="auto" w:fill="auto"/>
          </w:tcPr>
          <w:p w14:paraId="4E064A0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2279(3.48%)</w:t>
            </w:r>
          </w:p>
        </w:tc>
        <w:tc>
          <w:tcPr>
            <w:tcW w:w="979" w:type="dxa"/>
            <w:shd w:val="clear" w:color="auto" w:fill="auto"/>
          </w:tcPr>
          <w:p w14:paraId="6253EBA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26.20</w:t>
            </w:r>
          </w:p>
        </w:tc>
      </w:tr>
      <w:tr w:rsidR="005E0802" w:rsidRPr="00A12CDC" w14:paraId="79FA3C14" w14:textId="77777777" w:rsidTr="00471F3F">
        <w:trPr>
          <w:jc w:val="center"/>
        </w:trPr>
        <w:tc>
          <w:tcPr>
            <w:tcW w:w="6679" w:type="dxa"/>
            <w:shd w:val="clear" w:color="auto" w:fill="auto"/>
          </w:tcPr>
          <w:p w14:paraId="710408D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Carnegie Mellon University, USA</w:t>
            </w:r>
          </w:p>
        </w:tc>
        <w:tc>
          <w:tcPr>
            <w:tcW w:w="1356" w:type="dxa"/>
            <w:shd w:val="clear" w:color="auto" w:fill="auto"/>
          </w:tcPr>
          <w:p w14:paraId="42D379A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17(0.76%)</w:t>
            </w:r>
          </w:p>
        </w:tc>
        <w:tc>
          <w:tcPr>
            <w:tcW w:w="1476" w:type="dxa"/>
            <w:shd w:val="clear" w:color="auto" w:fill="auto"/>
          </w:tcPr>
          <w:p w14:paraId="45EF6811"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2054(3.14%)</w:t>
            </w:r>
          </w:p>
        </w:tc>
        <w:tc>
          <w:tcPr>
            <w:tcW w:w="979" w:type="dxa"/>
            <w:shd w:val="clear" w:color="auto" w:fill="auto"/>
          </w:tcPr>
          <w:p w14:paraId="0C7830F1"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120.82</w:t>
            </w:r>
          </w:p>
        </w:tc>
      </w:tr>
      <w:tr w:rsidR="005E0802" w:rsidRPr="00A12CDC" w14:paraId="61300CA9" w14:textId="77777777" w:rsidTr="00471F3F">
        <w:trPr>
          <w:jc w:val="center"/>
        </w:trPr>
        <w:tc>
          <w:tcPr>
            <w:tcW w:w="6679" w:type="dxa"/>
            <w:shd w:val="clear" w:color="auto" w:fill="auto"/>
          </w:tcPr>
          <w:p w14:paraId="0FDFC3C1"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University of Maryland, USA</w:t>
            </w:r>
          </w:p>
        </w:tc>
        <w:tc>
          <w:tcPr>
            <w:tcW w:w="1356" w:type="dxa"/>
            <w:shd w:val="clear" w:color="auto" w:fill="auto"/>
          </w:tcPr>
          <w:p w14:paraId="16657997"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41(1.83%)</w:t>
            </w:r>
          </w:p>
        </w:tc>
        <w:tc>
          <w:tcPr>
            <w:tcW w:w="1476" w:type="dxa"/>
            <w:shd w:val="clear" w:color="auto" w:fill="auto"/>
          </w:tcPr>
          <w:p w14:paraId="4DF64B5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2013(3.08%)</w:t>
            </w:r>
          </w:p>
        </w:tc>
        <w:tc>
          <w:tcPr>
            <w:tcW w:w="979" w:type="dxa"/>
            <w:shd w:val="clear" w:color="auto" w:fill="auto"/>
          </w:tcPr>
          <w:p w14:paraId="7CB5B00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49.10</w:t>
            </w:r>
          </w:p>
        </w:tc>
      </w:tr>
      <w:tr w:rsidR="005E0802" w:rsidRPr="00A12CDC" w14:paraId="71ECA94D" w14:textId="77777777" w:rsidTr="00471F3F">
        <w:trPr>
          <w:jc w:val="center"/>
        </w:trPr>
        <w:tc>
          <w:tcPr>
            <w:tcW w:w="6679" w:type="dxa"/>
            <w:tcBorders>
              <w:bottom w:val="single" w:sz="4" w:space="0" w:color="auto"/>
            </w:tcBorders>
            <w:shd w:val="clear" w:color="auto" w:fill="auto"/>
          </w:tcPr>
          <w:p w14:paraId="0B6287B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Beijing Institute of Technology, China</w:t>
            </w:r>
          </w:p>
        </w:tc>
        <w:tc>
          <w:tcPr>
            <w:tcW w:w="1356" w:type="dxa"/>
            <w:tcBorders>
              <w:bottom w:val="single" w:sz="4" w:space="0" w:color="auto"/>
            </w:tcBorders>
            <w:shd w:val="clear" w:color="auto" w:fill="auto"/>
          </w:tcPr>
          <w:p w14:paraId="5DFE170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59(2.64%)</w:t>
            </w:r>
          </w:p>
        </w:tc>
        <w:tc>
          <w:tcPr>
            <w:tcW w:w="1476" w:type="dxa"/>
            <w:tcBorders>
              <w:bottom w:val="single" w:sz="4" w:space="0" w:color="auto"/>
            </w:tcBorders>
            <w:shd w:val="clear" w:color="auto" w:fill="auto"/>
          </w:tcPr>
          <w:p w14:paraId="77C7532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1950(2.98%)</w:t>
            </w:r>
          </w:p>
        </w:tc>
        <w:tc>
          <w:tcPr>
            <w:tcW w:w="979" w:type="dxa"/>
            <w:tcBorders>
              <w:bottom w:val="single" w:sz="4" w:space="0" w:color="auto"/>
            </w:tcBorders>
            <w:shd w:val="clear" w:color="auto" w:fill="auto"/>
          </w:tcPr>
          <w:p w14:paraId="34CE85B8"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33.05</w:t>
            </w:r>
          </w:p>
        </w:tc>
      </w:tr>
    </w:tbl>
    <w:p w14:paraId="1F27D76D" w14:textId="77777777" w:rsidR="005E0802" w:rsidRPr="00A12CDC" w:rsidRDefault="005E0802" w:rsidP="005E0802">
      <w:pPr>
        <w:pStyle w:val="0"/>
        <w:spacing w:line="360" w:lineRule="auto"/>
        <w:jc w:val="center"/>
        <w:rPr>
          <w:color w:val="000000" w:themeColor="text1"/>
          <w:szCs w:val="21"/>
        </w:rPr>
      </w:pPr>
      <w:r w:rsidRPr="00A12CDC">
        <w:rPr>
          <w:color w:val="000000" w:themeColor="text1"/>
          <w:szCs w:val="21"/>
        </w:rPr>
        <w:t>Note: TC/TP is the average number of citations per article, the same as below.</w:t>
      </w:r>
    </w:p>
    <w:p w14:paraId="56802C2A" w14:textId="77777777" w:rsidR="005E0802" w:rsidRPr="00A12CDC" w:rsidRDefault="005E0802" w:rsidP="005E0802">
      <w:pPr>
        <w:pStyle w:val="0"/>
        <w:spacing w:line="360" w:lineRule="auto"/>
        <w:jc w:val="center"/>
        <w:rPr>
          <w:color w:val="000000" w:themeColor="text1"/>
          <w:sz w:val="24"/>
        </w:rPr>
      </w:pPr>
    </w:p>
    <w:p w14:paraId="0E2B309C" w14:textId="77777777" w:rsidR="005E0802" w:rsidRPr="00A12CDC" w:rsidRDefault="005E0802" w:rsidP="005E0802">
      <w:pPr>
        <w:pStyle w:val="0"/>
        <w:spacing w:line="360" w:lineRule="auto"/>
        <w:jc w:val="center"/>
        <w:rPr>
          <w:color w:val="000000" w:themeColor="text1"/>
          <w:sz w:val="24"/>
        </w:rPr>
      </w:pPr>
      <w:r w:rsidRPr="00A12CDC">
        <w:rPr>
          <w:rFonts w:hint="eastAsia"/>
          <w:noProof/>
          <w:color w:val="000000" w:themeColor="text1"/>
          <w:sz w:val="24"/>
        </w:rPr>
        <w:drawing>
          <wp:inline distT="0" distB="0" distL="0" distR="0" wp14:anchorId="325B9781" wp14:editId="7ECFF192">
            <wp:extent cx="5638841" cy="34575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9432" cy="3457937"/>
                    </a:xfrm>
                    <a:prstGeom prst="rect">
                      <a:avLst/>
                    </a:prstGeom>
                  </pic:spPr>
                </pic:pic>
              </a:graphicData>
            </a:graphic>
          </wp:inline>
        </w:drawing>
      </w:r>
    </w:p>
    <w:p w14:paraId="29F492FC" w14:textId="6A8A0742" w:rsidR="005E0802" w:rsidRPr="00A12CDC" w:rsidRDefault="005E0802" w:rsidP="005E0802">
      <w:pPr>
        <w:pStyle w:val="0"/>
        <w:spacing w:line="360" w:lineRule="auto"/>
        <w:jc w:val="center"/>
        <w:rPr>
          <w:color w:val="000000" w:themeColor="text1"/>
          <w:sz w:val="24"/>
        </w:rPr>
      </w:pPr>
      <w:r w:rsidRPr="00A12CDC">
        <w:rPr>
          <w:color w:val="000000" w:themeColor="text1"/>
          <w:sz w:val="24"/>
        </w:rPr>
        <w:t>Fig</w:t>
      </w:r>
      <w:r w:rsidR="00DC59A1">
        <w:rPr>
          <w:color w:val="000000" w:themeColor="text1"/>
          <w:sz w:val="24"/>
        </w:rPr>
        <w:t>ure</w:t>
      </w:r>
      <w:r w:rsidRPr="00A12CDC">
        <w:rPr>
          <w:color w:val="000000" w:themeColor="text1"/>
          <w:sz w:val="24"/>
        </w:rPr>
        <w:t xml:space="preserve"> E. Author collaboration</w:t>
      </w:r>
      <w:r w:rsidRPr="00A12CDC">
        <w:rPr>
          <w:rFonts w:hint="eastAsia"/>
          <w:color w:val="000000" w:themeColor="text1"/>
          <w:sz w:val="24"/>
        </w:rPr>
        <w:t>.</w:t>
      </w:r>
    </w:p>
    <w:p w14:paraId="26B79DDF" w14:textId="77777777" w:rsidR="005E0802" w:rsidRPr="00A12CDC" w:rsidRDefault="005E0802" w:rsidP="005E0802">
      <w:pPr>
        <w:pStyle w:val="0"/>
        <w:spacing w:line="360" w:lineRule="auto"/>
        <w:jc w:val="center"/>
        <w:rPr>
          <w:color w:val="000000" w:themeColor="text1"/>
        </w:rPr>
      </w:pPr>
      <w:r w:rsidRPr="00A12CDC">
        <w:rPr>
          <w:color w:val="000000" w:themeColor="text1"/>
        </w:rPr>
        <w:t>Note: The color bar represents the average year of publication of national articles.</w:t>
      </w:r>
    </w:p>
    <w:p w14:paraId="6D30430F" w14:textId="77777777" w:rsidR="005E0802" w:rsidRPr="00A12CDC" w:rsidRDefault="005E0802" w:rsidP="005E0802">
      <w:pPr>
        <w:pStyle w:val="0"/>
        <w:spacing w:line="360" w:lineRule="auto"/>
        <w:jc w:val="center"/>
        <w:rPr>
          <w:color w:val="000000" w:themeColor="text1"/>
          <w:sz w:val="24"/>
        </w:rPr>
      </w:pPr>
    </w:p>
    <w:p w14:paraId="6F89887D" w14:textId="77777777" w:rsidR="005E0802" w:rsidRPr="00A12CDC" w:rsidRDefault="005E0802" w:rsidP="005E0802">
      <w:pPr>
        <w:pStyle w:val="0"/>
        <w:spacing w:line="360" w:lineRule="auto"/>
        <w:jc w:val="center"/>
        <w:rPr>
          <w:color w:val="000000" w:themeColor="text1"/>
          <w:sz w:val="24"/>
        </w:rPr>
      </w:pPr>
      <w:r w:rsidRPr="00A12CDC">
        <w:rPr>
          <w:color w:val="000000" w:themeColor="text1"/>
          <w:sz w:val="24"/>
        </w:rPr>
        <w:t>Table F. The top 20 authors in terms of cumulative citations.</w:t>
      </w:r>
    </w:p>
    <w:tbl>
      <w:tblPr>
        <w:tblW w:w="11475" w:type="dxa"/>
        <w:jc w:val="center"/>
        <w:tblLook w:val="04A0" w:firstRow="1" w:lastRow="0" w:firstColumn="1" w:lastColumn="0" w:noHBand="0" w:noVBand="1"/>
      </w:tblPr>
      <w:tblGrid>
        <w:gridCol w:w="570"/>
        <w:gridCol w:w="1452"/>
        <w:gridCol w:w="1236"/>
        <w:gridCol w:w="1509"/>
        <w:gridCol w:w="876"/>
        <w:gridCol w:w="570"/>
        <w:gridCol w:w="1637"/>
        <w:gridCol w:w="1236"/>
        <w:gridCol w:w="1511"/>
        <w:gridCol w:w="878"/>
      </w:tblGrid>
      <w:tr w:rsidR="005E0802" w:rsidRPr="00A12CDC" w14:paraId="2B68C713" w14:textId="77777777" w:rsidTr="00471F3F">
        <w:trPr>
          <w:jc w:val="center"/>
        </w:trPr>
        <w:tc>
          <w:tcPr>
            <w:tcW w:w="570" w:type="dxa"/>
            <w:tcBorders>
              <w:top w:val="single" w:sz="4" w:space="0" w:color="auto"/>
              <w:bottom w:val="single" w:sz="4" w:space="0" w:color="auto"/>
            </w:tcBorders>
          </w:tcPr>
          <w:p w14:paraId="0A460EF0" w14:textId="77777777" w:rsidR="005E0802" w:rsidRPr="00A12CDC" w:rsidRDefault="005E0802" w:rsidP="00471F3F">
            <w:pPr>
              <w:tabs>
                <w:tab w:val="left" w:pos="377"/>
              </w:tabs>
              <w:spacing w:line="360" w:lineRule="auto"/>
              <w:jc w:val="center"/>
              <w:rPr>
                <w:bCs/>
                <w:color w:val="000000" w:themeColor="text1"/>
                <w:sz w:val="24"/>
              </w:rPr>
            </w:pPr>
            <w:r w:rsidRPr="00A12CDC">
              <w:rPr>
                <w:rFonts w:hint="eastAsia"/>
                <w:bCs/>
                <w:color w:val="000000" w:themeColor="text1"/>
                <w:sz w:val="24"/>
              </w:rPr>
              <w:t>N</w:t>
            </w:r>
            <w:r w:rsidRPr="00A12CDC">
              <w:rPr>
                <w:bCs/>
                <w:color w:val="000000" w:themeColor="text1"/>
                <w:sz w:val="24"/>
              </w:rPr>
              <w:t>o.</w:t>
            </w:r>
          </w:p>
        </w:tc>
        <w:tc>
          <w:tcPr>
            <w:tcW w:w="1495" w:type="dxa"/>
            <w:tcBorders>
              <w:top w:val="single" w:sz="4" w:space="0" w:color="auto"/>
              <w:bottom w:val="single" w:sz="4" w:space="0" w:color="auto"/>
            </w:tcBorders>
            <w:shd w:val="clear" w:color="auto" w:fill="auto"/>
          </w:tcPr>
          <w:p w14:paraId="3CB7B37A"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Name</w:t>
            </w:r>
          </w:p>
        </w:tc>
        <w:tc>
          <w:tcPr>
            <w:tcW w:w="1236" w:type="dxa"/>
            <w:tcBorders>
              <w:top w:val="single" w:sz="4" w:space="0" w:color="auto"/>
              <w:bottom w:val="single" w:sz="4" w:space="0" w:color="auto"/>
            </w:tcBorders>
            <w:shd w:val="clear" w:color="auto" w:fill="auto"/>
          </w:tcPr>
          <w:p w14:paraId="6E6D2230"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TP (%)</w:t>
            </w:r>
          </w:p>
        </w:tc>
        <w:tc>
          <w:tcPr>
            <w:tcW w:w="1513" w:type="dxa"/>
            <w:tcBorders>
              <w:top w:val="single" w:sz="4" w:space="0" w:color="auto"/>
              <w:bottom w:val="single" w:sz="4" w:space="0" w:color="auto"/>
            </w:tcBorders>
            <w:shd w:val="clear" w:color="auto" w:fill="auto"/>
          </w:tcPr>
          <w:p w14:paraId="6BC58797"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TC (%)</w:t>
            </w:r>
          </w:p>
        </w:tc>
        <w:tc>
          <w:tcPr>
            <w:tcW w:w="876" w:type="dxa"/>
            <w:tcBorders>
              <w:top w:val="single" w:sz="4" w:space="0" w:color="auto"/>
              <w:bottom w:val="single" w:sz="4" w:space="0" w:color="auto"/>
            </w:tcBorders>
            <w:shd w:val="clear" w:color="auto" w:fill="auto"/>
          </w:tcPr>
          <w:p w14:paraId="13EFAB50"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TC/TP</w:t>
            </w:r>
          </w:p>
        </w:tc>
        <w:tc>
          <w:tcPr>
            <w:tcW w:w="570" w:type="dxa"/>
            <w:tcBorders>
              <w:top w:val="single" w:sz="4" w:space="0" w:color="auto"/>
              <w:bottom w:val="single" w:sz="4" w:space="0" w:color="auto"/>
            </w:tcBorders>
          </w:tcPr>
          <w:p w14:paraId="6C8BCE7D" w14:textId="77777777" w:rsidR="005E0802" w:rsidRPr="00A12CDC" w:rsidRDefault="005E0802" w:rsidP="00471F3F">
            <w:pPr>
              <w:tabs>
                <w:tab w:val="left" w:pos="377"/>
              </w:tabs>
              <w:spacing w:line="360" w:lineRule="auto"/>
              <w:jc w:val="center"/>
              <w:rPr>
                <w:bCs/>
                <w:color w:val="000000" w:themeColor="text1"/>
                <w:sz w:val="24"/>
              </w:rPr>
            </w:pPr>
            <w:r w:rsidRPr="00A12CDC">
              <w:rPr>
                <w:rFonts w:hint="eastAsia"/>
                <w:bCs/>
                <w:color w:val="000000" w:themeColor="text1"/>
                <w:sz w:val="24"/>
              </w:rPr>
              <w:t>N</w:t>
            </w:r>
            <w:r w:rsidRPr="00A12CDC">
              <w:rPr>
                <w:bCs/>
                <w:color w:val="000000" w:themeColor="text1"/>
                <w:sz w:val="24"/>
              </w:rPr>
              <w:t>o.</w:t>
            </w:r>
          </w:p>
        </w:tc>
        <w:tc>
          <w:tcPr>
            <w:tcW w:w="1678" w:type="dxa"/>
            <w:tcBorders>
              <w:top w:val="single" w:sz="4" w:space="0" w:color="auto"/>
              <w:bottom w:val="single" w:sz="4" w:space="0" w:color="auto"/>
            </w:tcBorders>
          </w:tcPr>
          <w:p w14:paraId="4A7D749D"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Name</w:t>
            </w:r>
          </w:p>
        </w:tc>
        <w:tc>
          <w:tcPr>
            <w:tcW w:w="1143" w:type="dxa"/>
            <w:tcBorders>
              <w:top w:val="single" w:sz="4" w:space="0" w:color="auto"/>
              <w:bottom w:val="single" w:sz="4" w:space="0" w:color="auto"/>
            </w:tcBorders>
          </w:tcPr>
          <w:p w14:paraId="49EF97C1"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TP (%)</w:t>
            </w:r>
          </w:p>
        </w:tc>
        <w:tc>
          <w:tcPr>
            <w:tcW w:w="1516" w:type="dxa"/>
            <w:tcBorders>
              <w:top w:val="single" w:sz="4" w:space="0" w:color="auto"/>
              <w:bottom w:val="single" w:sz="4" w:space="0" w:color="auto"/>
            </w:tcBorders>
          </w:tcPr>
          <w:p w14:paraId="079DB676"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TC (%)</w:t>
            </w:r>
          </w:p>
        </w:tc>
        <w:tc>
          <w:tcPr>
            <w:tcW w:w="878" w:type="dxa"/>
            <w:tcBorders>
              <w:top w:val="single" w:sz="4" w:space="0" w:color="auto"/>
              <w:bottom w:val="single" w:sz="4" w:space="0" w:color="auto"/>
            </w:tcBorders>
          </w:tcPr>
          <w:p w14:paraId="486D7D32" w14:textId="77777777" w:rsidR="005E0802" w:rsidRPr="00A12CDC" w:rsidRDefault="005E0802" w:rsidP="00471F3F">
            <w:pPr>
              <w:tabs>
                <w:tab w:val="left" w:pos="377"/>
              </w:tabs>
              <w:spacing w:line="360" w:lineRule="auto"/>
              <w:jc w:val="center"/>
              <w:rPr>
                <w:bCs/>
                <w:color w:val="000000" w:themeColor="text1"/>
                <w:sz w:val="24"/>
              </w:rPr>
            </w:pPr>
            <w:r w:rsidRPr="00A12CDC">
              <w:rPr>
                <w:bCs/>
                <w:color w:val="000000" w:themeColor="text1"/>
                <w:sz w:val="24"/>
              </w:rPr>
              <w:t>TC/TP</w:t>
            </w:r>
          </w:p>
        </w:tc>
      </w:tr>
      <w:tr w:rsidR="005E0802" w:rsidRPr="00A12CDC" w14:paraId="2B6881CB" w14:textId="77777777" w:rsidTr="00471F3F">
        <w:trPr>
          <w:jc w:val="center"/>
        </w:trPr>
        <w:tc>
          <w:tcPr>
            <w:tcW w:w="570" w:type="dxa"/>
            <w:tcBorders>
              <w:top w:val="single" w:sz="4" w:space="0" w:color="auto"/>
            </w:tcBorders>
          </w:tcPr>
          <w:p w14:paraId="6DA9EA8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w:t>
            </w:r>
          </w:p>
        </w:tc>
        <w:tc>
          <w:tcPr>
            <w:tcW w:w="1495" w:type="dxa"/>
            <w:tcBorders>
              <w:top w:val="single" w:sz="4" w:space="0" w:color="auto"/>
            </w:tcBorders>
            <w:shd w:val="clear" w:color="auto" w:fill="auto"/>
          </w:tcPr>
          <w:p w14:paraId="2A9854C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Guan, DB</w:t>
            </w:r>
          </w:p>
        </w:tc>
        <w:tc>
          <w:tcPr>
            <w:tcW w:w="1236" w:type="dxa"/>
            <w:tcBorders>
              <w:top w:val="single" w:sz="4" w:space="0" w:color="auto"/>
            </w:tcBorders>
            <w:shd w:val="clear" w:color="auto" w:fill="auto"/>
          </w:tcPr>
          <w:p w14:paraId="30FA293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40(1.93%)</w:t>
            </w:r>
          </w:p>
        </w:tc>
        <w:tc>
          <w:tcPr>
            <w:tcW w:w="1513" w:type="dxa"/>
            <w:tcBorders>
              <w:top w:val="single" w:sz="4" w:space="0" w:color="auto"/>
            </w:tcBorders>
            <w:shd w:val="clear" w:color="auto" w:fill="auto"/>
          </w:tcPr>
          <w:p w14:paraId="080B2C26"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2936(3.97%)</w:t>
            </w:r>
          </w:p>
        </w:tc>
        <w:tc>
          <w:tcPr>
            <w:tcW w:w="876" w:type="dxa"/>
            <w:tcBorders>
              <w:top w:val="single" w:sz="4" w:space="0" w:color="auto"/>
            </w:tcBorders>
            <w:shd w:val="clear" w:color="auto" w:fill="auto"/>
          </w:tcPr>
          <w:p w14:paraId="2FA95E2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73.40</w:t>
            </w:r>
          </w:p>
        </w:tc>
        <w:tc>
          <w:tcPr>
            <w:tcW w:w="570" w:type="dxa"/>
            <w:tcBorders>
              <w:top w:val="single" w:sz="4" w:space="0" w:color="auto"/>
            </w:tcBorders>
          </w:tcPr>
          <w:p w14:paraId="0F8D1E4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w:t>
            </w:r>
          </w:p>
        </w:tc>
        <w:tc>
          <w:tcPr>
            <w:tcW w:w="1678" w:type="dxa"/>
            <w:tcBorders>
              <w:top w:val="single" w:sz="4" w:space="0" w:color="auto"/>
            </w:tcBorders>
          </w:tcPr>
          <w:p w14:paraId="33CEB70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Chen, B.</w:t>
            </w:r>
          </w:p>
        </w:tc>
        <w:tc>
          <w:tcPr>
            <w:tcW w:w="1143" w:type="dxa"/>
            <w:tcBorders>
              <w:top w:val="single" w:sz="4" w:space="0" w:color="auto"/>
            </w:tcBorders>
          </w:tcPr>
          <w:p w14:paraId="1C4F397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44(2.12%)</w:t>
            </w:r>
          </w:p>
        </w:tc>
        <w:tc>
          <w:tcPr>
            <w:tcW w:w="1516" w:type="dxa"/>
            <w:tcBorders>
              <w:top w:val="single" w:sz="4" w:space="0" w:color="auto"/>
            </w:tcBorders>
          </w:tcPr>
          <w:p w14:paraId="265D5CF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1320(1.78%)</w:t>
            </w:r>
          </w:p>
        </w:tc>
        <w:tc>
          <w:tcPr>
            <w:tcW w:w="878" w:type="dxa"/>
            <w:tcBorders>
              <w:top w:val="single" w:sz="4" w:space="0" w:color="auto"/>
            </w:tcBorders>
          </w:tcPr>
          <w:p w14:paraId="66C4EA97"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30.00</w:t>
            </w:r>
          </w:p>
        </w:tc>
      </w:tr>
      <w:tr w:rsidR="005E0802" w:rsidRPr="00A12CDC" w14:paraId="3DA3B99D" w14:textId="77777777" w:rsidTr="00471F3F">
        <w:trPr>
          <w:jc w:val="center"/>
        </w:trPr>
        <w:tc>
          <w:tcPr>
            <w:tcW w:w="570" w:type="dxa"/>
          </w:tcPr>
          <w:p w14:paraId="6348018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w:t>
            </w:r>
          </w:p>
        </w:tc>
        <w:tc>
          <w:tcPr>
            <w:tcW w:w="1495" w:type="dxa"/>
            <w:shd w:val="clear" w:color="auto" w:fill="auto"/>
          </w:tcPr>
          <w:p w14:paraId="5C6FFF3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Hubacek, K.</w:t>
            </w:r>
          </w:p>
        </w:tc>
        <w:tc>
          <w:tcPr>
            <w:tcW w:w="1236" w:type="dxa"/>
            <w:shd w:val="clear" w:color="auto" w:fill="auto"/>
          </w:tcPr>
          <w:p w14:paraId="4F9E08D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39(1.88%)</w:t>
            </w:r>
          </w:p>
        </w:tc>
        <w:tc>
          <w:tcPr>
            <w:tcW w:w="1513" w:type="dxa"/>
            <w:shd w:val="clear" w:color="auto" w:fill="auto"/>
          </w:tcPr>
          <w:p w14:paraId="7CC6EF1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2825(3.82%)</w:t>
            </w:r>
          </w:p>
        </w:tc>
        <w:tc>
          <w:tcPr>
            <w:tcW w:w="876" w:type="dxa"/>
            <w:shd w:val="clear" w:color="auto" w:fill="auto"/>
          </w:tcPr>
          <w:p w14:paraId="76CFE36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72.44</w:t>
            </w:r>
          </w:p>
        </w:tc>
        <w:tc>
          <w:tcPr>
            <w:tcW w:w="570" w:type="dxa"/>
          </w:tcPr>
          <w:p w14:paraId="2054E049"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12</w:t>
            </w:r>
          </w:p>
        </w:tc>
        <w:tc>
          <w:tcPr>
            <w:tcW w:w="1678" w:type="dxa"/>
          </w:tcPr>
          <w:p w14:paraId="732D0498"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Ang, BW.</w:t>
            </w:r>
          </w:p>
        </w:tc>
        <w:tc>
          <w:tcPr>
            <w:tcW w:w="1143" w:type="dxa"/>
          </w:tcPr>
          <w:p w14:paraId="21161E47"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11(0.53%)</w:t>
            </w:r>
          </w:p>
        </w:tc>
        <w:tc>
          <w:tcPr>
            <w:tcW w:w="1516" w:type="dxa"/>
          </w:tcPr>
          <w:p w14:paraId="6894425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1317(1.78%)</w:t>
            </w:r>
          </w:p>
        </w:tc>
        <w:tc>
          <w:tcPr>
            <w:tcW w:w="878" w:type="dxa"/>
          </w:tcPr>
          <w:p w14:paraId="1AC2C8F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119.73</w:t>
            </w:r>
          </w:p>
        </w:tc>
      </w:tr>
      <w:tr w:rsidR="005E0802" w:rsidRPr="00A12CDC" w14:paraId="70887600" w14:textId="77777777" w:rsidTr="00471F3F">
        <w:trPr>
          <w:jc w:val="center"/>
        </w:trPr>
        <w:tc>
          <w:tcPr>
            <w:tcW w:w="570" w:type="dxa"/>
          </w:tcPr>
          <w:p w14:paraId="4D14A3B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w:t>
            </w:r>
          </w:p>
        </w:tc>
        <w:tc>
          <w:tcPr>
            <w:tcW w:w="1495" w:type="dxa"/>
            <w:shd w:val="clear" w:color="auto" w:fill="auto"/>
          </w:tcPr>
          <w:p w14:paraId="2BDA4C2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Lenzen, M.</w:t>
            </w:r>
          </w:p>
        </w:tc>
        <w:tc>
          <w:tcPr>
            <w:tcW w:w="1236" w:type="dxa"/>
            <w:shd w:val="clear" w:color="auto" w:fill="auto"/>
          </w:tcPr>
          <w:p w14:paraId="70A71F85"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32(1.54%)</w:t>
            </w:r>
          </w:p>
        </w:tc>
        <w:tc>
          <w:tcPr>
            <w:tcW w:w="1513" w:type="dxa"/>
            <w:shd w:val="clear" w:color="auto" w:fill="auto"/>
          </w:tcPr>
          <w:p w14:paraId="56711E7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2371(3.20%)</w:t>
            </w:r>
          </w:p>
        </w:tc>
        <w:tc>
          <w:tcPr>
            <w:tcW w:w="876" w:type="dxa"/>
            <w:shd w:val="clear" w:color="auto" w:fill="auto"/>
          </w:tcPr>
          <w:p w14:paraId="4CAB6DE9"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74.09</w:t>
            </w:r>
          </w:p>
        </w:tc>
        <w:tc>
          <w:tcPr>
            <w:tcW w:w="570" w:type="dxa"/>
          </w:tcPr>
          <w:p w14:paraId="67A46EF1"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13</w:t>
            </w:r>
          </w:p>
        </w:tc>
        <w:tc>
          <w:tcPr>
            <w:tcW w:w="1678" w:type="dxa"/>
          </w:tcPr>
          <w:p w14:paraId="2A40F196"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Kanemoto, K.</w:t>
            </w:r>
          </w:p>
        </w:tc>
        <w:tc>
          <w:tcPr>
            <w:tcW w:w="1143" w:type="dxa"/>
          </w:tcPr>
          <w:p w14:paraId="1880DFC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12(0.58%)</w:t>
            </w:r>
          </w:p>
        </w:tc>
        <w:tc>
          <w:tcPr>
            <w:tcW w:w="1516" w:type="dxa"/>
          </w:tcPr>
          <w:p w14:paraId="2314EE45"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1315(1.78%)</w:t>
            </w:r>
          </w:p>
        </w:tc>
        <w:tc>
          <w:tcPr>
            <w:tcW w:w="878" w:type="dxa"/>
          </w:tcPr>
          <w:p w14:paraId="750589E8"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109.58</w:t>
            </w:r>
          </w:p>
        </w:tc>
      </w:tr>
      <w:tr w:rsidR="005E0802" w:rsidRPr="00A12CDC" w14:paraId="55475862" w14:textId="77777777" w:rsidTr="00471F3F">
        <w:trPr>
          <w:jc w:val="center"/>
        </w:trPr>
        <w:tc>
          <w:tcPr>
            <w:tcW w:w="570" w:type="dxa"/>
          </w:tcPr>
          <w:p w14:paraId="3E23CD6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4</w:t>
            </w:r>
          </w:p>
        </w:tc>
        <w:tc>
          <w:tcPr>
            <w:tcW w:w="1495" w:type="dxa"/>
            <w:shd w:val="clear" w:color="auto" w:fill="auto"/>
          </w:tcPr>
          <w:p w14:paraId="7E8C5F9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Chen, GQ.</w:t>
            </w:r>
          </w:p>
        </w:tc>
        <w:tc>
          <w:tcPr>
            <w:tcW w:w="1236" w:type="dxa"/>
            <w:shd w:val="clear" w:color="auto" w:fill="auto"/>
          </w:tcPr>
          <w:p w14:paraId="6A3CA01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42(2.03%)</w:t>
            </w:r>
          </w:p>
        </w:tc>
        <w:tc>
          <w:tcPr>
            <w:tcW w:w="1513" w:type="dxa"/>
            <w:shd w:val="clear" w:color="auto" w:fill="auto"/>
          </w:tcPr>
          <w:p w14:paraId="32D56F3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2188(2.96%)</w:t>
            </w:r>
          </w:p>
        </w:tc>
        <w:tc>
          <w:tcPr>
            <w:tcW w:w="876" w:type="dxa"/>
            <w:shd w:val="clear" w:color="auto" w:fill="auto"/>
          </w:tcPr>
          <w:p w14:paraId="41194071"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52.10</w:t>
            </w:r>
          </w:p>
        </w:tc>
        <w:tc>
          <w:tcPr>
            <w:tcW w:w="570" w:type="dxa"/>
          </w:tcPr>
          <w:p w14:paraId="00C9FB4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14</w:t>
            </w:r>
          </w:p>
        </w:tc>
        <w:tc>
          <w:tcPr>
            <w:tcW w:w="1678" w:type="dxa"/>
          </w:tcPr>
          <w:p w14:paraId="5FB8BC09"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Weinzettel, J.</w:t>
            </w:r>
          </w:p>
        </w:tc>
        <w:tc>
          <w:tcPr>
            <w:tcW w:w="1143" w:type="dxa"/>
          </w:tcPr>
          <w:p w14:paraId="4D1293C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15(0.72%)</w:t>
            </w:r>
          </w:p>
        </w:tc>
        <w:tc>
          <w:tcPr>
            <w:tcW w:w="1516" w:type="dxa"/>
          </w:tcPr>
          <w:p w14:paraId="5CBC8E9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1192(1.61%)</w:t>
            </w:r>
          </w:p>
        </w:tc>
        <w:tc>
          <w:tcPr>
            <w:tcW w:w="878" w:type="dxa"/>
          </w:tcPr>
          <w:p w14:paraId="48B7FBE5"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79.47</w:t>
            </w:r>
          </w:p>
        </w:tc>
      </w:tr>
      <w:tr w:rsidR="005E0802" w:rsidRPr="00A12CDC" w14:paraId="775E7186" w14:textId="77777777" w:rsidTr="00471F3F">
        <w:trPr>
          <w:jc w:val="center"/>
        </w:trPr>
        <w:tc>
          <w:tcPr>
            <w:tcW w:w="570" w:type="dxa"/>
          </w:tcPr>
          <w:p w14:paraId="2D16796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5</w:t>
            </w:r>
          </w:p>
        </w:tc>
        <w:tc>
          <w:tcPr>
            <w:tcW w:w="1495" w:type="dxa"/>
            <w:shd w:val="clear" w:color="auto" w:fill="auto"/>
          </w:tcPr>
          <w:p w14:paraId="523D0B8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Peters, GP.</w:t>
            </w:r>
          </w:p>
        </w:tc>
        <w:tc>
          <w:tcPr>
            <w:tcW w:w="1236" w:type="dxa"/>
            <w:shd w:val="clear" w:color="auto" w:fill="auto"/>
          </w:tcPr>
          <w:p w14:paraId="0AF1594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9(0.43%)</w:t>
            </w:r>
          </w:p>
        </w:tc>
        <w:tc>
          <w:tcPr>
            <w:tcW w:w="1513" w:type="dxa"/>
            <w:shd w:val="clear" w:color="auto" w:fill="auto"/>
          </w:tcPr>
          <w:p w14:paraId="67FB851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1826(2.47%)</w:t>
            </w:r>
          </w:p>
        </w:tc>
        <w:tc>
          <w:tcPr>
            <w:tcW w:w="876" w:type="dxa"/>
            <w:shd w:val="clear" w:color="auto" w:fill="auto"/>
          </w:tcPr>
          <w:p w14:paraId="372E6E78"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202.89</w:t>
            </w:r>
          </w:p>
        </w:tc>
        <w:tc>
          <w:tcPr>
            <w:tcW w:w="570" w:type="dxa"/>
          </w:tcPr>
          <w:p w14:paraId="0B50CFA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15</w:t>
            </w:r>
          </w:p>
        </w:tc>
        <w:tc>
          <w:tcPr>
            <w:tcW w:w="1678" w:type="dxa"/>
          </w:tcPr>
          <w:p w14:paraId="363A2BC1"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Tukker, A</w:t>
            </w:r>
          </w:p>
        </w:tc>
        <w:tc>
          <w:tcPr>
            <w:tcW w:w="1143" w:type="dxa"/>
          </w:tcPr>
          <w:p w14:paraId="70AD63E7"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21(1.01%)</w:t>
            </w:r>
          </w:p>
        </w:tc>
        <w:tc>
          <w:tcPr>
            <w:tcW w:w="1516" w:type="dxa"/>
          </w:tcPr>
          <w:p w14:paraId="46DE781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1179(1.59%)</w:t>
            </w:r>
          </w:p>
        </w:tc>
        <w:tc>
          <w:tcPr>
            <w:tcW w:w="878" w:type="dxa"/>
          </w:tcPr>
          <w:p w14:paraId="5FB329F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56.14</w:t>
            </w:r>
          </w:p>
        </w:tc>
      </w:tr>
      <w:tr w:rsidR="005E0802" w:rsidRPr="00A12CDC" w14:paraId="5C631174" w14:textId="77777777" w:rsidTr="00471F3F">
        <w:trPr>
          <w:jc w:val="center"/>
        </w:trPr>
        <w:tc>
          <w:tcPr>
            <w:tcW w:w="570" w:type="dxa"/>
          </w:tcPr>
          <w:p w14:paraId="7D361EB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6</w:t>
            </w:r>
          </w:p>
        </w:tc>
        <w:tc>
          <w:tcPr>
            <w:tcW w:w="1495" w:type="dxa"/>
            <w:shd w:val="clear" w:color="auto" w:fill="auto"/>
          </w:tcPr>
          <w:p w14:paraId="2045F248"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Liu, ZX.</w:t>
            </w:r>
          </w:p>
        </w:tc>
        <w:tc>
          <w:tcPr>
            <w:tcW w:w="1236" w:type="dxa"/>
            <w:shd w:val="clear" w:color="auto" w:fill="auto"/>
          </w:tcPr>
          <w:p w14:paraId="366C81D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14(0.68%)</w:t>
            </w:r>
          </w:p>
        </w:tc>
        <w:tc>
          <w:tcPr>
            <w:tcW w:w="1513" w:type="dxa"/>
            <w:shd w:val="clear" w:color="auto" w:fill="auto"/>
          </w:tcPr>
          <w:p w14:paraId="7BBE964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1530(2.07%)</w:t>
            </w:r>
          </w:p>
        </w:tc>
        <w:tc>
          <w:tcPr>
            <w:tcW w:w="876" w:type="dxa"/>
            <w:shd w:val="clear" w:color="auto" w:fill="auto"/>
          </w:tcPr>
          <w:p w14:paraId="59974AC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109.29</w:t>
            </w:r>
          </w:p>
        </w:tc>
        <w:tc>
          <w:tcPr>
            <w:tcW w:w="570" w:type="dxa"/>
          </w:tcPr>
          <w:p w14:paraId="1C1D78C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16</w:t>
            </w:r>
          </w:p>
        </w:tc>
        <w:tc>
          <w:tcPr>
            <w:tcW w:w="1678" w:type="dxa"/>
          </w:tcPr>
          <w:p w14:paraId="31B06AF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Hertwich, EG.</w:t>
            </w:r>
          </w:p>
        </w:tc>
        <w:tc>
          <w:tcPr>
            <w:tcW w:w="1143" w:type="dxa"/>
          </w:tcPr>
          <w:p w14:paraId="5804C12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18(0.87%)</w:t>
            </w:r>
          </w:p>
        </w:tc>
        <w:tc>
          <w:tcPr>
            <w:tcW w:w="1516" w:type="dxa"/>
          </w:tcPr>
          <w:p w14:paraId="4971CD54"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1169(1.58%)</w:t>
            </w:r>
          </w:p>
        </w:tc>
        <w:tc>
          <w:tcPr>
            <w:tcW w:w="878" w:type="dxa"/>
          </w:tcPr>
          <w:p w14:paraId="2DDEEE27"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64.94</w:t>
            </w:r>
          </w:p>
        </w:tc>
      </w:tr>
      <w:tr w:rsidR="005E0802" w:rsidRPr="00A12CDC" w14:paraId="73741558" w14:textId="77777777" w:rsidTr="00471F3F">
        <w:trPr>
          <w:jc w:val="center"/>
        </w:trPr>
        <w:tc>
          <w:tcPr>
            <w:tcW w:w="570" w:type="dxa"/>
          </w:tcPr>
          <w:p w14:paraId="5FA16D5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w:t>
            </w:r>
          </w:p>
        </w:tc>
        <w:tc>
          <w:tcPr>
            <w:tcW w:w="1495" w:type="dxa"/>
            <w:shd w:val="clear" w:color="auto" w:fill="auto"/>
          </w:tcPr>
          <w:p w14:paraId="4EEBEF5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Feng, KS.</w:t>
            </w:r>
          </w:p>
        </w:tc>
        <w:tc>
          <w:tcPr>
            <w:tcW w:w="1236" w:type="dxa"/>
            <w:shd w:val="clear" w:color="auto" w:fill="auto"/>
          </w:tcPr>
          <w:p w14:paraId="4C4A469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31(1.50%)</w:t>
            </w:r>
          </w:p>
        </w:tc>
        <w:tc>
          <w:tcPr>
            <w:tcW w:w="1513" w:type="dxa"/>
            <w:shd w:val="clear" w:color="auto" w:fill="auto"/>
          </w:tcPr>
          <w:p w14:paraId="58838C4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1472(1.99%)</w:t>
            </w:r>
          </w:p>
        </w:tc>
        <w:tc>
          <w:tcPr>
            <w:tcW w:w="876" w:type="dxa"/>
            <w:shd w:val="clear" w:color="auto" w:fill="auto"/>
          </w:tcPr>
          <w:p w14:paraId="49A8CC04"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47.48</w:t>
            </w:r>
          </w:p>
        </w:tc>
        <w:tc>
          <w:tcPr>
            <w:tcW w:w="570" w:type="dxa"/>
          </w:tcPr>
          <w:p w14:paraId="6BA7A1F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17</w:t>
            </w:r>
          </w:p>
        </w:tc>
        <w:tc>
          <w:tcPr>
            <w:tcW w:w="1678" w:type="dxa"/>
          </w:tcPr>
          <w:p w14:paraId="18FCC1B8"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Moran, D.</w:t>
            </w:r>
          </w:p>
        </w:tc>
        <w:tc>
          <w:tcPr>
            <w:tcW w:w="1143" w:type="dxa"/>
          </w:tcPr>
          <w:p w14:paraId="33A06C9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8(0.39%)</w:t>
            </w:r>
          </w:p>
        </w:tc>
        <w:tc>
          <w:tcPr>
            <w:tcW w:w="1516" w:type="dxa"/>
          </w:tcPr>
          <w:p w14:paraId="2C73826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1120(1.51%)</w:t>
            </w:r>
          </w:p>
        </w:tc>
        <w:tc>
          <w:tcPr>
            <w:tcW w:w="878" w:type="dxa"/>
          </w:tcPr>
          <w:p w14:paraId="665F5CB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140.00</w:t>
            </w:r>
          </w:p>
        </w:tc>
      </w:tr>
      <w:tr w:rsidR="005E0802" w:rsidRPr="00A12CDC" w14:paraId="67B7FB5E" w14:textId="77777777" w:rsidTr="00471F3F">
        <w:trPr>
          <w:jc w:val="center"/>
        </w:trPr>
        <w:tc>
          <w:tcPr>
            <w:tcW w:w="570" w:type="dxa"/>
          </w:tcPr>
          <w:p w14:paraId="4763B466"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8</w:t>
            </w:r>
          </w:p>
        </w:tc>
        <w:tc>
          <w:tcPr>
            <w:tcW w:w="1495" w:type="dxa"/>
            <w:shd w:val="clear" w:color="auto" w:fill="auto"/>
          </w:tcPr>
          <w:p w14:paraId="570C8864"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Weber, CI.</w:t>
            </w:r>
          </w:p>
        </w:tc>
        <w:tc>
          <w:tcPr>
            <w:tcW w:w="1236" w:type="dxa"/>
            <w:shd w:val="clear" w:color="auto" w:fill="auto"/>
          </w:tcPr>
          <w:p w14:paraId="16D94E48"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7(0.34%)</w:t>
            </w:r>
          </w:p>
        </w:tc>
        <w:tc>
          <w:tcPr>
            <w:tcW w:w="1513" w:type="dxa"/>
            <w:shd w:val="clear" w:color="auto" w:fill="auto"/>
          </w:tcPr>
          <w:p w14:paraId="299CCD7D"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1461(1.97%)</w:t>
            </w:r>
          </w:p>
        </w:tc>
        <w:tc>
          <w:tcPr>
            <w:tcW w:w="876" w:type="dxa"/>
            <w:shd w:val="clear" w:color="auto" w:fill="auto"/>
          </w:tcPr>
          <w:p w14:paraId="7F840A2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208.71</w:t>
            </w:r>
          </w:p>
        </w:tc>
        <w:tc>
          <w:tcPr>
            <w:tcW w:w="570" w:type="dxa"/>
          </w:tcPr>
          <w:p w14:paraId="0785660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18</w:t>
            </w:r>
          </w:p>
        </w:tc>
        <w:tc>
          <w:tcPr>
            <w:tcW w:w="1678" w:type="dxa"/>
          </w:tcPr>
          <w:p w14:paraId="23A83D37"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Wiedmann, T.</w:t>
            </w:r>
          </w:p>
        </w:tc>
        <w:tc>
          <w:tcPr>
            <w:tcW w:w="1143" w:type="dxa"/>
          </w:tcPr>
          <w:p w14:paraId="0841279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20(0.97%)</w:t>
            </w:r>
          </w:p>
        </w:tc>
        <w:tc>
          <w:tcPr>
            <w:tcW w:w="1516" w:type="dxa"/>
          </w:tcPr>
          <w:p w14:paraId="4697D58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1066(1.44%)</w:t>
            </w:r>
          </w:p>
        </w:tc>
        <w:tc>
          <w:tcPr>
            <w:tcW w:w="878" w:type="dxa"/>
          </w:tcPr>
          <w:p w14:paraId="49E8169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53.30</w:t>
            </w:r>
          </w:p>
        </w:tc>
      </w:tr>
      <w:tr w:rsidR="005E0802" w:rsidRPr="00A12CDC" w14:paraId="1BB2F46C" w14:textId="77777777" w:rsidTr="00471F3F">
        <w:trPr>
          <w:jc w:val="center"/>
        </w:trPr>
        <w:tc>
          <w:tcPr>
            <w:tcW w:w="570" w:type="dxa"/>
          </w:tcPr>
          <w:p w14:paraId="183334C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9</w:t>
            </w:r>
          </w:p>
        </w:tc>
        <w:tc>
          <w:tcPr>
            <w:tcW w:w="1495" w:type="dxa"/>
            <w:shd w:val="clear" w:color="auto" w:fill="auto"/>
          </w:tcPr>
          <w:p w14:paraId="7F7D1BF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Wei, YM.</w:t>
            </w:r>
          </w:p>
        </w:tc>
        <w:tc>
          <w:tcPr>
            <w:tcW w:w="1236" w:type="dxa"/>
            <w:shd w:val="clear" w:color="auto" w:fill="auto"/>
          </w:tcPr>
          <w:p w14:paraId="7DA608B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20(0.97%)</w:t>
            </w:r>
          </w:p>
        </w:tc>
        <w:tc>
          <w:tcPr>
            <w:tcW w:w="1513" w:type="dxa"/>
            <w:shd w:val="clear" w:color="auto" w:fill="auto"/>
          </w:tcPr>
          <w:p w14:paraId="65A8A98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1454(1.96%)</w:t>
            </w:r>
          </w:p>
        </w:tc>
        <w:tc>
          <w:tcPr>
            <w:tcW w:w="876" w:type="dxa"/>
            <w:shd w:val="clear" w:color="auto" w:fill="auto"/>
          </w:tcPr>
          <w:p w14:paraId="127D36B4"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72.70</w:t>
            </w:r>
          </w:p>
        </w:tc>
        <w:tc>
          <w:tcPr>
            <w:tcW w:w="570" w:type="dxa"/>
          </w:tcPr>
          <w:p w14:paraId="68A85ED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19</w:t>
            </w:r>
          </w:p>
        </w:tc>
        <w:tc>
          <w:tcPr>
            <w:tcW w:w="1678" w:type="dxa"/>
          </w:tcPr>
          <w:p w14:paraId="1E4C75C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Wood, R.</w:t>
            </w:r>
          </w:p>
        </w:tc>
        <w:tc>
          <w:tcPr>
            <w:tcW w:w="1143" w:type="dxa"/>
          </w:tcPr>
          <w:p w14:paraId="764FABF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36(1.74%)</w:t>
            </w:r>
          </w:p>
        </w:tc>
        <w:tc>
          <w:tcPr>
            <w:tcW w:w="1516" w:type="dxa"/>
          </w:tcPr>
          <w:p w14:paraId="6985C813"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1064(1.44%)</w:t>
            </w:r>
          </w:p>
        </w:tc>
        <w:tc>
          <w:tcPr>
            <w:tcW w:w="878" w:type="dxa"/>
          </w:tcPr>
          <w:p w14:paraId="4C595F89"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29.56</w:t>
            </w:r>
          </w:p>
        </w:tc>
      </w:tr>
      <w:tr w:rsidR="005E0802" w:rsidRPr="00A12CDC" w14:paraId="1CA74BC6" w14:textId="77777777" w:rsidTr="00471F3F">
        <w:trPr>
          <w:jc w:val="center"/>
        </w:trPr>
        <w:tc>
          <w:tcPr>
            <w:tcW w:w="570" w:type="dxa"/>
            <w:tcBorders>
              <w:bottom w:val="single" w:sz="4" w:space="0" w:color="auto"/>
            </w:tcBorders>
          </w:tcPr>
          <w:p w14:paraId="3B578B0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10</w:t>
            </w:r>
          </w:p>
        </w:tc>
        <w:tc>
          <w:tcPr>
            <w:tcW w:w="1495" w:type="dxa"/>
            <w:tcBorders>
              <w:bottom w:val="single" w:sz="4" w:space="0" w:color="auto"/>
            </w:tcBorders>
            <w:shd w:val="clear" w:color="auto" w:fill="auto"/>
          </w:tcPr>
          <w:p w14:paraId="287E7E4A"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Su, B.</w:t>
            </w:r>
          </w:p>
        </w:tc>
        <w:tc>
          <w:tcPr>
            <w:tcW w:w="1236" w:type="dxa"/>
            <w:tcBorders>
              <w:bottom w:val="single" w:sz="4" w:space="0" w:color="auto"/>
            </w:tcBorders>
            <w:shd w:val="clear" w:color="auto" w:fill="auto"/>
          </w:tcPr>
          <w:p w14:paraId="17BFAD6F"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16(0.77%)</w:t>
            </w:r>
          </w:p>
        </w:tc>
        <w:tc>
          <w:tcPr>
            <w:tcW w:w="1513" w:type="dxa"/>
            <w:tcBorders>
              <w:bottom w:val="single" w:sz="4" w:space="0" w:color="auto"/>
            </w:tcBorders>
            <w:shd w:val="clear" w:color="auto" w:fill="auto"/>
          </w:tcPr>
          <w:p w14:paraId="2F6D38EB"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1386(1.87%)</w:t>
            </w:r>
          </w:p>
        </w:tc>
        <w:tc>
          <w:tcPr>
            <w:tcW w:w="876" w:type="dxa"/>
            <w:tcBorders>
              <w:bottom w:val="single" w:sz="4" w:space="0" w:color="auto"/>
            </w:tcBorders>
            <w:shd w:val="clear" w:color="auto" w:fill="auto"/>
          </w:tcPr>
          <w:p w14:paraId="0C2D4EB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86.63</w:t>
            </w:r>
          </w:p>
        </w:tc>
        <w:tc>
          <w:tcPr>
            <w:tcW w:w="570" w:type="dxa"/>
            <w:tcBorders>
              <w:bottom w:val="single" w:sz="4" w:space="0" w:color="auto"/>
            </w:tcBorders>
          </w:tcPr>
          <w:p w14:paraId="41307C12"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20</w:t>
            </w:r>
          </w:p>
        </w:tc>
        <w:tc>
          <w:tcPr>
            <w:tcW w:w="1678" w:type="dxa"/>
            <w:tcBorders>
              <w:bottom w:val="single" w:sz="4" w:space="0" w:color="auto"/>
            </w:tcBorders>
          </w:tcPr>
          <w:p w14:paraId="7C1498F9"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Meng, J.</w:t>
            </w:r>
          </w:p>
        </w:tc>
        <w:tc>
          <w:tcPr>
            <w:tcW w:w="1143" w:type="dxa"/>
            <w:tcBorders>
              <w:bottom w:val="single" w:sz="4" w:space="0" w:color="auto"/>
            </w:tcBorders>
          </w:tcPr>
          <w:p w14:paraId="3D3D91E0"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29(1.40%)</w:t>
            </w:r>
          </w:p>
        </w:tc>
        <w:tc>
          <w:tcPr>
            <w:tcW w:w="1516" w:type="dxa"/>
            <w:tcBorders>
              <w:bottom w:val="single" w:sz="4" w:space="0" w:color="auto"/>
            </w:tcBorders>
          </w:tcPr>
          <w:p w14:paraId="7E121D4E"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975(1.32%)</w:t>
            </w:r>
          </w:p>
        </w:tc>
        <w:tc>
          <w:tcPr>
            <w:tcW w:w="878" w:type="dxa"/>
            <w:tcBorders>
              <w:bottom w:val="single" w:sz="4" w:space="0" w:color="auto"/>
            </w:tcBorders>
          </w:tcPr>
          <w:p w14:paraId="17FB3EDC" w14:textId="77777777" w:rsidR="005E0802" w:rsidRPr="00A12CDC" w:rsidRDefault="005E0802" w:rsidP="00471F3F">
            <w:pPr>
              <w:tabs>
                <w:tab w:val="left" w:pos="377"/>
              </w:tabs>
              <w:spacing w:line="360" w:lineRule="auto"/>
              <w:jc w:val="center"/>
              <w:rPr>
                <w:color w:val="000000" w:themeColor="text1"/>
                <w:sz w:val="24"/>
              </w:rPr>
            </w:pPr>
            <w:r w:rsidRPr="00A12CDC">
              <w:rPr>
                <w:color w:val="000000" w:themeColor="text1"/>
                <w:sz w:val="24"/>
              </w:rPr>
              <w:t>33.62</w:t>
            </w:r>
          </w:p>
        </w:tc>
      </w:tr>
    </w:tbl>
    <w:p w14:paraId="301EB079" w14:textId="03900C6E" w:rsidR="00876621" w:rsidRDefault="00876621" w:rsidP="00471F3F"/>
    <w:p w14:paraId="4F4A7B2C" w14:textId="77777777" w:rsidR="00F52542" w:rsidRDefault="00F52542" w:rsidP="00471F3F">
      <w:pPr>
        <w:spacing w:line="360" w:lineRule="auto"/>
        <w:outlineLvl w:val="1"/>
        <w:rPr>
          <w:b/>
          <w:bCs/>
          <w:color w:val="000000" w:themeColor="text1"/>
          <w:sz w:val="24"/>
        </w:rPr>
      </w:pPr>
      <w:r>
        <w:rPr>
          <w:b/>
          <w:bCs/>
          <w:color w:val="000000" w:themeColor="text1"/>
          <w:sz w:val="24"/>
        </w:rPr>
        <w:br w:type="page"/>
      </w:r>
    </w:p>
    <w:p w14:paraId="4839830B" w14:textId="2F50F16C" w:rsidR="00471F3F" w:rsidRPr="00471F3F" w:rsidRDefault="00471F3F" w:rsidP="00471F3F">
      <w:pPr>
        <w:spacing w:line="360" w:lineRule="auto"/>
        <w:outlineLvl w:val="1"/>
        <w:rPr>
          <w:rFonts w:hint="eastAsia"/>
          <w:b/>
          <w:bCs/>
          <w:color w:val="000000" w:themeColor="text1"/>
          <w:sz w:val="24"/>
        </w:rPr>
      </w:pPr>
      <w:r w:rsidRPr="00471F3F">
        <w:rPr>
          <w:b/>
          <w:bCs/>
          <w:color w:val="000000" w:themeColor="text1"/>
          <w:sz w:val="24"/>
        </w:rPr>
        <w:lastRenderedPageBreak/>
        <w:t>Reference</w:t>
      </w:r>
    </w:p>
    <w:p w14:paraId="52D50925" w14:textId="01A0596E" w:rsidR="00471F3F" w:rsidRPr="00A1228B" w:rsidRDefault="003F49DF" w:rsidP="00A1228B">
      <w:pPr>
        <w:pStyle w:val="0"/>
        <w:numPr>
          <w:ilvl w:val="0"/>
          <w:numId w:val="1"/>
        </w:numPr>
        <w:spacing w:line="360" w:lineRule="auto"/>
        <w:rPr>
          <w:color w:val="000000" w:themeColor="text1"/>
          <w:sz w:val="24"/>
        </w:rPr>
      </w:pPr>
      <w:bookmarkStart w:id="5" w:name="_Ref66565496"/>
      <w:bookmarkEnd w:id="5"/>
      <w:r w:rsidRPr="00A1228B">
        <w:rPr>
          <w:rFonts w:hint="eastAsia"/>
          <w:color w:val="000000" w:themeColor="text1"/>
          <w:sz w:val="24"/>
        </w:rPr>
        <w:t xml:space="preserve"> </w:t>
      </w:r>
      <w:bookmarkStart w:id="6" w:name="_Ref66569729"/>
      <w:r w:rsidR="00A1228B" w:rsidRPr="00A1228B">
        <w:rPr>
          <w:color w:val="000000" w:themeColor="text1"/>
          <w:sz w:val="24"/>
        </w:rPr>
        <w:t>Peters, G. P., Minx, J. C., Weber, C. L., and Edenhofer, O. (2011). Growth in</w:t>
      </w:r>
      <w:r w:rsidR="00A1228B" w:rsidRPr="00A1228B">
        <w:rPr>
          <w:color w:val="000000" w:themeColor="text1"/>
          <w:sz w:val="24"/>
        </w:rPr>
        <w:t xml:space="preserve"> </w:t>
      </w:r>
      <w:r w:rsidR="00A1228B" w:rsidRPr="00A1228B">
        <w:rPr>
          <w:color w:val="000000" w:themeColor="text1"/>
          <w:sz w:val="24"/>
        </w:rPr>
        <w:t>emission transfers via international trade from 1990 to 2008. Proc. Natl. Acad.</w:t>
      </w:r>
      <w:r w:rsidR="00A1228B" w:rsidRPr="00A1228B">
        <w:rPr>
          <w:color w:val="000000" w:themeColor="text1"/>
          <w:sz w:val="24"/>
        </w:rPr>
        <w:t xml:space="preserve"> </w:t>
      </w:r>
      <w:r w:rsidR="00A1228B" w:rsidRPr="00A1228B">
        <w:rPr>
          <w:color w:val="000000" w:themeColor="text1"/>
          <w:sz w:val="24"/>
        </w:rPr>
        <w:t>Sci. U.S.A. 108, 8903–8908. doi: 10.1073/pnas.1006388108</w:t>
      </w:r>
      <w:bookmarkEnd w:id="6"/>
    </w:p>
    <w:p w14:paraId="54DB60AB" w14:textId="786035DE" w:rsidR="003F49DF" w:rsidRPr="00A1228B" w:rsidRDefault="003F49DF" w:rsidP="00A1228B">
      <w:pPr>
        <w:pStyle w:val="0"/>
        <w:numPr>
          <w:ilvl w:val="0"/>
          <w:numId w:val="1"/>
        </w:numPr>
        <w:spacing w:line="360" w:lineRule="auto"/>
        <w:rPr>
          <w:color w:val="000000" w:themeColor="text1"/>
          <w:sz w:val="24"/>
        </w:rPr>
      </w:pPr>
      <w:bookmarkStart w:id="7" w:name="_Ref66565581"/>
      <w:r w:rsidRPr="00A1228B">
        <w:rPr>
          <w:rFonts w:hint="eastAsia"/>
          <w:color w:val="000000" w:themeColor="text1"/>
          <w:sz w:val="24"/>
        </w:rPr>
        <w:t xml:space="preserve"> </w:t>
      </w:r>
      <w:bookmarkStart w:id="8" w:name="_Ref66568843"/>
      <w:bookmarkEnd w:id="7"/>
      <w:r w:rsidR="00A1228B" w:rsidRPr="00A1228B">
        <w:rPr>
          <w:color w:val="000000" w:themeColor="text1"/>
          <w:sz w:val="24"/>
        </w:rPr>
        <w:t>Wiedmann, T., Schandl, H., Lenzen, M., Moran, D., Suh, S., West, J., et al. (2013).</w:t>
      </w:r>
      <w:r w:rsidR="00A1228B" w:rsidRPr="00A1228B">
        <w:rPr>
          <w:color w:val="000000" w:themeColor="text1"/>
          <w:sz w:val="24"/>
        </w:rPr>
        <w:t xml:space="preserve"> </w:t>
      </w:r>
      <w:r w:rsidR="00A1228B" w:rsidRPr="00A1228B">
        <w:rPr>
          <w:color w:val="000000" w:themeColor="text1"/>
          <w:sz w:val="24"/>
        </w:rPr>
        <w:t>The material footprint of nations. Proc. Natl. Acad. Sci. U.S.A. 112, 6271–6276.</w:t>
      </w:r>
      <w:bookmarkEnd w:id="8"/>
    </w:p>
    <w:p w14:paraId="22A04BF5" w14:textId="329133EC" w:rsidR="003F49DF" w:rsidRPr="00A1228B" w:rsidRDefault="003F49DF" w:rsidP="00A1228B">
      <w:pPr>
        <w:pStyle w:val="0"/>
        <w:numPr>
          <w:ilvl w:val="0"/>
          <w:numId w:val="1"/>
        </w:numPr>
        <w:spacing w:line="360" w:lineRule="auto"/>
        <w:rPr>
          <w:color w:val="000000" w:themeColor="text1"/>
          <w:sz w:val="24"/>
        </w:rPr>
      </w:pPr>
      <w:bookmarkStart w:id="9" w:name="_Ref66565587"/>
      <w:r w:rsidRPr="00A1228B">
        <w:rPr>
          <w:rFonts w:hint="eastAsia"/>
          <w:color w:val="000000" w:themeColor="text1"/>
          <w:sz w:val="24"/>
        </w:rPr>
        <w:t xml:space="preserve"> </w:t>
      </w:r>
      <w:bookmarkStart w:id="10" w:name="_Ref66568713"/>
      <w:bookmarkEnd w:id="9"/>
      <w:r w:rsidR="00A1228B" w:rsidRPr="00A1228B">
        <w:rPr>
          <w:color w:val="000000" w:themeColor="text1"/>
          <w:sz w:val="24"/>
        </w:rPr>
        <w:t>Guan, D. B., Hubacek, K., Weber, C. L., Peters, G. P., and Reiner, D. M. (2008). The</w:t>
      </w:r>
      <w:r w:rsidR="00A1228B" w:rsidRPr="00A1228B">
        <w:rPr>
          <w:color w:val="000000" w:themeColor="text1"/>
          <w:sz w:val="24"/>
        </w:rPr>
        <w:t xml:space="preserve"> </w:t>
      </w:r>
      <w:r w:rsidR="00A1228B" w:rsidRPr="00A1228B">
        <w:rPr>
          <w:color w:val="000000" w:themeColor="text1"/>
          <w:sz w:val="24"/>
        </w:rPr>
        <w:t xml:space="preserve">drivers of </w:t>
      </w:r>
      <w:r w:rsidR="003003C6">
        <w:rPr>
          <w:color w:val="000000" w:themeColor="text1"/>
          <w:sz w:val="24"/>
        </w:rPr>
        <w:t>C</w:t>
      </w:r>
      <w:r w:rsidR="00A1228B" w:rsidRPr="00A1228B">
        <w:rPr>
          <w:color w:val="000000" w:themeColor="text1"/>
          <w:sz w:val="24"/>
        </w:rPr>
        <w:t>hinese CO2 emissions from 1980 to 2030. Global Environ. Change</w:t>
      </w:r>
      <w:r w:rsidR="00A1228B" w:rsidRPr="00A1228B">
        <w:rPr>
          <w:color w:val="000000" w:themeColor="text1"/>
          <w:sz w:val="24"/>
        </w:rPr>
        <w:t xml:space="preserve"> </w:t>
      </w:r>
      <w:r w:rsidR="00A1228B" w:rsidRPr="00A1228B">
        <w:rPr>
          <w:color w:val="000000" w:themeColor="text1"/>
          <w:sz w:val="24"/>
        </w:rPr>
        <w:t>18, 626–634. doi: 10.1016/j.gloenvcha.2008.08.001</w:t>
      </w:r>
      <w:bookmarkEnd w:id="10"/>
    </w:p>
    <w:p w14:paraId="1F1D0A9B" w14:textId="607BE8A3" w:rsidR="003F49DF" w:rsidRPr="00DC1C02" w:rsidRDefault="003F49DF" w:rsidP="00DC1C02">
      <w:pPr>
        <w:pStyle w:val="0"/>
        <w:numPr>
          <w:ilvl w:val="0"/>
          <w:numId w:val="1"/>
        </w:numPr>
        <w:spacing w:line="360" w:lineRule="auto"/>
        <w:rPr>
          <w:color w:val="000000" w:themeColor="text1"/>
          <w:sz w:val="24"/>
        </w:rPr>
      </w:pPr>
      <w:bookmarkStart w:id="11" w:name="_Ref66565593"/>
      <w:r w:rsidRPr="00DC1C02">
        <w:rPr>
          <w:rFonts w:hint="eastAsia"/>
          <w:color w:val="000000" w:themeColor="text1"/>
          <w:sz w:val="24"/>
        </w:rPr>
        <w:t xml:space="preserve"> </w:t>
      </w:r>
      <w:bookmarkStart w:id="12" w:name="_Ref66568898"/>
      <w:bookmarkEnd w:id="11"/>
      <w:r w:rsidR="00DC1C02" w:rsidRPr="00DC1C02">
        <w:rPr>
          <w:color w:val="000000" w:themeColor="text1"/>
          <w:sz w:val="24"/>
        </w:rPr>
        <w:t>Lenzeiy, M., Kanemoto, K., Moran, D., and Geschke, A. (2012). Mapping the</w:t>
      </w:r>
      <w:r w:rsidR="00DC1C02" w:rsidRPr="00DC1C02">
        <w:rPr>
          <w:color w:val="000000" w:themeColor="text1"/>
          <w:sz w:val="24"/>
        </w:rPr>
        <w:t xml:space="preserve"> </w:t>
      </w:r>
      <w:r w:rsidR="00DC1C02" w:rsidRPr="00DC1C02">
        <w:rPr>
          <w:color w:val="000000" w:themeColor="text1"/>
          <w:sz w:val="24"/>
        </w:rPr>
        <w:t>structure of the world economy. Environ. Ence Technol. 46:8374.</w:t>
      </w:r>
      <w:bookmarkEnd w:id="12"/>
    </w:p>
    <w:p w14:paraId="41C542DE" w14:textId="73CB7AF8" w:rsidR="003F49DF" w:rsidRPr="00A1228B" w:rsidRDefault="003F49DF" w:rsidP="00A1228B">
      <w:pPr>
        <w:pStyle w:val="0"/>
        <w:numPr>
          <w:ilvl w:val="0"/>
          <w:numId w:val="1"/>
        </w:numPr>
        <w:spacing w:line="360" w:lineRule="auto"/>
        <w:rPr>
          <w:color w:val="000000" w:themeColor="text1"/>
          <w:sz w:val="24"/>
        </w:rPr>
      </w:pPr>
      <w:bookmarkStart w:id="13" w:name="_Ref66565598"/>
      <w:r w:rsidRPr="00A1228B">
        <w:rPr>
          <w:rFonts w:hint="eastAsia"/>
          <w:color w:val="000000" w:themeColor="text1"/>
          <w:sz w:val="24"/>
        </w:rPr>
        <w:t xml:space="preserve"> </w:t>
      </w:r>
      <w:bookmarkStart w:id="14" w:name="_Ref66568729"/>
      <w:bookmarkEnd w:id="13"/>
      <w:r w:rsidR="00A1228B" w:rsidRPr="00A1228B">
        <w:rPr>
          <w:color w:val="000000" w:themeColor="text1"/>
          <w:sz w:val="24"/>
        </w:rPr>
        <w:t>Hondo, H. (2005). Life cycle GHG emission analysis of power generation systems:</w:t>
      </w:r>
      <w:r w:rsidR="00A1228B" w:rsidRPr="00A1228B">
        <w:rPr>
          <w:color w:val="000000" w:themeColor="text1"/>
          <w:sz w:val="24"/>
        </w:rPr>
        <w:t xml:space="preserve"> </w:t>
      </w:r>
      <w:r w:rsidR="00A1228B" w:rsidRPr="00A1228B">
        <w:rPr>
          <w:color w:val="000000" w:themeColor="text1"/>
          <w:sz w:val="24"/>
        </w:rPr>
        <w:t>Japanese case. Energy 30, 2042–2056. doi: 10.1016/j.energy.2004.07.020</w:t>
      </w:r>
      <w:bookmarkEnd w:id="14"/>
    </w:p>
    <w:p w14:paraId="74EF47D5" w14:textId="4A5B1175" w:rsidR="003F49DF" w:rsidRDefault="003F49DF" w:rsidP="00A1228B">
      <w:pPr>
        <w:pStyle w:val="0"/>
        <w:numPr>
          <w:ilvl w:val="0"/>
          <w:numId w:val="1"/>
        </w:numPr>
        <w:spacing w:line="360" w:lineRule="auto"/>
        <w:rPr>
          <w:color w:val="000000" w:themeColor="text1"/>
          <w:sz w:val="24"/>
        </w:rPr>
      </w:pPr>
      <w:bookmarkStart w:id="15" w:name="_Ref66565604"/>
      <w:r w:rsidRPr="00A1228B">
        <w:rPr>
          <w:rFonts w:hint="eastAsia"/>
          <w:color w:val="000000" w:themeColor="text1"/>
          <w:sz w:val="24"/>
        </w:rPr>
        <w:t xml:space="preserve"> </w:t>
      </w:r>
      <w:bookmarkStart w:id="16" w:name="_Ref66568936"/>
      <w:bookmarkEnd w:id="15"/>
      <w:r w:rsidR="00A1228B" w:rsidRPr="00A1228B">
        <w:rPr>
          <w:color w:val="000000" w:themeColor="text1"/>
          <w:sz w:val="24"/>
        </w:rPr>
        <w:t>Weinzettel, J., Hertwich, E. G., Peters, G. P., Steen-Olsen, K., and Galli, A. (2013).</w:t>
      </w:r>
      <w:r w:rsidR="00A1228B" w:rsidRPr="00A1228B">
        <w:rPr>
          <w:color w:val="000000" w:themeColor="text1"/>
          <w:sz w:val="24"/>
        </w:rPr>
        <w:t xml:space="preserve"> </w:t>
      </w:r>
      <w:r w:rsidR="00A1228B" w:rsidRPr="00A1228B">
        <w:rPr>
          <w:color w:val="000000" w:themeColor="text1"/>
          <w:sz w:val="24"/>
        </w:rPr>
        <w:t>Affluence drives the global displacement of land use. Global Environ. Change</w:t>
      </w:r>
      <w:r w:rsidR="00A1228B" w:rsidRPr="00A1228B">
        <w:rPr>
          <w:color w:val="000000" w:themeColor="text1"/>
          <w:sz w:val="24"/>
        </w:rPr>
        <w:t xml:space="preserve"> </w:t>
      </w:r>
      <w:r w:rsidR="00A1228B" w:rsidRPr="00A1228B">
        <w:rPr>
          <w:color w:val="000000" w:themeColor="text1"/>
          <w:sz w:val="24"/>
        </w:rPr>
        <w:t>23, 433–438. doi: 10.1016/j.gloenvcha.2012.12.010</w:t>
      </w:r>
      <w:bookmarkEnd w:id="16"/>
    </w:p>
    <w:p w14:paraId="326A1AE2" w14:textId="13F64C13" w:rsidR="003F49DF" w:rsidRPr="00493D7D" w:rsidRDefault="00A1228B" w:rsidP="00493D7D">
      <w:pPr>
        <w:pStyle w:val="0"/>
        <w:numPr>
          <w:ilvl w:val="0"/>
          <w:numId w:val="1"/>
        </w:numPr>
        <w:spacing w:line="360" w:lineRule="auto"/>
        <w:rPr>
          <w:color w:val="000000" w:themeColor="text1"/>
          <w:sz w:val="24"/>
        </w:rPr>
      </w:pPr>
      <w:r>
        <w:rPr>
          <w:rFonts w:hint="eastAsia"/>
          <w:color w:val="000000" w:themeColor="text1"/>
          <w:sz w:val="24"/>
        </w:rPr>
        <w:t xml:space="preserve"> </w:t>
      </w:r>
      <w:bookmarkStart w:id="17" w:name="_Ref66567903"/>
      <w:r w:rsidRPr="00A1228B">
        <w:rPr>
          <w:color w:val="000000" w:themeColor="text1"/>
          <w:sz w:val="24"/>
        </w:rPr>
        <w:t xml:space="preserve">Druckman, A., </w:t>
      </w:r>
      <w:r>
        <w:rPr>
          <w:color w:val="000000" w:themeColor="text1"/>
          <w:sz w:val="24"/>
        </w:rPr>
        <w:t>and</w:t>
      </w:r>
      <w:r w:rsidRPr="00A1228B">
        <w:rPr>
          <w:color w:val="000000" w:themeColor="text1"/>
          <w:sz w:val="24"/>
        </w:rPr>
        <w:t xml:space="preserve"> Jackson, T. (2009). The carbon footprint of </w:t>
      </w:r>
      <w:r>
        <w:rPr>
          <w:color w:val="000000" w:themeColor="text1"/>
          <w:sz w:val="24"/>
        </w:rPr>
        <w:t>UK</w:t>
      </w:r>
      <w:r w:rsidRPr="00A1228B">
        <w:rPr>
          <w:color w:val="000000" w:themeColor="text1"/>
          <w:sz w:val="24"/>
        </w:rPr>
        <w:t xml:space="preserve"> households 1990-2004: a socio-economically disaggregated, quasi-multi-regional input-output model. </w:t>
      </w:r>
      <w:r w:rsidRPr="00493567">
        <w:rPr>
          <w:color w:val="000000" w:themeColor="text1"/>
          <w:sz w:val="24"/>
        </w:rPr>
        <w:t>Ecol. Econ.</w:t>
      </w:r>
      <w:r w:rsidRPr="00A1228B">
        <w:rPr>
          <w:color w:val="000000" w:themeColor="text1"/>
          <w:sz w:val="24"/>
        </w:rPr>
        <w:t xml:space="preserve"> 68(7), 2066-2077.</w:t>
      </w:r>
      <w:r>
        <w:rPr>
          <w:color w:val="000000" w:themeColor="text1"/>
          <w:sz w:val="24"/>
        </w:rPr>
        <w:t xml:space="preserve"> doi: </w:t>
      </w:r>
      <w:r w:rsidRPr="00A1228B">
        <w:rPr>
          <w:color w:val="000000" w:themeColor="text1"/>
          <w:sz w:val="24"/>
        </w:rPr>
        <w:t>10.1016/j.ecolecon.2009.01.013</w:t>
      </w:r>
      <w:bookmarkEnd w:id="17"/>
    </w:p>
    <w:p w14:paraId="15D39BB4" w14:textId="52C1994C" w:rsidR="00493D7D" w:rsidRDefault="003F49DF" w:rsidP="00493D7D">
      <w:pPr>
        <w:pStyle w:val="0"/>
        <w:numPr>
          <w:ilvl w:val="0"/>
          <w:numId w:val="1"/>
        </w:numPr>
        <w:spacing w:line="360" w:lineRule="auto"/>
        <w:rPr>
          <w:color w:val="000000" w:themeColor="text1"/>
          <w:sz w:val="24"/>
        </w:rPr>
      </w:pPr>
      <w:bookmarkStart w:id="18" w:name="_Ref66565617"/>
      <w:r w:rsidRPr="00493D7D">
        <w:rPr>
          <w:rFonts w:hint="eastAsia"/>
          <w:color w:val="000000" w:themeColor="text1"/>
          <w:sz w:val="24"/>
        </w:rPr>
        <w:t xml:space="preserve"> </w:t>
      </w:r>
      <w:bookmarkStart w:id="19" w:name="_Ref66570030"/>
      <w:bookmarkEnd w:id="18"/>
      <w:r w:rsidR="00493D7D" w:rsidRPr="00A1228B">
        <w:rPr>
          <w:color w:val="000000" w:themeColor="text1"/>
          <w:sz w:val="24"/>
        </w:rPr>
        <w:t>Weber, C. L., and</w:t>
      </w:r>
      <w:r w:rsidR="003003C6">
        <w:rPr>
          <w:color w:val="000000" w:themeColor="text1"/>
          <w:sz w:val="24"/>
        </w:rPr>
        <w:t xml:space="preserve"> </w:t>
      </w:r>
      <w:r w:rsidR="00493D7D" w:rsidRPr="00A1228B">
        <w:rPr>
          <w:color w:val="000000" w:themeColor="text1"/>
          <w:sz w:val="24"/>
        </w:rPr>
        <w:t xml:space="preserve">Matthews, H. S. (2008). Quantifying the global and distributional aspects of </w:t>
      </w:r>
      <w:r w:rsidR="003003C6">
        <w:rPr>
          <w:color w:val="000000" w:themeColor="text1"/>
          <w:sz w:val="24"/>
        </w:rPr>
        <w:t>A</w:t>
      </w:r>
      <w:r w:rsidR="00493D7D" w:rsidRPr="00A1228B">
        <w:rPr>
          <w:color w:val="000000" w:themeColor="text1"/>
          <w:sz w:val="24"/>
        </w:rPr>
        <w:t>merican household carbon footprint. Ecol. Econ. 66, 379–391. doi: 10.1016/j.ecolecon.2007.09.021</w:t>
      </w:r>
      <w:bookmarkEnd w:id="19"/>
    </w:p>
    <w:p w14:paraId="54707D1E" w14:textId="720900F5" w:rsidR="003F49DF" w:rsidRPr="00493D7D" w:rsidRDefault="00493D7D" w:rsidP="00493D7D">
      <w:pPr>
        <w:pStyle w:val="0"/>
        <w:numPr>
          <w:ilvl w:val="0"/>
          <w:numId w:val="1"/>
        </w:numPr>
        <w:spacing w:line="360" w:lineRule="auto"/>
        <w:rPr>
          <w:color w:val="000000" w:themeColor="text1"/>
          <w:sz w:val="24"/>
        </w:rPr>
      </w:pPr>
      <w:r>
        <w:rPr>
          <w:color w:val="000000" w:themeColor="text1"/>
          <w:sz w:val="24"/>
        </w:rPr>
        <w:t xml:space="preserve"> </w:t>
      </w:r>
      <w:bookmarkStart w:id="20" w:name="_Ref66567940"/>
      <w:r w:rsidR="00A1228B" w:rsidRPr="00493D7D">
        <w:rPr>
          <w:color w:val="000000" w:themeColor="text1"/>
          <w:sz w:val="24"/>
        </w:rPr>
        <w:t xml:space="preserve">Ozkan, B., Akcaoz, H., </w:t>
      </w:r>
      <w:r w:rsidR="00A1228B" w:rsidRPr="00493D7D">
        <w:rPr>
          <w:color w:val="000000" w:themeColor="text1"/>
          <w:sz w:val="24"/>
        </w:rPr>
        <w:t>and</w:t>
      </w:r>
      <w:r w:rsidR="00A1228B" w:rsidRPr="00493D7D">
        <w:rPr>
          <w:color w:val="000000" w:themeColor="text1"/>
          <w:sz w:val="24"/>
        </w:rPr>
        <w:t xml:space="preserve"> Pert, C. (2004). Energy input–output analysis in </w:t>
      </w:r>
      <w:r w:rsidR="00A1228B" w:rsidRPr="00493D7D">
        <w:rPr>
          <w:color w:val="000000" w:themeColor="text1"/>
          <w:sz w:val="24"/>
        </w:rPr>
        <w:t>T</w:t>
      </w:r>
      <w:r w:rsidR="00A1228B" w:rsidRPr="00493D7D">
        <w:rPr>
          <w:color w:val="000000" w:themeColor="text1"/>
          <w:sz w:val="24"/>
        </w:rPr>
        <w:t>urkish agriculture. Renewable Energy, 29(1), 39-51.</w:t>
      </w:r>
      <w:r w:rsidR="00A1228B" w:rsidRPr="00493D7D">
        <w:rPr>
          <w:color w:val="000000" w:themeColor="text1"/>
          <w:sz w:val="24"/>
        </w:rPr>
        <w:t xml:space="preserve"> </w:t>
      </w:r>
      <w:r w:rsidRPr="00493D7D">
        <w:rPr>
          <w:color w:val="000000" w:themeColor="text1"/>
          <w:sz w:val="24"/>
        </w:rPr>
        <w:t>doi</w:t>
      </w:r>
      <w:r w:rsidR="00A1228B" w:rsidRPr="00493D7D">
        <w:rPr>
          <w:color w:val="000000" w:themeColor="text1"/>
          <w:sz w:val="24"/>
        </w:rPr>
        <w:t>:</w:t>
      </w:r>
      <w:r w:rsidRPr="00493D7D">
        <w:rPr>
          <w:color w:val="000000" w:themeColor="text1"/>
          <w:sz w:val="24"/>
        </w:rPr>
        <w:t xml:space="preserve"> </w:t>
      </w:r>
      <w:r w:rsidRPr="00493D7D">
        <w:rPr>
          <w:color w:val="000000" w:themeColor="text1"/>
          <w:sz w:val="24"/>
        </w:rPr>
        <w:t>10.1016/S0960-1481(03)00135-6</w:t>
      </w:r>
      <w:bookmarkEnd w:id="20"/>
    </w:p>
    <w:p w14:paraId="4858D773" w14:textId="1C0CEAA6" w:rsidR="003F49DF" w:rsidRPr="00493D7D" w:rsidRDefault="003F49DF" w:rsidP="00493D7D">
      <w:pPr>
        <w:pStyle w:val="0"/>
        <w:numPr>
          <w:ilvl w:val="0"/>
          <w:numId w:val="1"/>
        </w:numPr>
        <w:spacing w:line="360" w:lineRule="auto"/>
        <w:rPr>
          <w:color w:val="000000" w:themeColor="text1"/>
          <w:sz w:val="24"/>
        </w:rPr>
      </w:pPr>
      <w:bookmarkStart w:id="21" w:name="_Ref66565621"/>
      <w:r w:rsidRPr="00493D7D">
        <w:rPr>
          <w:rFonts w:hint="eastAsia"/>
          <w:color w:val="000000" w:themeColor="text1"/>
          <w:sz w:val="24"/>
        </w:rPr>
        <w:t xml:space="preserve"> </w:t>
      </w:r>
      <w:bookmarkStart w:id="22" w:name="_Ref66567955"/>
      <w:bookmarkEnd w:id="21"/>
      <w:r w:rsidR="00493D7D" w:rsidRPr="00493D7D">
        <w:rPr>
          <w:color w:val="000000" w:themeColor="text1"/>
          <w:sz w:val="24"/>
        </w:rPr>
        <w:t>Lenzen, M., and Murray, S. A. (2001). A modified ecological footprint method</w:t>
      </w:r>
      <w:r w:rsidR="00493D7D" w:rsidRPr="00493D7D">
        <w:rPr>
          <w:color w:val="000000" w:themeColor="text1"/>
          <w:sz w:val="24"/>
        </w:rPr>
        <w:t xml:space="preserve"> </w:t>
      </w:r>
      <w:r w:rsidR="00493D7D" w:rsidRPr="00493D7D">
        <w:rPr>
          <w:color w:val="000000" w:themeColor="text1"/>
          <w:sz w:val="24"/>
        </w:rPr>
        <w:t xml:space="preserve">and its application to </w:t>
      </w:r>
      <w:r w:rsidR="003003C6">
        <w:rPr>
          <w:color w:val="000000" w:themeColor="text1"/>
          <w:sz w:val="24"/>
        </w:rPr>
        <w:t>A</w:t>
      </w:r>
      <w:r w:rsidR="00493D7D" w:rsidRPr="00493D7D">
        <w:rPr>
          <w:color w:val="000000" w:themeColor="text1"/>
          <w:sz w:val="24"/>
        </w:rPr>
        <w:t>ustralia. Ecol. Econ. 37, 229–255. doi: 10.1016/s0921-8009(00)00275-5</w:t>
      </w:r>
      <w:bookmarkEnd w:id="22"/>
    </w:p>
    <w:p w14:paraId="01A52976" w14:textId="2AEBB965" w:rsidR="003F49DF" w:rsidRPr="00493567" w:rsidRDefault="00493D7D" w:rsidP="00493567">
      <w:pPr>
        <w:pStyle w:val="0"/>
        <w:numPr>
          <w:ilvl w:val="0"/>
          <w:numId w:val="1"/>
        </w:numPr>
        <w:spacing w:line="360" w:lineRule="auto"/>
        <w:rPr>
          <w:color w:val="000000" w:themeColor="text1"/>
          <w:sz w:val="24"/>
        </w:rPr>
      </w:pPr>
      <w:r>
        <w:rPr>
          <w:color w:val="000000" w:themeColor="text1"/>
          <w:sz w:val="24"/>
        </w:rPr>
        <w:t xml:space="preserve"> </w:t>
      </w:r>
      <w:bookmarkStart w:id="23" w:name="_Ref66567982"/>
      <w:r w:rsidR="00493567" w:rsidRPr="00493567">
        <w:rPr>
          <w:color w:val="000000" w:themeColor="text1"/>
          <w:sz w:val="24"/>
        </w:rPr>
        <w:t>Machado, G., Schaeffer, R., and Worrell, E. (2001). Energy and carbon embodied</w:t>
      </w:r>
      <w:r w:rsidR="00493567" w:rsidRPr="00493567">
        <w:rPr>
          <w:color w:val="000000" w:themeColor="text1"/>
          <w:sz w:val="24"/>
        </w:rPr>
        <w:t xml:space="preserve"> </w:t>
      </w:r>
      <w:r w:rsidR="00493567" w:rsidRPr="00493567">
        <w:rPr>
          <w:color w:val="000000" w:themeColor="text1"/>
          <w:sz w:val="24"/>
        </w:rPr>
        <w:t>in the international trade of Brazil: an input-output approach. Ecol. Econ. 39,</w:t>
      </w:r>
      <w:r w:rsidR="00493567" w:rsidRPr="00493567">
        <w:rPr>
          <w:color w:val="000000" w:themeColor="text1"/>
          <w:sz w:val="24"/>
        </w:rPr>
        <w:t xml:space="preserve"> </w:t>
      </w:r>
      <w:r w:rsidR="00493567" w:rsidRPr="00493567">
        <w:rPr>
          <w:color w:val="000000" w:themeColor="text1"/>
          <w:sz w:val="24"/>
        </w:rPr>
        <w:t>409–</w:t>
      </w:r>
      <w:r w:rsidR="00493567" w:rsidRPr="00493567">
        <w:rPr>
          <w:color w:val="000000" w:themeColor="text1"/>
          <w:sz w:val="24"/>
        </w:rPr>
        <w:lastRenderedPageBreak/>
        <w:t>424. doi: 10.1016/s0921-8009(01)00230-0</w:t>
      </w:r>
      <w:bookmarkEnd w:id="23"/>
    </w:p>
    <w:p w14:paraId="06025C90" w14:textId="0781AD1E" w:rsidR="003F49DF" w:rsidRPr="00493567" w:rsidRDefault="003F49DF" w:rsidP="00493567">
      <w:pPr>
        <w:pStyle w:val="0"/>
        <w:numPr>
          <w:ilvl w:val="0"/>
          <w:numId w:val="1"/>
        </w:numPr>
        <w:spacing w:line="360" w:lineRule="auto"/>
        <w:rPr>
          <w:color w:val="000000" w:themeColor="text1"/>
          <w:sz w:val="24"/>
        </w:rPr>
      </w:pPr>
      <w:bookmarkStart w:id="24" w:name="_Ref66565661"/>
      <w:r w:rsidRPr="00493567">
        <w:rPr>
          <w:rFonts w:hint="eastAsia"/>
          <w:color w:val="000000" w:themeColor="text1"/>
          <w:sz w:val="24"/>
        </w:rPr>
        <w:t xml:space="preserve"> </w:t>
      </w:r>
      <w:bookmarkStart w:id="25" w:name="_Ref66569176"/>
      <w:bookmarkEnd w:id="24"/>
      <w:r w:rsidR="00493567" w:rsidRPr="00493567">
        <w:rPr>
          <w:color w:val="000000" w:themeColor="text1"/>
          <w:sz w:val="24"/>
        </w:rPr>
        <w:t>Tukker</w:t>
      </w:r>
      <w:r w:rsidR="00493567" w:rsidRPr="00493567">
        <w:rPr>
          <w:color w:val="000000" w:themeColor="text1"/>
          <w:sz w:val="24"/>
        </w:rPr>
        <w:t>, A., and</w:t>
      </w:r>
      <w:r w:rsidR="00493567" w:rsidRPr="00493567">
        <w:rPr>
          <w:color w:val="000000" w:themeColor="text1"/>
          <w:sz w:val="24"/>
        </w:rPr>
        <w:t xml:space="preserve"> Jansen</w:t>
      </w:r>
      <w:r w:rsidR="00493567" w:rsidRPr="00493567">
        <w:rPr>
          <w:color w:val="000000" w:themeColor="text1"/>
          <w:sz w:val="24"/>
        </w:rPr>
        <w:t>, B.</w:t>
      </w:r>
      <w:r w:rsidR="00493567" w:rsidRPr="00493567">
        <w:rPr>
          <w:color w:val="000000" w:themeColor="text1"/>
          <w:sz w:val="24"/>
        </w:rPr>
        <w:t xml:space="preserve"> (2006). Environmental Impacts of Products: A Detailed Review of Studies. J. Ind.</w:t>
      </w:r>
      <w:r w:rsidR="003003C6">
        <w:rPr>
          <w:color w:val="000000" w:themeColor="text1"/>
          <w:sz w:val="24"/>
        </w:rPr>
        <w:t xml:space="preserve"> </w:t>
      </w:r>
      <w:r w:rsidR="00493567" w:rsidRPr="00493567">
        <w:rPr>
          <w:color w:val="000000" w:themeColor="text1"/>
          <w:sz w:val="24"/>
        </w:rPr>
        <w:t>Ecol. 10(3), 159–182. doi:10.1162/jiec.2006.10.3.159</w:t>
      </w:r>
      <w:bookmarkEnd w:id="25"/>
    </w:p>
    <w:p w14:paraId="755561C2" w14:textId="65FBD8C1" w:rsidR="003F49DF" w:rsidRDefault="003F49DF" w:rsidP="00E40CEB">
      <w:pPr>
        <w:pStyle w:val="0"/>
        <w:numPr>
          <w:ilvl w:val="0"/>
          <w:numId w:val="1"/>
        </w:numPr>
        <w:spacing w:line="360" w:lineRule="auto"/>
        <w:rPr>
          <w:color w:val="000000" w:themeColor="text1"/>
          <w:sz w:val="24"/>
        </w:rPr>
      </w:pPr>
      <w:bookmarkStart w:id="26" w:name="_Ref66565669"/>
      <w:r>
        <w:rPr>
          <w:rFonts w:hint="eastAsia"/>
          <w:color w:val="000000" w:themeColor="text1"/>
          <w:sz w:val="24"/>
        </w:rPr>
        <w:t xml:space="preserve"> </w:t>
      </w:r>
      <w:bookmarkEnd w:id="26"/>
      <w:r w:rsidR="00DC1C02" w:rsidRPr="00DC1C02">
        <w:rPr>
          <w:color w:val="000000" w:themeColor="text1"/>
          <w:sz w:val="24"/>
        </w:rPr>
        <w:t>Fischer-Kowalski, M., Krausmann, F., Giljum, S., Lutter, S., Mayer, A., Bringezu, S., et al. (2011). Methodology and indicators of economy-wide material flow accounting. J. Ind. Ecol. 15, 855–876. doi: 10.1111/j.1530-9290.2011.00366.x</w:t>
      </w:r>
    </w:p>
    <w:p w14:paraId="42431B96" w14:textId="34FC54C5" w:rsidR="003F49DF" w:rsidRPr="00DC1C02" w:rsidRDefault="003F49DF" w:rsidP="00DC1C02">
      <w:pPr>
        <w:pStyle w:val="0"/>
        <w:numPr>
          <w:ilvl w:val="0"/>
          <w:numId w:val="1"/>
        </w:numPr>
        <w:spacing w:line="360" w:lineRule="auto"/>
        <w:rPr>
          <w:color w:val="000000" w:themeColor="text1"/>
          <w:sz w:val="24"/>
        </w:rPr>
      </w:pPr>
      <w:bookmarkStart w:id="27" w:name="_Ref66565677"/>
      <w:r w:rsidRPr="00DC1C02">
        <w:rPr>
          <w:rFonts w:hint="eastAsia"/>
          <w:color w:val="000000" w:themeColor="text1"/>
          <w:sz w:val="24"/>
        </w:rPr>
        <w:t xml:space="preserve"> </w:t>
      </w:r>
      <w:bookmarkEnd w:id="27"/>
      <w:r w:rsidR="00DC1C02" w:rsidRPr="00DC1C02">
        <w:rPr>
          <w:color w:val="000000" w:themeColor="text1"/>
          <w:sz w:val="24"/>
        </w:rPr>
        <w:t>Sleeswijk, A. W., Oers, L. F., Guinee, J. B., Struijs, J., and Huijbregts, M. A. J.</w:t>
      </w:r>
      <w:r w:rsidR="00DC1C02" w:rsidRPr="00DC1C02">
        <w:rPr>
          <w:color w:val="000000" w:themeColor="text1"/>
          <w:sz w:val="24"/>
        </w:rPr>
        <w:t xml:space="preserve"> </w:t>
      </w:r>
      <w:r w:rsidR="00DC1C02" w:rsidRPr="00DC1C02">
        <w:rPr>
          <w:color w:val="000000" w:themeColor="text1"/>
          <w:sz w:val="24"/>
        </w:rPr>
        <w:t>(2008). Normalisation in product life cycle assessment: an LCA of the global and</w:t>
      </w:r>
      <w:r w:rsidR="00DC1C02" w:rsidRPr="00DC1C02">
        <w:rPr>
          <w:color w:val="000000" w:themeColor="text1"/>
          <w:sz w:val="24"/>
        </w:rPr>
        <w:t xml:space="preserve"> </w:t>
      </w:r>
      <w:r w:rsidR="003003C6">
        <w:rPr>
          <w:color w:val="000000" w:themeColor="text1"/>
          <w:sz w:val="24"/>
        </w:rPr>
        <w:t>E</w:t>
      </w:r>
      <w:r w:rsidR="00DC1C02" w:rsidRPr="00DC1C02">
        <w:rPr>
          <w:color w:val="000000" w:themeColor="text1"/>
          <w:sz w:val="24"/>
        </w:rPr>
        <w:t>uropean economic systems in the year 2000. Ence Total Environ. 390, 227–240.</w:t>
      </w:r>
      <w:r w:rsidR="00DC1C02" w:rsidRPr="00DC1C02">
        <w:rPr>
          <w:color w:val="000000" w:themeColor="text1"/>
          <w:sz w:val="24"/>
        </w:rPr>
        <w:t xml:space="preserve"> </w:t>
      </w:r>
      <w:r w:rsidR="00DC1C02" w:rsidRPr="00DC1C02">
        <w:rPr>
          <w:color w:val="000000" w:themeColor="text1"/>
          <w:sz w:val="24"/>
        </w:rPr>
        <w:t>doi: 10.1016/j.scitotenv.2007.09.040</w:t>
      </w:r>
    </w:p>
    <w:p w14:paraId="00FEED65" w14:textId="506A04BC" w:rsidR="003F49DF" w:rsidRPr="00A1228B" w:rsidRDefault="003F49DF" w:rsidP="00A1228B">
      <w:pPr>
        <w:pStyle w:val="0"/>
        <w:numPr>
          <w:ilvl w:val="0"/>
          <w:numId w:val="1"/>
        </w:numPr>
        <w:spacing w:line="360" w:lineRule="auto"/>
        <w:rPr>
          <w:color w:val="000000" w:themeColor="text1"/>
          <w:sz w:val="24"/>
        </w:rPr>
      </w:pPr>
      <w:bookmarkStart w:id="28" w:name="_Ref66565687"/>
      <w:r w:rsidRPr="00A1228B">
        <w:rPr>
          <w:rFonts w:hint="eastAsia"/>
          <w:color w:val="000000" w:themeColor="text1"/>
          <w:sz w:val="24"/>
        </w:rPr>
        <w:t xml:space="preserve"> </w:t>
      </w:r>
      <w:bookmarkStart w:id="29" w:name="_Ref66568960"/>
      <w:bookmarkEnd w:id="28"/>
      <w:r w:rsidR="00A1228B" w:rsidRPr="00A1228B">
        <w:rPr>
          <w:color w:val="000000" w:themeColor="text1"/>
          <w:sz w:val="24"/>
        </w:rPr>
        <w:t>Mi, Z. F., Zhang, Y. K., Guan, D. B., Shan, Y. L., Liu, Z., Cong, R. G., et al. (2016).</w:t>
      </w:r>
      <w:r w:rsidR="00A1228B" w:rsidRPr="00A1228B">
        <w:rPr>
          <w:color w:val="000000" w:themeColor="text1"/>
          <w:sz w:val="24"/>
        </w:rPr>
        <w:t xml:space="preserve"> </w:t>
      </w:r>
      <w:r w:rsidR="00A1228B" w:rsidRPr="00A1228B">
        <w:rPr>
          <w:color w:val="000000" w:themeColor="text1"/>
          <w:sz w:val="24"/>
        </w:rPr>
        <w:t xml:space="preserve">Consumption-based emission accounting for </w:t>
      </w:r>
      <w:r w:rsidR="003003C6">
        <w:rPr>
          <w:color w:val="000000" w:themeColor="text1"/>
          <w:sz w:val="24"/>
        </w:rPr>
        <w:t>C</w:t>
      </w:r>
      <w:r w:rsidR="00A1228B" w:rsidRPr="00A1228B">
        <w:rPr>
          <w:color w:val="000000" w:themeColor="text1"/>
          <w:sz w:val="24"/>
        </w:rPr>
        <w:t>hinese cities. Appl. Energy 184,</w:t>
      </w:r>
      <w:r w:rsidR="00A1228B" w:rsidRPr="00A1228B">
        <w:rPr>
          <w:color w:val="000000" w:themeColor="text1"/>
          <w:sz w:val="24"/>
        </w:rPr>
        <w:t xml:space="preserve"> </w:t>
      </w:r>
      <w:r w:rsidR="00A1228B" w:rsidRPr="00A1228B">
        <w:rPr>
          <w:color w:val="000000" w:themeColor="text1"/>
          <w:sz w:val="24"/>
        </w:rPr>
        <w:t>1073–1081. doi: 10.1016/j.apenergy.2016.06.094</w:t>
      </w:r>
      <w:bookmarkEnd w:id="29"/>
    </w:p>
    <w:p w14:paraId="38EE33F3" w14:textId="69F990CD" w:rsidR="003F49DF" w:rsidRPr="00F317FF" w:rsidRDefault="003F49DF" w:rsidP="00F317FF">
      <w:pPr>
        <w:pStyle w:val="0"/>
        <w:numPr>
          <w:ilvl w:val="0"/>
          <w:numId w:val="1"/>
        </w:numPr>
        <w:spacing w:line="360" w:lineRule="auto"/>
        <w:rPr>
          <w:color w:val="000000" w:themeColor="text1"/>
          <w:sz w:val="24"/>
        </w:rPr>
      </w:pPr>
      <w:bookmarkStart w:id="30" w:name="_Ref66568039"/>
      <w:r w:rsidRPr="00F317FF">
        <w:rPr>
          <w:rFonts w:hint="eastAsia"/>
          <w:color w:val="000000" w:themeColor="text1"/>
          <w:sz w:val="24"/>
        </w:rPr>
        <w:t xml:space="preserve"> </w:t>
      </w:r>
      <w:bookmarkEnd w:id="30"/>
      <w:r w:rsidR="00F317FF" w:rsidRPr="00F317FF">
        <w:rPr>
          <w:color w:val="000000" w:themeColor="text1"/>
          <w:sz w:val="24"/>
        </w:rPr>
        <w:t>Wood, R., Stadler, K., Bulavskaya, T., Lutter, S., Giljum, S., de Koning, A.,</w:t>
      </w:r>
      <w:r w:rsidR="00F317FF" w:rsidRPr="00F317FF">
        <w:rPr>
          <w:color w:val="000000" w:themeColor="text1"/>
          <w:sz w:val="24"/>
        </w:rPr>
        <w:t xml:space="preserve"> </w:t>
      </w:r>
      <w:r w:rsidR="00F317FF" w:rsidRPr="00F317FF">
        <w:rPr>
          <w:color w:val="000000" w:themeColor="text1"/>
          <w:sz w:val="24"/>
        </w:rPr>
        <w:t xml:space="preserve">et al. (2015). Global sustainability accounting—developing </w:t>
      </w:r>
      <w:r w:rsidR="003003C6">
        <w:rPr>
          <w:color w:val="000000" w:themeColor="text1"/>
          <w:sz w:val="24"/>
        </w:rPr>
        <w:t>EXIOBASE</w:t>
      </w:r>
      <w:r w:rsidR="00F317FF" w:rsidRPr="00F317FF">
        <w:rPr>
          <w:color w:val="000000" w:themeColor="text1"/>
          <w:sz w:val="24"/>
        </w:rPr>
        <w:t xml:space="preserve"> for multiregional</w:t>
      </w:r>
      <w:r w:rsidR="00F317FF" w:rsidRPr="00F317FF">
        <w:rPr>
          <w:color w:val="000000" w:themeColor="text1"/>
          <w:sz w:val="24"/>
        </w:rPr>
        <w:t xml:space="preserve"> </w:t>
      </w:r>
      <w:r w:rsidR="00F317FF" w:rsidRPr="00F317FF">
        <w:rPr>
          <w:color w:val="000000" w:themeColor="text1"/>
          <w:sz w:val="24"/>
        </w:rPr>
        <w:t>footprint analysis. Sustainability 7, 138–163. doi: 10.3390/su7010138</w:t>
      </w:r>
    </w:p>
    <w:p w14:paraId="01A68962" w14:textId="20F7D415" w:rsidR="003F49DF" w:rsidRPr="00F317FF" w:rsidRDefault="003F49DF" w:rsidP="00F317FF">
      <w:pPr>
        <w:pStyle w:val="0"/>
        <w:numPr>
          <w:ilvl w:val="0"/>
          <w:numId w:val="1"/>
        </w:numPr>
        <w:spacing w:line="360" w:lineRule="auto"/>
        <w:rPr>
          <w:color w:val="000000" w:themeColor="text1"/>
          <w:sz w:val="24"/>
        </w:rPr>
      </w:pPr>
      <w:bookmarkStart w:id="31" w:name="_Ref66568046"/>
      <w:r w:rsidRPr="00F317FF">
        <w:rPr>
          <w:rFonts w:hint="eastAsia"/>
          <w:color w:val="000000" w:themeColor="text1"/>
          <w:sz w:val="24"/>
        </w:rPr>
        <w:t xml:space="preserve"> </w:t>
      </w:r>
      <w:bookmarkEnd w:id="31"/>
      <w:r w:rsidR="00F317FF" w:rsidRPr="00F317FF">
        <w:rPr>
          <w:color w:val="000000" w:themeColor="text1"/>
          <w:sz w:val="24"/>
        </w:rPr>
        <w:t>Genovese, A., Acquaye, A. A., Figueroa, A., and Koh, S. C. L. (2017). Sustainable</w:t>
      </w:r>
      <w:r w:rsidR="00F317FF" w:rsidRPr="00F317FF">
        <w:rPr>
          <w:color w:val="000000" w:themeColor="text1"/>
          <w:sz w:val="24"/>
        </w:rPr>
        <w:t xml:space="preserve"> </w:t>
      </w:r>
      <w:r w:rsidR="00F317FF" w:rsidRPr="00F317FF">
        <w:rPr>
          <w:color w:val="000000" w:themeColor="text1"/>
          <w:sz w:val="24"/>
        </w:rPr>
        <w:t>supply chain management and the transition towards a circular economy:</w:t>
      </w:r>
      <w:r w:rsidR="00F317FF" w:rsidRPr="00F317FF">
        <w:rPr>
          <w:color w:val="000000" w:themeColor="text1"/>
          <w:sz w:val="24"/>
        </w:rPr>
        <w:t xml:space="preserve"> </w:t>
      </w:r>
      <w:r w:rsidR="00F317FF" w:rsidRPr="00F317FF">
        <w:rPr>
          <w:color w:val="000000" w:themeColor="text1"/>
          <w:sz w:val="24"/>
        </w:rPr>
        <w:t>evidence and some applications. Omega 66, 344–357. doi: 10.1016/j.omega.2015.05.015</w:t>
      </w:r>
    </w:p>
    <w:p w14:paraId="7DBB4AD4" w14:textId="7D34EABB" w:rsidR="003F49DF" w:rsidRPr="00F317FF" w:rsidRDefault="003F49DF" w:rsidP="00F317FF">
      <w:pPr>
        <w:pStyle w:val="0"/>
        <w:numPr>
          <w:ilvl w:val="0"/>
          <w:numId w:val="1"/>
        </w:numPr>
        <w:spacing w:line="360" w:lineRule="auto"/>
        <w:rPr>
          <w:color w:val="000000" w:themeColor="text1"/>
          <w:sz w:val="24"/>
        </w:rPr>
      </w:pPr>
      <w:bookmarkStart w:id="32" w:name="_Ref66568058"/>
      <w:r w:rsidRPr="00F317FF">
        <w:rPr>
          <w:rFonts w:hint="eastAsia"/>
          <w:color w:val="000000" w:themeColor="text1"/>
          <w:sz w:val="24"/>
        </w:rPr>
        <w:t xml:space="preserve"> </w:t>
      </w:r>
      <w:bookmarkEnd w:id="32"/>
      <w:r w:rsidR="00F317FF" w:rsidRPr="00F317FF">
        <w:rPr>
          <w:color w:val="000000" w:themeColor="text1"/>
          <w:sz w:val="24"/>
        </w:rPr>
        <w:t>Wiedmann, T., Wilting, H. C., Lenzen, M., Lutter, S., and Palm, V. (2011).</w:t>
      </w:r>
      <w:r w:rsidR="00F317FF" w:rsidRPr="00F317FF">
        <w:rPr>
          <w:color w:val="000000" w:themeColor="text1"/>
          <w:sz w:val="24"/>
        </w:rPr>
        <w:t xml:space="preserve"> </w:t>
      </w:r>
      <w:r w:rsidR="00F317FF" w:rsidRPr="00F317FF">
        <w:rPr>
          <w:color w:val="000000" w:themeColor="text1"/>
          <w:sz w:val="24"/>
        </w:rPr>
        <w:t>Quo Vadis MRIO? methodological, data and institutional requirements for</w:t>
      </w:r>
      <w:r w:rsidR="00F317FF" w:rsidRPr="00F317FF">
        <w:rPr>
          <w:color w:val="000000" w:themeColor="text1"/>
          <w:sz w:val="24"/>
        </w:rPr>
        <w:t xml:space="preserve"> </w:t>
      </w:r>
      <w:r w:rsidR="00F317FF" w:rsidRPr="00F317FF">
        <w:rPr>
          <w:color w:val="000000" w:themeColor="text1"/>
          <w:sz w:val="24"/>
        </w:rPr>
        <w:t>multi-region input–output analysis. Ecol. Econ. 70, 1937–1945. doi: 10.1016/j.ecolecon.2011.06.014</w:t>
      </w:r>
    </w:p>
    <w:p w14:paraId="56B0ABAD" w14:textId="0AFA9139" w:rsidR="003F49DF" w:rsidRDefault="003F49DF" w:rsidP="00E40CEB">
      <w:pPr>
        <w:pStyle w:val="0"/>
        <w:numPr>
          <w:ilvl w:val="0"/>
          <w:numId w:val="1"/>
        </w:numPr>
        <w:spacing w:line="360" w:lineRule="auto"/>
        <w:rPr>
          <w:color w:val="000000" w:themeColor="text1"/>
          <w:sz w:val="24"/>
        </w:rPr>
      </w:pPr>
      <w:bookmarkStart w:id="33" w:name="_Ref66568065"/>
      <w:r>
        <w:rPr>
          <w:rFonts w:hint="eastAsia"/>
          <w:color w:val="000000" w:themeColor="text1"/>
          <w:sz w:val="24"/>
        </w:rPr>
        <w:t xml:space="preserve"> </w:t>
      </w:r>
      <w:bookmarkEnd w:id="33"/>
      <w:r w:rsidR="00F317FF" w:rsidRPr="00F317FF">
        <w:rPr>
          <w:color w:val="000000" w:themeColor="text1"/>
          <w:sz w:val="24"/>
        </w:rPr>
        <w:t xml:space="preserve">Nssén, </w:t>
      </w:r>
      <w:r w:rsidR="003003C6">
        <w:rPr>
          <w:color w:val="000000" w:themeColor="text1"/>
          <w:sz w:val="24"/>
        </w:rPr>
        <w:t>J.,</w:t>
      </w:r>
      <w:r w:rsidR="00F317FF" w:rsidRPr="00F317FF">
        <w:rPr>
          <w:color w:val="000000" w:themeColor="text1"/>
          <w:sz w:val="24"/>
        </w:rPr>
        <w:t xml:space="preserve"> H</w:t>
      </w:r>
      <w:r w:rsidR="003003C6">
        <w:rPr>
          <w:color w:val="000000" w:themeColor="text1"/>
          <w:sz w:val="24"/>
        </w:rPr>
        <w:t>olmberg, J.</w:t>
      </w:r>
      <w:r w:rsidR="00F317FF" w:rsidRPr="00F317FF">
        <w:rPr>
          <w:color w:val="000000" w:themeColor="text1"/>
          <w:sz w:val="24"/>
        </w:rPr>
        <w:t>, W</w:t>
      </w:r>
      <w:r w:rsidR="003003C6">
        <w:rPr>
          <w:color w:val="000000" w:themeColor="text1"/>
          <w:sz w:val="24"/>
        </w:rPr>
        <w:t>adeskog, A.,</w:t>
      </w:r>
      <w:r w:rsidR="00F317FF" w:rsidRPr="00F317FF">
        <w:rPr>
          <w:color w:val="000000" w:themeColor="text1"/>
          <w:sz w:val="24"/>
        </w:rPr>
        <w:t xml:space="preserve"> </w:t>
      </w:r>
      <w:r w:rsidR="003003C6">
        <w:rPr>
          <w:color w:val="000000" w:themeColor="text1"/>
          <w:sz w:val="24"/>
        </w:rPr>
        <w:t>and</w:t>
      </w:r>
      <w:r w:rsidR="00F317FF" w:rsidRPr="00F317FF">
        <w:rPr>
          <w:color w:val="000000" w:themeColor="text1"/>
          <w:sz w:val="24"/>
        </w:rPr>
        <w:t xml:space="preserve"> N</w:t>
      </w:r>
      <w:r w:rsidR="003003C6">
        <w:rPr>
          <w:color w:val="000000" w:themeColor="text1"/>
          <w:sz w:val="24"/>
        </w:rPr>
        <w:t>yman, M.</w:t>
      </w:r>
      <w:r w:rsidR="00F317FF" w:rsidRPr="00F317FF">
        <w:rPr>
          <w:color w:val="000000" w:themeColor="text1"/>
          <w:sz w:val="24"/>
        </w:rPr>
        <w:t xml:space="preserve"> (2007). Direct and indirect energy use and carbon emissions in the production phase of buildings: an input–output analysis. Energy</w:t>
      </w:r>
      <w:r w:rsidR="003003C6">
        <w:rPr>
          <w:color w:val="000000" w:themeColor="text1"/>
          <w:sz w:val="24"/>
        </w:rPr>
        <w:t>.</w:t>
      </w:r>
      <w:r w:rsidR="00F317FF" w:rsidRPr="00F317FF">
        <w:rPr>
          <w:color w:val="000000" w:themeColor="text1"/>
          <w:sz w:val="24"/>
        </w:rPr>
        <w:t xml:space="preserve"> 32(9), 1593-1602.</w:t>
      </w:r>
      <w:r w:rsidR="003003C6">
        <w:rPr>
          <w:color w:val="000000" w:themeColor="text1"/>
          <w:sz w:val="24"/>
        </w:rPr>
        <w:t xml:space="preserve"> doi: </w:t>
      </w:r>
      <w:r w:rsidR="003003C6" w:rsidRPr="003003C6">
        <w:rPr>
          <w:color w:val="000000" w:themeColor="text1"/>
          <w:sz w:val="24"/>
        </w:rPr>
        <w:t>10.1016/j.energy.2007.01.002</w:t>
      </w:r>
    </w:p>
    <w:p w14:paraId="4C6C92E0" w14:textId="1A06DD6C" w:rsidR="003F49DF" w:rsidRPr="003003C6" w:rsidRDefault="003F49DF" w:rsidP="003003C6">
      <w:pPr>
        <w:pStyle w:val="0"/>
        <w:numPr>
          <w:ilvl w:val="0"/>
          <w:numId w:val="1"/>
        </w:numPr>
        <w:spacing w:line="360" w:lineRule="auto"/>
        <w:rPr>
          <w:color w:val="000000" w:themeColor="text1"/>
          <w:sz w:val="24"/>
        </w:rPr>
      </w:pPr>
      <w:bookmarkStart w:id="34" w:name="_Ref66568071"/>
      <w:r w:rsidRPr="003003C6">
        <w:rPr>
          <w:rFonts w:hint="eastAsia"/>
          <w:color w:val="000000" w:themeColor="text1"/>
          <w:sz w:val="24"/>
        </w:rPr>
        <w:t xml:space="preserve"> </w:t>
      </w:r>
      <w:bookmarkEnd w:id="34"/>
      <w:r w:rsidR="003003C6" w:rsidRPr="003003C6">
        <w:rPr>
          <w:color w:val="000000" w:themeColor="text1"/>
          <w:sz w:val="24"/>
        </w:rPr>
        <w:t>Crawford, R. H. (2008). Validation of a hybrid life-cycle inventory analysis</w:t>
      </w:r>
      <w:r w:rsidR="003003C6" w:rsidRPr="003003C6">
        <w:rPr>
          <w:color w:val="000000" w:themeColor="text1"/>
          <w:sz w:val="24"/>
        </w:rPr>
        <w:t xml:space="preserve"> </w:t>
      </w:r>
      <w:r w:rsidR="003003C6" w:rsidRPr="003003C6">
        <w:rPr>
          <w:color w:val="000000" w:themeColor="text1"/>
          <w:sz w:val="24"/>
        </w:rPr>
        <w:t>method. J. Environ. Manag. 88, 496–506. doi: 10.1016/j.jenvman.2007.03.024</w:t>
      </w:r>
    </w:p>
    <w:p w14:paraId="5089CD28" w14:textId="374F408F" w:rsidR="003F49DF" w:rsidRPr="003003C6" w:rsidRDefault="003F49DF" w:rsidP="003003C6">
      <w:pPr>
        <w:pStyle w:val="0"/>
        <w:numPr>
          <w:ilvl w:val="0"/>
          <w:numId w:val="1"/>
        </w:numPr>
        <w:spacing w:line="360" w:lineRule="auto"/>
        <w:rPr>
          <w:color w:val="000000" w:themeColor="text1"/>
          <w:sz w:val="24"/>
        </w:rPr>
      </w:pPr>
      <w:bookmarkStart w:id="35" w:name="_Ref66568078"/>
      <w:r w:rsidRPr="003003C6">
        <w:rPr>
          <w:rFonts w:hint="eastAsia"/>
          <w:color w:val="000000" w:themeColor="text1"/>
          <w:sz w:val="24"/>
        </w:rPr>
        <w:t xml:space="preserve"> </w:t>
      </w:r>
      <w:bookmarkEnd w:id="35"/>
      <w:r w:rsidR="003003C6" w:rsidRPr="003003C6">
        <w:rPr>
          <w:color w:val="000000" w:themeColor="text1"/>
          <w:sz w:val="24"/>
        </w:rPr>
        <w:t>Su, B., and Ang, B. W. (2014). Input–output analysis of CO2 emissions embodied</w:t>
      </w:r>
      <w:r w:rsidR="003003C6" w:rsidRPr="003003C6">
        <w:rPr>
          <w:color w:val="000000" w:themeColor="text1"/>
          <w:sz w:val="24"/>
        </w:rPr>
        <w:t xml:space="preserve"> </w:t>
      </w:r>
      <w:r w:rsidR="003003C6" w:rsidRPr="003003C6">
        <w:rPr>
          <w:color w:val="000000" w:themeColor="text1"/>
          <w:sz w:val="24"/>
        </w:rPr>
        <w:lastRenderedPageBreak/>
        <w:t>in trade: a multi-region model for china. Appl. Energy 114, 377–384. doi:</w:t>
      </w:r>
      <w:r w:rsidR="003003C6">
        <w:rPr>
          <w:color w:val="000000" w:themeColor="text1"/>
          <w:sz w:val="24"/>
        </w:rPr>
        <w:t xml:space="preserve"> </w:t>
      </w:r>
      <w:r w:rsidR="003003C6" w:rsidRPr="003003C6">
        <w:rPr>
          <w:color w:val="000000" w:themeColor="text1"/>
          <w:sz w:val="24"/>
        </w:rPr>
        <w:t>10.1016/j.apenergy.2013.09.036</w:t>
      </w:r>
    </w:p>
    <w:p w14:paraId="5F1BD939" w14:textId="70EC60EC" w:rsidR="003F49DF" w:rsidRPr="003003C6" w:rsidRDefault="003F49DF" w:rsidP="003003C6">
      <w:pPr>
        <w:pStyle w:val="0"/>
        <w:numPr>
          <w:ilvl w:val="0"/>
          <w:numId w:val="1"/>
        </w:numPr>
        <w:spacing w:line="360" w:lineRule="auto"/>
        <w:rPr>
          <w:color w:val="000000" w:themeColor="text1"/>
          <w:sz w:val="24"/>
        </w:rPr>
      </w:pPr>
      <w:bookmarkStart w:id="36" w:name="_Ref66568085"/>
      <w:r w:rsidRPr="003003C6">
        <w:rPr>
          <w:rFonts w:hint="eastAsia"/>
          <w:color w:val="000000" w:themeColor="text1"/>
          <w:sz w:val="24"/>
        </w:rPr>
        <w:t xml:space="preserve"> </w:t>
      </w:r>
      <w:bookmarkEnd w:id="36"/>
      <w:r w:rsidR="003003C6" w:rsidRPr="003003C6">
        <w:rPr>
          <w:color w:val="000000" w:themeColor="text1"/>
          <w:sz w:val="24"/>
        </w:rPr>
        <w:t>Guan, D. B., Su, X., Zhang, Q., Peters, G. P., Liu, Z., Lei, Y., et al. (2014). The</w:t>
      </w:r>
      <w:r w:rsidR="003003C6" w:rsidRPr="003003C6">
        <w:rPr>
          <w:color w:val="000000" w:themeColor="text1"/>
          <w:sz w:val="24"/>
        </w:rPr>
        <w:t xml:space="preserve"> </w:t>
      </w:r>
      <w:r w:rsidR="003003C6" w:rsidRPr="003003C6">
        <w:rPr>
          <w:color w:val="000000" w:themeColor="text1"/>
          <w:sz w:val="24"/>
        </w:rPr>
        <w:t>socioeconomic drivers of China’s primary PM2.5 emissions. Environ. Res. Lett.</w:t>
      </w:r>
      <w:r w:rsidR="003003C6">
        <w:rPr>
          <w:color w:val="000000" w:themeColor="text1"/>
          <w:sz w:val="24"/>
        </w:rPr>
        <w:t xml:space="preserve"> </w:t>
      </w:r>
      <w:r w:rsidR="003003C6" w:rsidRPr="003003C6">
        <w:rPr>
          <w:color w:val="000000" w:themeColor="text1"/>
          <w:sz w:val="24"/>
        </w:rPr>
        <w:t>9:024010. doi: 10.1088/1748-9326/9/2/024010</w:t>
      </w:r>
    </w:p>
    <w:p w14:paraId="09BB9DBC" w14:textId="080A63CA" w:rsidR="00493D7D" w:rsidRPr="003003C6" w:rsidRDefault="00493D7D" w:rsidP="003003C6">
      <w:pPr>
        <w:pStyle w:val="0"/>
        <w:numPr>
          <w:ilvl w:val="0"/>
          <w:numId w:val="1"/>
        </w:numPr>
        <w:spacing w:line="360" w:lineRule="auto"/>
        <w:rPr>
          <w:color w:val="000000" w:themeColor="text1"/>
          <w:sz w:val="24"/>
        </w:rPr>
      </w:pPr>
      <w:bookmarkStart w:id="37" w:name="_Ref66568118"/>
      <w:r w:rsidRPr="003003C6">
        <w:rPr>
          <w:rFonts w:hint="eastAsia"/>
          <w:color w:val="000000" w:themeColor="text1"/>
          <w:sz w:val="24"/>
        </w:rPr>
        <w:t xml:space="preserve"> </w:t>
      </w:r>
      <w:bookmarkEnd w:id="37"/>
      <w:r w:rsidR="003003C6" w:rsidRPr="003003C6">
        <w:rPr>
          <w:color w:val="000000" w:themeColor="text1"/>
          <w:sz w:val="24"/>
        </w:rPr>
        <w:t>Lin, B., and Sun, C. (2010). Evaluating carbon dioxide emissions in international</w:t>
      </w:r>
      <w:r w:rsidR="003003C6" w:rsidRPr="003003C6">
        <w:rPr>
          <w:color w:val="000000" w:themeColor="text1"/>
          <w:sz w:val="24"/>
        </w:rPr>
        <w:t xml:space="preserve"> </w:t>
      </w:r>
      <w:r w:rsidR="003003C6" w:rsidRPr="003003C6">
        <w:rPr>
          <w:color w:val="000000" w:themeColor="text1"/>
          <w:sz w:val="24"/>
        </w:rPr>
        <w:t>trade of china. Energy Policy 38, 613–621. doi: 10.1016/j.enpol.2009.10.014</w:t>
      </w:r>
    </w:p>
    <w:p w14:paraId="3349E02E" w14:textId="4AB42D5B" w:rsidR="00493D7D" w:rsidRPr="003003C6" w:rsidRDefault="00493D7D" w:rsidP="003003C6">
      <w:pPr>
        <w:pStyle w:val="0"/>
        <w:numPr>
          <w:ilvl w:val="0"/>
          <w:numId w:val="1"/>
        </w:numPr>
        <w:spacing w:line="360" w:lineRule="auto"/>
        <w:rPr>
          <w:color w:val="000000" w:themeColor="text1"/>
          <w:sz w:val="24"/>
        </w:rPr>
      </w:pPr>
      <w:bookmarkStart w:id="38" w:name="_Ref66568126"/>
      <w:r w:rsidRPr="003003C6">
        <w:rPr>
          <w:rFonts w:hint="eastAsia"/>
          <w:color w:val="000000" w:themeColor="text1"/>
          <w:sz w:val="24"/>
        </w:rPr>
        <w:t xml:space="preserve"> </w:t>
      </w:r>
      <w:bookmarkEnd w:id="38"/>
      <w:r w:rsidR="003003C6" w:rsidRPr="003003C6">
        <w:rPr>
          <w:color w:val="000000" w:themeColor="text1"/>
          <w:sz w:val="24"/>
        </w:rPr>
        <w:t>Su, B., and Ang, B. W. (2013). Input–output analysis of CO2 emissions embodied</w:t>
      </w:r>
      <w:r w:rsidR="003003C6" w:rsidRPr="003003C6">
        <w:rPr>
          <w:color w:val="000000" w:themeColor="text1"/>
          <w:sz w:val="24"/>
        </w:rPr>
        <w:t xml:space="preserve"> </w:t>
      </w:r>
      <w:r w:rsidR="003003C6" w:rsidRPr="003003C6">
        <w:rPr>
          <w:color w:val="000000" w:themeColor="text1"/>
          <w:sz w:val="24"/>
        </w:rPr>
        <w:t>in trade: competitive versus non-competitive imports. Energy Policy 56, 83–87.</w:t>
      </w:r>
      <w:r w:rsidR="003003C6" w:rsidRPr="003003C6">
        <w:rPr>
          <w:color w:val="000000" w:themeColor="text1"/>
          <w:sz w:val="24"/>
        </w:rPr>
        <w:t xml:space="preserve"> </w:t>
      </w:r>
      <w:r w:rsidR="003003C6" w:rsidRPr="003003C6">
        <w:rPr>
          <w:color w:val="000000" w:themeColor="text1"/>
          <w:sz w:val="24"/>
        </w:rPr>
        <w:t>doi: 10.1016/j.enpol.2013.01.041</w:t>
      </w:r>
    </w:p>
    <w:p w14:paraId="1114CDA2" w14:textId="76DF1112" w:rsidR="00493D7D" w:rsidRPr="003003C6" w:rsidRDefault="00493D7D" w:rsidP="003003C6">
      <w:pPr>
        <w:pStyle w:val="0"/>
        <w:numPr>
          <w:ilvl w:val="0"/>
          <w:numId w:val="1"/>
        </w:numPr>
        <w:spacing w:line="360" w:lineRule="auto"/>
        <w:rPr>
          <w:color w:val="000000" w:themeColor="text1"/>
          <w:sz w:val="24"/>
        </w:rPr>
      </w:pPr>
      <w:bookmarkStart w:id="39" w:name="_Ref66568134"/>
      <w:r w:rsidRPr="003003C6">
        <w:rPr>
          <w:rFonts w:hint="eastAsia"/>
          <w:color w:val="000000" w:themeColor="text1"/>
          <w:sz w:val="24"/>
        </w:rPr>
        <w:t xml:space="preserve"> </w:t>
      </w:r>
      <w:bookmarkEnd w:id="39"/>
      <w:r w:rsidR="003003C6" w:rsidRPr="003003C6">
        <w:rPr>
          <w:color w:val="000000" w:themeColor="text1"/>
          <w:sz w:val="24"/>
        </w:rPr>
        <w:t>Weber, C. L., and Matthews, H. S. (2007). Embodied environmental emissions</w:t>
      </w:r>
      <w:r w:rsidR="003003C6" w:rsidRPr="003003C6">
        <w:rPr>
          <w:color w:val="000000" w:themeColor="text1"/>
          <w:sz w:val="24"/>
        </w:rPr>
        <w:t xml:space="preserve"> </w:t>
      </w:r>
      <w:r w:rsidR="003003C6" w:rsidRPr="003003C6">
        <w:rPr>
          <w:color w:val="000000" w:themeColor="text1"/>
          <w:sz w:val="24"/>
        </w:rPr>
        <w:t xml:space="preserve">in </w:t>
      </w:r>
      <w:r w:rsidR="003003C6">
        <w:rPr>
          <w:color w:val="000000" w:themeColor="text1"/>
          <w:sz w:val="24"/>
        </w:rPr>
        <w:t>U.S</w:t>
      </w:r>
      <w:r w:rsidR="003003C6" w:rsidRPr="003003C6">
        <w:rPr>
          <w:color w:val="000000" w:themeColor="text1"/>
          <w:sz w:val="24"/>
        </w:rPr>
        <w:t>. international trade, 1997-2004. Environ. Sci. Technol. 41, 4875–4881.</w:t>
      </w:r>
      <w:r w:rsidR="003003C6" w:rsidRPr="003003C6">
        <w:rPr>
          <w:color w:val="000000" w:themeColor="text1"/>
          <w:sz w:val="24"/>
        </w:rPr>
        <w:t xml:space="preserve"> </w:t>
      </w:r>
      <w:r w:rsidR="003003C6" w:rsidRPr="003003C6">
        <w:rPr>
          <w:color w:val="000000" w:themeColor="text1"/>
          <w:sz w:val="24"/>
        </w:rPr>
        <w:t>doi: 10.1021/es0629110</w:t>
      </w:r>
    </w:p>
    <w:p w14:paraId="4A68D803" w14:textId="20BDBE70" w:rsidR="00493D7D" w:rsidRPr="003003C6" w:rsidRDefault="00493D7D" w:rsidP="003003C6">
      <w:pPr>
        <w:pStyle w:val="0"/>
        <w:numPr>
          <w:ilvl w:val="0"/>
          <w:numId w:val="1"/>
        </w:numPr>
        <w:spacing w:line="360" w:lineRule="auto"/>
        <w:rPr>
          <w:color w:val="000000" w:themeColor="text1"/>
          <w:sz w:val="24"/>
        </w:rPr>
      </w:pPr>
      <w:bookmarkStart w:id="40" w:name="_Ref66568142"/>
      <w:r w:rsidRPr="003003C6">
        <w:rPr>
          <w:rFonts w:hint="eastAsia"/>
          <w:color w:val="000000" w:themeColor="text1"/>
          <w:sz w:val="24"/>
        </w:rPr>
        <w:t xml:space="preserve"> </w:t>
      </w:r>
      <w:bookmarkEnd w:id="40"/>
      <w:r w:rsidR="003003C6" w:rsidRPr="003003C6">
        <w:rPr>
          <w:color w:val="000000" w:themeColor="text1"/>
          <w:sz w:val="24"/>
        </w:rPr>
        <w:t>Baiocchi, G., Minx, J., and Hubacek, K. (2010). The impact of social factors and</w:t>
      </w:r>
      <w:r w:rsidR="003003C6" w:rsidRPr="003003C6">
        <w:rPr>
          <w:color w:val="000000" w:themeColor="text1"/>
          <w:sz w:val="24"/>
        </w:rPr>
        <w:t xml:space="preserve"> </w:t>
      </w:r>
      <w:r w:rsidR="003003C6" w:rsidRPr="003003C6">
        <w:rPr>
          <w:color w:val="000000" w:themeColor="text1"/>
          <w:sz w:val="24"/>
        </w:rPr>
        <w:t>consumer behavior on carbon dioxide emissions in the United Kingdom. J. Ind.</w:t>
      </w:r>
      <w:r w:rsidR="003003C6" w:rsidRPr="003003C6">
        <w:rPr>
          <w:color w:val="000000" w:themeColor="text1"/>
          <w:sz w:val="24"/>
        </w:rPr>
        <w:t xml:space="preserve"> </w:t>
      </w:r>
      <w:r w:rsidR="003003C6" w:rsidRPr="003003C6">
        <w:rPr>
          <w:color w:val="000000" w:themeColor="text1"/>
          <w:sz w:val="24"/>
        </w:rPr>
        <w:t>Ecol. 14, 50–72. doi: 10.1111/j.1530-9290.2009.00216.x</w:t>
      </w:r>
    </w:p>
    <w:p w14:paraId="0A202FA5" w14:textId="616AE875" w:rsidR="00493D7D" w:rsidRPr="00B66623" w:rsidRDefault="00493D7D" w:rsidP="00B66623">
      <w:pPr>
        <w:pStyle w:val="0"/>
        <w:numPr>
          <w:ilvl w:val="0"/>
          <w:numId w:val="1"/>
        </w:numPr>
        <w:spacing w:line="360" w:lineRule="auto"/>
        <w:rPr>
          <w:color w:val="000000" w:themeColor="text1"/>
          <w:sz w:val="24"/>
        </w:rPr>
      </w:pPr>
      <w:bookmarkStart w:id="41" w:name="_Ref66568148"/>
      <w:r w:rsidRPr="00B66623">
        <w:rPr>
          <w:rFonts w:hint="eastAsia"/>
          <w:color w:val="000000" w:themeColor="text1"/>
          <w:sz w:val="24"/>
        </w:rPr>
        <w:t xml:space="preserve"> </w:t>
      </w:r>
      <w:bookmarkEnd w:id="41"/>
      <w:r w:rsidR="00B66623" w:rsidRPr="00B66623">
        <w:rPr>
          <w:color w:val="000000" w:themeColor="text1"/>
          <w:sz w:val="24"/>
        </w:rPr>
        <w:t>Pachauri, S., and Spreng, D. (2002). Direct and Indirect Energy Requirements of</w:t>
      </w:r>
      <w:r w:rsidR="00B66623" w:rsidRPr="00B66623">
        <w:rPr>
          <w:color w:val="000000" w:themeColor="text1"/>
          <w:sz w:val="24"/>
        </w:rPr>
        <w:t xml:space="preserve"> </w:t>
      </w:r>
      <w:r w:rsidR="00B66623" w:rsidRPr="00B66623">
        <w:rPr>
          <w:color w:val="000000" w:themeColor="text1"/>
          <w:sz w:val="24"/>
        </w:rPr>
        <w:t>Households in India. Berlin: Springer.</w:t>
      </w:r>
    </w:p>
    <w:p w14:paraId="3F55384C" w14:textId="4D16EE91" w:rsidR="00493D7D" w:rsidRPr="00B66623" w:rsidRDefault="00493D7D" w:rsidP="00B66623">
      <w:pPr>
        <w:pStyle w:val="0"/>
        <w:numPr>
          <w:ilvl w:val="0"/>
          <w:numId w:val="1"/>
        </w:numPr>
        <w:spacing w:line="360" w:lineRule="auto"/>
        <w:rPr>
          <w:color w:val="000000" w:themeColor="text1"/>
          <w:sz w:val="24"/>
        </w:rPr>
      </w:pPr>
      <w:bookmarkStart w:id="42" w:name="_Ref66568155"/>
      <w:r w:rsidRPr="00B66623">
        <w:rPr>
          <w:rFonts w:hint="eastAsia"/>
          <w:color w:val="000000" w:themeColor="text1"/>
          <w:sz w:val="24"/>
        </w:rPr>
        <w:t xml:space="preserve"> </w:t>
      </w:r>
      <w:bookmarkEnd w:id="42"/>
      <w:r w:rsidR="00B66623" w:rsidRPr="00B66623">
        <w:rPr>
          <w:color w:val="000000" w:themeColor="text1"/>
          <w:sz w:val="24"/>
        </w:rPr>
        <w:t>Liu, L. C., Wu, G., Wang, J. N., and Wei, Y. M. (2011). China’s carbon emissions</w:t>
      </w:r>
      <w:r w:rsidR="00B66623" w:rsidRPr="00B66623">
        <w:rPr>
          <w:color w:val="000000" w:themeColor="text1"/>
          <w:sz w:val="24"/>
        </w:rPr>
        <w:t xml:space="preserve"> </w:t>
      </w:r>
      <w:r w:rsidR="00B66623" w:rsidRPr="00B66623">
        <w:rPr>
          <w:color w:val="000000" w:themeColor="text1"/>
          <w:sz w:val="24"/>
        </w:rPr>
        <w:t>from urban and rural households during 1992–2007. J. Clean. Prod. 19, 1754–1762. doi: 10.1016/j.jclepro.2011.06.011</w:t>
      </w:r>
    </w:p>
    <w:p w14:paraId="0DC32026" w14:textId="61C43B3C" w:rsidR="00493D7D" w:rsidRPr="00B66623" w:rsidRDefault="00493D7D" w:rsidP="00B66623">
      <w:pPr>
        <w:pStyle w:val="0"/>
        <w:numPr>
          <w:ilvl w:val="0"/>
          <w:numId w:val="1"/>
        </w:numPr>
        <w:spacing w:line="360" w:lineRule="auto"/>
        <w:rPr>
          <w:color w:val="000000" w:themeColor="text1"/>
          <w:sz w:val="24"/>
        </w:rPr>
      </w:pPr>
      <w:bookmarkStart w:id="43" w:name="_Ref66568163"/>
      <w:r w:rsidRPr="00B66623">
        <w:rPr>
          <w:rFonts w:hint="eastAsia"/>
          <w:color w:val="000000" w:themeColor="text1"/>
          <w:sz w:val="24"/>
        </w:rPr>
        <w:t xml:space="preserve"> </w:t>
      </w:r>
      <w:bookmarkEnd w:id="43"/>
      <w:r w:rsidR="00B66623" w:rsidRPr="00B66623">
        <w:rPr>
          <w:color w:val="000000" w:themeColor="text1"/>
          <w:sz w:val="24"/>
        </w:rPr>
        <w:t>Chen, G. Q., and Zhang, B. (2010). Greenhouse gas emissions in china 2007:</w:t>
      </w:r>
      <w:r w:rsidR="00B66623" w:rsidRPr="00B66623">
        <w:rPr>
          <w:color w:val="000000" w:themeColor="text1"/>
          <w:sz w:val="24"/>
        </w:rPr>
        <w:t xml:space="preserve"> </w:t>
      </w:r>
      <w:r w:rsidR="00B66623" w:rsidRPr="00B66623">
        <w:rPr>
          <w:color w:val="000000" w:themeColor="text1"/>
          <w:sz w:val="24"/>
        </w:rPr>
        <w:t>inventory and input-output analysis. Energy Policy 38, 6180–6193. doi: 10.1016/j.enpol.2010.06.004</w:t>
      </w:r>
    </w:p>
    <w:p w14:paraId="7D2FF649" w14:textId="0E9BADB4" w:rsidR="00493D7D" w:rsidRPr="00B66623" w:rsidRDefault="00493D7D" w:rsidP="00B66623">
      <w:pPr>
        <w:pStyle w:val="0"/>
        <w:numPr>
          <w:ilvl w:val="0"/>
          <w:numId w:val="1"/>
        </w:numPr>
        <w:spacing w:line="360" w:lineRule="auto"/>
        <w:rPr>
          <w:color w:val="000000" w:themeColor="text1"/>
          <w:sz w:val="24"/>
        </w:rPr>
      </w:pPr>
      <w:bookmarkStart w:id="44" w:name="_Ref66568169"/>
      <w:r w:rsidRPr="00B66623">
        <w:rPr>
          <w:rFonts w:hint="eastAsia"/>
          <w:color w:val="000000" w:themeColor="text1"/>
          <w:sz w:val="24"/>
        </w:rPr>
        <w:t xml:space="preserve"> </w:t>
      </w:r>
      <w:bookmarkEnd w:id="44"/>
      <w:r w:rsidR="00B66623" w:rsidRPr="00B66623">
        <w:rPr>
          <w:color w:val="000000" w:themeColor="text1"/>
          <w:sz w:val="24"/>
        </w:rPr>
        <w:t>Chen, G. Q., and Chen, Z. M. (2010). Carbon emissions and resources use by</w:t>
      </w:r>
      <w:r w:rsidR="00B66623" w:rsidRPr="00B66623">
        <w:rPr>
          <w:color w:val="000000" w:themeColor="text1"/>
          <w:sz w:val="24"/>
        </w:rPr>
        <w:t xml:space="preserve"> </w:t>
      </w:r>
      <w:r w:rsidR="00B66623" w:rsidRPr="00B66623">
        <w:rPr>
          <w:color w:val="000000" w:themeColor="text1"/>
          <w:sz w:val="24"/>
        </w:rPr>
        <w:t>Chinese economy 2007: a 135-sector inventory and input–output embodiment.</w:t>
      </w:r>
      <w:r w:rsidR="00B66623" w:rsidRPr="00B66623">
        <w:rPr>
          <w:color w:val="000000" w:themeColor="text1"/>
          <w:sz w:val="24"/>
        </w:rPr>
        <w:t xml:space="preserve"> </w:t>
      </w:r>
      <w:r w:rsidR="00B66623" w:rsidRPr="00B66623">
        <w:rPr>
          <w:color w:val="000000" w:themeColor="text1"/>
          <w:sz w:val="24"/>
        </w:rPr>
        <w:t>Commun. Nonlinear Sci. Numer. Simul. 15, 3647–3732. doi: 10.1016/j.cnsns.2009.12.024</w:t>
      </w:r>
    </w:p>
    <w:p w14:paraId="1A42CF73" w14:textId="1A7F9D34" w:rsidR="00493D7D" w:rsidRPr="00B66623" w:rsidRDefault="00493D7D" w:rsidP="00B66623">
      <w:pPr>
        <w:pStyle w:val="0"/>
        <w:numPr>
          <w:ilvl w:val="0"/>
          <w:numId w:val="1"/>
        </w:numPr>
        <w:spacing w:line="360" w:lineRule="auto"/>
        <w:rPr>
          <w:color w:val="000000" w:themeColor="text1"/>
          <w:sz w:val="24"/>
        </w:rPr>
      </w:pPr>
      <w:bookmarkStart w:id="45" w:name="_Ref66568176"/>
      <w:r w:rsidRPr="00B66623">
        <w:rPr>
          <w:rFonts w:hint="eastAsia"/>
          <w:color w:val="000000" w:themeColor="text1"/>
          <w:sz w:val="24"/>
        </w:rPr>
        <w:t xml:space="preserve"> </w:t>
      </w:r>
      <w:bookmarkEnd w:id="45"/>
      <w:r w:rsidR="00B66623" w:rsidRPr="00B66623">
        <w:rPr>
          <w:color w:val="000000" w:themeColor="text1"/>
          <w:sz w:val="24"/>
        </w:rPr>
        <w:t>Bruckner, M., Giljum, S., Lutz, C., and Wiebe, K. S. (2012). Materials embodied in</w:t>
      </w:r>
      <w:r w:rsidR="00B66623" w:rsidRPr="00B66623">
        <w:rPr>
          <w:color w:val="000000" w:themeColor="text1"/>
          <w:sz w:val="24"/>
        </w:rPr>
        <w:t xml:space="preserve"> </w:t>
      </w:r>
      <w:r w:rsidR="00B66623" w:rsidRPr="00B66623">
        <w:rPr>
          <w:color w:val="000000" w:themeColor="text1"/>
          <w:sz w:val="24"/>
        </w:rPr>
        <w:t>international trade – global material extraction and consumption between 1995</w:t>
      </w:r>
      <w:r w:rsidR="00B66623" w:rsidRPr="00B66623">
        <w:rPr>
          <w:color w:val="000000" w:themeColor="text1"/>
          <w:sz w:val="24"/>
        </w:rPr>
        <w:t xml:space="preserve"> </w:t>
      </w:r>
      <w:r w:rsidR="00B66623" w:rsidRPr="00B66623">
        <w:rPr>
          <w:color w:val="000000" w:themeColor="text1"/>
          <w:sz w:val="24"/>
        </w:rPr>
        <w:lastRenderedPageBreak/>
        <w:t>and 2005. Global Environ. Change 22, 568–576. doi: 10.1016/j.gloenvcha.2012.03.011</w:t>
      </w:r>
    </w:p>
    <w:p w14:paraId="5E250181" w14:textId="069674DF" w:rsidR="00493D7D" w:rsidRPr="00B66623" w:rsidRDefault="00493D7D" w:rsidP="00B66623">
      <w:pPr>
        <w:pStyle w:val="0"/>
        <w:numPr>
          <w:ilvl w:val="0"/>
          <w:numId w:val="1"/>
        </w:numPr>
        <w:spacing w:line="360" w:lineRule="auto"/>
        <w:rPr>
          <w:color w:val="000000" w:themeColor="text1"/>
          <w:sz w:val="24"/>
        </w:rPr>
      </w:pPr>
      <w:bookmarkStart w:id="46" w:name="_Ref66568182"/>
      <w:r w:rsidRPr="00B66623">
        <w:rPr>
          <w:rFonts w:hint="eastAsia"/>
          <w:color w:val="000000" w:themeColor="text1"/>
          <w:sz w:val="24"/>
        </w:rPr>
        <w:t xml:space="preserve"> </w:t>
      </w:r>
      <w:bookmarkEnd w:id="46"/>
      <w:r w:rsidR="00B66623" w:rsidRPr="00B66623">
        <w:rPr>
          <w:color w:val="000000" w:themeColor="text1"/>
          <w:sz w:val="24"/>
        </w:rPr>
        <w:t>Chen, Z. M., Chen, G. Q., Zhou, J. B., Jiang, M. M., and Chen, B. (2010).</w:t>
      </w:r>
      <w:r w:rsidR="00B66623" w:rsidRPr="00B66623">
        <w:rPr>
          <w:color w:val="000000" w:themeColor="text1"/>
          <w:sz w:val="24"/>
        </w:rPr>
        <w:t xml:space="preserve"> </w:t>
      </w:r>
      <w:r w:rsidR="00B66623" w:rsidRPr="00B66623">
        <w:rPr>
          <w:color w:val="000000" w:themeColor="text1"/>
          <w:sz w:val="24"/>
        </w:rPr>
        <w:t>Ecological input-output modeling for embodied resources and emissions in</w:t>
      </w:r>
      <w:r w:rsidR="00B66623" w:rsidRPr="00B66623">
        <w:rPr>
          <w:color w:val="000000" w:themeColor="text1"/>
          <w:sz w:val="24"/>
        </w:rPr>
        <w:t xml:space="preserve"> </w:t>
      </w:r>
      <w:r w:rsidR="00B66623" w:rsidRPr="00B66623">
        <w:rPr>
          <w:color w:val="000000" w:themeColor="text1"/>
          <w:sz w:val="24"/>
        </w:rPr>
        <w:t>Chinese economy 2005. Commun. Nonlinear Sci. Numer. Simul. 15, 1942–1965.</w:t>
      </w:r>
      <w:r w:rsidR="00B66623" w:rsidRPr="00B66623">
        <w:rPr>
          <w:color w:val="000000" w:themeColor="text1"/>
          <w:sz w:val="24"/>
        </w:rPr>
        <w:t xml:space="preserve"> </w:t>
      </w:r>
      <w:r w:rsidR="00B66623" w:rsidRPr="00B66623">
        <w:rPr>
          <w:color w:val="000000" w:themeColor="text1"/>
          <w:sz w:val="24"/>
        </w:rPr>
        <w:t>doi: 10.1016/j.cnsns.2009.08.001</w:t>
      </w:r>
    </w:p>
    <w:p w14:paraId="4904E122" w14:textId="63DD9F73" w:rsidR="00493D7D" w:rsidRPr="00B66623" w:rsidRDefault="00493D7D" w:rsidP="00B66623">
      <w:pPr>
        <w:pStyle w:val="0"/>
        <w:numPr>
          <w:ilvl w:val="0"/>
          <w:numId w:val="1"/>
        </w:numPr>
        <w:spacing w:line="360" w:lineRule="auto"/>
        <w:rPr>
          <w:color w:val="000000" w:themeColor="text1"/>
          <w:sz w:val="24"/>
        </w:rPr>
      </w:pPr>
      <w:bookmarkStart w:id="47" w:name="_Ref66568188"/>
      <w:r w:rsidRPr="00B66623">
        <w:rPr>
          <w:rFonts w:hint="eastAsia"/>
          <w:color w:val="000000" w:themeColor="text1"/>
          <w:sz w:val="24"/>
        </w:rPr>
        <w:t xml:space="preserve"> </w:t>
      </w:r>
      <w:bookmarkEnd w:id="47"/>
      <w:r w:rsidR="00B66623" w:rsidRPr="00B66623">
        <w:rPr>
          <w:color w:val="000000" w:themeColor="text1"/>
          <w:sz w:val="24"/>
        </w:rPr>
        <w:t>Chen, Z. M., and Chen, G. Q. (2011). Embodied carbon dioxide emission at supranational</w:t>
      </w:r>
      <w:r w:rsidR="00B66623" w:rsidRPr="00B66623">
        <w:rPr>
          <w:color w:val="000000" w:themeColor="text1"/>
          <w:sz w:val="24"/>
        </w:rPr>
        <w:t xml:space="preserve"> </w:t>
      </w:r>
      <w:r w:rsidR="00B66623" w:rsidRPr="00B66623">
        <w:rPr>
          <w:color w:val="000000" w:themeColor="text1"/>
          <w:sz w:val="24"/>
        </w:rPr>
        <w:t>scale: a coalition analysis for G7, BRIC, and the rest of the world.</w:t>
      </w:r>
      <w:r w:rsidR="00B66623" w:rsidRPr="00B66623">
        <w:rPr>
          <w:color w:val="000000" w:themeColor="text1"/>
          <w:sz w:val="24"/>
        </w:rPr>
        <w:t xml:space="preserve"> </w:t>
      </w:r>
      <w:r w:rsidR="00B66623" w:rsidRPr="00B66623">
        <w:rPr>
          <w:color w:val="000000" w:themeColor="text1"/>
          <w:sz w:val="24"/>
        </w:rPr>
        <w:t>Energy Policy 39, 2899–2909. doi: 10.1016/j.enpol.2011.02.068</w:t>
      </w:r>
    </w:p>
    <w:p w14:paraId="1C1259EB" w14:textId="711CAFD7" w:rsidR="00493D7D" w:rsidRPr="00B66623" w:rsidRDefault="00493D7D" w:rsidP="00B66623">
      <w:pPr>
        <w:pStyle w:val="0"/>
        <w:numPr>
          <w:ilvl w:val="0"/>
          <w:numId w:val="1"/>
        </w:numPr>
        <w:spacing w:line="360" w:lineRule="auto"/>
        <w:rPr>
          <w:color w:val="000000" w:themeColor="text1"/>
          <w:sz w:val="24"/>
        </w:rPr>
      </w:pPr>
      <w:bookmarkStart w:id="48" w:name="_Ref66568196"/>
      <w:r w:rsidRPr="00B66623">
        <w:rPr>
          <w:rFonts w:hint="eastAsia"/>
          <w:color w:val="000000" w:themeColor="text1"/>
          <w:sz w:val="24"/>
        </w:rPr>
        <w:t xml:space="preserve"> </w:t>
      </w:r>
      <w:bookmarkEnd w:id="48"/>
      <w:r w:rsidR="00B66623" w:rsidRPr="00B66623">
        <w:rPr>
          <w:color w:val="000000" w:themeColor="text1"/>
          <w:sz w:val="24"/>
        </w:rPr>
        <w:t>Hanley, N., McGregor, P. G., Swales, J. K., and Turner, K. (2009). Do increases in</w:t>
      </w:r>
      <w:r w:rsidR="00B66623" w:rsidRPr="00B66623">
        <w:rPr>
          <w:color w:val="000000" w:themeColor="text1"/>
          <w:sz w:val="24"/>
        </w:rPr>
        <w:t xml:space="preserve"> </w:t>
      </w:r>
      <w:r w:rsidR="00B66623" w:rsidRPr="00B66623">
        <w:rPr>
          <w:color w:val="000000" w:themeColor="text1"/>
          <w:sz w:val="24"/>
        </w:rPr>
        <w:t>energy efficiency improve environmental quality and sustainability? Ecol. Econ.</w:t>
      </w:r>
      <w:r w:rsidR="00B66623" w:rsidRPr="00B66623">
        <w:rPr>
          <w:color w:val="000000" w:themeColor="text1"/>
          <w:sz w:val="24"/>
        </w:rPr>
        <w:t xml:space="preserve"> </w:t>
      </w:r>
      <w:r w:rsidR="00B66623" w:rsidRPr="00B66623">
        <w:rPr>
          <w:color w:val="000000" w:themeColor="text1"/>
          <w:sz w:val="24"/>
        </w:rPr>
        <w:t>68, 692–709. doi: 10.1016/j.ecolecon.2008.06.004</w:t>
      </w:r>
    </w:p>
    <w:p w14:paraId="14B85B09" w14:textId="59EE6EDD" w:rsidR="00493D7D" w:rsidRPr="007E12B7" w:rsidRDefault="00493D7D" w:rsidP="007E12B7">
      <w:pPr>
        <w:pStyle w:val="0"/>
        <w:numPr>
          <w:ilvl w:val="0"/>
          <w:numId w:val="1"/>
        </w:numPr>
        <w:spacing w:line="360" w:lineRule="auto"/>
        <w:rPr>
          <w:color w:val="000000" w:themeColor="text1"/>
          <w:sz w:val="24"/>
        </w:rPr>
      </w:pPr>
      <w:bookmarkStart w:id="49" w:name="_Ref66568202"/>
      <w:r w:rsidRPr="007E12B7">
        <w:rPr>
          <w:rFonts w:hint="eastAsia"/>
          <w:color w:val="000000" w:themeColor="text1"/>
          <w:sz w:val="24"/>
        </w:rPr>
        <w:t xml:space="preserve"> </w:t>
      </w:r>
      <w:bookmarkEnd w:id="49"/>
      <w:r w:rsidR="007E12B7" w:rsidRPr="007E12B7">
        <w:rPr>
          <w:color w:val="000000" w:themeColor="text1"/>
          <w:sz w:val="24"/>
        </w:rPr>
        <w:t>Thomas, B. A., and Azevedo, I. L. (2013). Estimating direct and indirect rebound</w:t>
      </w:r>
      <w:r w:rsidR="007E12B7" w:rsidRPr="007E12B7">
        <w:rPr>
          <w:color w:val="000000" w:themeColor="text1"/>
          <w:sz w:val="24"/>
        </w:rPr>
        <w:t xml:space="preserve"> </w:t>
      </w:r>
      <w:r w:rsidR="007E12B7" w:rsidRPr="007E12B7">
        <w:rPr>
          <w:color w:val="000000" w:themeColor="text1"/>
          <w:sz w:val="24"/>
        </w:rPr>
        <w:t>effects for U.S. households with input–output analysis Part 1: theoretical</w:t>
      </w:r>
      <w:r w:rsidR="007E12B7" w:rsidRPr="007E12B7">
        <w:rPr>
          <w:color w:val="000000" w:themeColor="text1"/>
          <w:sz w:val="24"/>
        </w:rPr>
        <w:t xml:space="preserve"> </w:t>
      </w:r>
      <w:r w:rsidR="007E12B7" w:rsidRPr="007E12B7">
        <w:rPr>
          <w:color w:val="000000" w:themeColor="text1"/>
          <w:sz w:val="24"/>
        </w:rPr>
        <w:t>framework. Ecol. Econo. 86, 199–210. doi: 10.1016/j.ecolecon.2012.12.003</w:t>
      </w:r>
    </w:p>
    <w:p w14:paraId="59D03A9D" w14:textId="774F4E39" w:rsidR="00493D7D" w:rsidRPr="007E12B7" w:rsidRDefault="00493D7D" w:rsidP="007E12B7">
      <w:pPr>
        <w:pStyle w:val="0"/>
        <w:numPr>
          <w:ilvl w:val="0"/>
          <w:numId w:val="1"/>
        </w:numPr>
        <w:spacing w:line="360" w:lineRule="auto"/>
        <w:rPr>
          <w:color w:val="000000" w:themeColor="text1"/>
          <w:sz w:val="24"/>
        </w:rPr>
      </w:pPr>
      <w:bookmarkStart w:id="50" w:name="_Ref66568211"/>
      <w:r w:rsidRPr="007E12B7">
        <w:rPr>
          <w:rFonts w:hint="eastAsia"/>
          <w:color w:val="000000" w:themeColor="text1"/>
          <w:sz w:val="24"/>
        </w:rPr>
        <w:t xml:space="preserve"> </w:t>
      </w:r>
      <w:bookmarkEnd w:id="50"/>
      <w:r w:rsidR="007E12B7" w:rsidRPr="007E12B7">
        <w:rPr>
          <w:color w:val="000000" w:themeColor="text1"/>
          <w:sz w:val="24"/>
        </w:rPr>
        <w:t>Wiebe, K. S., Bruckner, M., Giljum, S., Lutz, C., and Polzin, C. (2012). Carbon and</w:t>
      </w:r>
      <w:r w:rsidR="007E12B7" w:rsidRPr="007E12B7">
        <w:rPr>
          <w:color w:val="000000" w:themeColor="text1"/>
          <w:sz w:val="24"/>
        </w:rPr>
        <w:t xml:space="preserve"> </w:t>
      </w:r>
      <w:r w:rsidR="007E12B7" w:rsidRPr="007E12B7">
        <w:rPr>
          <w:color w:val="000000" w:themeColor="text1"/>
          <w:sz w:val="24"/>
        </w:rPr>
        <w:t>materials embodied in the international trade of emerging economies. J. Ind.</w:t>
      </w:r>
      <w:r w:rsidR="007E12B7" w:rsidRPr="007E12B7">
        <w:rPr>
          <w:color w:val="000000" w:themeColor="text1"/>
          <w:sz w:val="24"/>
        </w:rPr>
        <w:t xml:space="preserve"> </w:t>
      </w:r>
      <w:r w:rsidR="007E12B7" w:rsidRPr="007E12B7">
        <w:rPr>
          <w:color w:val="000000" w:themeColor="text1"/>
          <w:sz w:val="24"/>
        </w:rPr>
        <w:t>Ecol. 16, 636–646. doi: 10.1111/j.1530-9290.2012.00504.x</w:t>
      </w:r>
    </w:p>
    <w:p w14:paraId="5827FA9E" w14:textId="4400747D" w:rsidR="00493D7D" w:rsidRPr="007E12B7" w:rsidRDefault="00493D7D" w:rsidP="007E12B7">
      <w:pPr>
        <w:pStyle w:val="0"/>
        <w:numPr>
          <w:ilvl w:val="0"/>
          <w:numId w:val="1"/>
        </w:numPr>
        <w:spacing w:line="360" w:lineRule="auto"/>
        <w:rPr>
          <w:color w:val="000000" w:themeColor="text1"/>
          <w:sz w:val="24"/>
        </w:rPr>
      </w:pPr>
      <w:bookmarkStart w:id="51" w:name="_Ref66568219"/>
      <w:r w:rsidRPr="007E12B7">
        <w:rPr>
          <w:rFonts w:hint="eastAsia"/>
          <w:color w:val="000000" w:themeColor="text1"/>
          <w:sz w:val="24"/>
        </w:rPr>
        <w:t xml:space="preserve"> </w:t>
      </w:r>
      <w:bookmarkEnd w:id="51"/>
      <w:r w:rsidR="007E12B7" w:rsidRPr="007E12B7">
        <w:rPr>
          <w:color w:val="000000" w:themeColor="text1"/>
          <w:sz w:val="24"/>
        </w:rPr>
        <w:t>Zhang, P., and Peeta, S. (2011). A generalized modeling framework to analyze</w:t>
      </w:r>
      <w:r w:rsidR="007E12B7" w:rsidRPr="007E12B7">
        <w:rPr>
          <w:color w:val="000000" w:themeColor="text1"/>
          <w:sz w:val="24"/>
        </w:rPr>
        <w:t xml:space="preserve"> </w:t>
      </w:r>
      <w:r w:rsidR="007E12B7" w:rsidRPr="007E12B7">
        <w:rPr>
          <w:color w:val="000000" w:themeColor="text1"/>
          <w:sz w:val="24"/>
        </w:rPr>
        <w:t>interdependencies among infrastructure systems. Transp. Res. B Methodol. 45,</w:t>
      </w:r>
      <w:r w:rsidR="007E12B7" w:rsidRPr="007E12B7">
        <w:rPr>
          <w:color w:val="000000" w:themeColor="text1"/>
          <w:sz w:val="24"/>
        </w:rPr>
        <w:t xml:space="preserve"> </w:t>
      </w:r>
      <w:r w:rsidR="007E12B7" w:rsidRPr="007E12B7">
        <w:rPr>
          <w:color w:val="000000" w:themeColor="text1"/>
          <w:sz w:val="24"/>
        </w:rPr>
        <w:t>553–579. doi: 10.1016/j.trb.2010.10.001</w:t>
      </w:r>
    </w:p>
    <w:p w14:paraId="1B5C4506" w14:textId="32708C9D" w:rsidR="00493D7D" w:rsidRPr="007E12B7" w:rsidRDefault="00493D7D" w:rsidP="007E12B7">
      <w:pPr>
        <w:pStyle w:val="0"/>
        <w:numPr>
          <w:ilvl w:val="0"/>
          <w:numId w:val="1"/>
        </w:numPr>
        <w:spacing w:line="360" w:lineRule="auto"/>
        <w:rPr>
          <w:color w:val="000000" w:themeColor="text1"/>
          <w:sz w:val="24"/>
        </w:rPr>
      </w:pPr>
      <w:bookmarkStart w:id="52" w:name="_Ref66568225"/>
      <w:r w:rsidRPr="007E12B7">
        <w:rPr>
          <w:rFonts w:hint="eastAsia"/>
          <w:color w:val="000000" w:themeColor="text1"/>
          <w:sz w:val="24"/>
        </w:rPr>
        <w:t xml:space="preserve"> </w:t>
      </w:r>
      <w:bookmarkEnd w:id="52"/>
      <w:r w:rsidR="007E12B7" w:rsidRPr="007E12B7">
        <w:rPr>
          <w:color w:val="000000" w:themeColor="text1"/>
          <w:sz w:val="24"/>
        </w:rPr>
        <w:t>Irwin, E. G., Isserman, A. M., Kilkenny, M., and Partridge, M. D. (2010). A century</w:t>
      </w:r>
      <w:r w:rsidR="007E12B7" w:rsidRPr="007E12B7">
        <w:rPr>
          <w:color w:val="000000" w:themeColor="text1"/>
          <w:sz w:val="24"/>
        </w:rPr>
        <w:t xml:space="preserve"> </w:t>
      </w:r>
      <w:r w:rsidR="007E12B7" w:rsidRPr="007E12B7">
        <w:rPr>
          <w:color w:val="000000" w:themeColor="text1"/>
          <w:sz w:val="24"/>
        </w:rPr>
        <w:t>of research on rural development and regional issues. Am. J. Agric. Econ. 92,</w:t>
      </w:r>
      <w:r w:rsidR="007E12B7" w:rsidRPr="007E12B7">
        <w:rPr>
          <w:color w:val="000000" w:themeColor="text1"/>
          <w:sz w:val="24"/>
        </w:rPr>
        <w:t xml:space="preserve"> </w:t>
      </w:r>
      <w:r w:rsidR="007E12B7" w:rsidRPr="007E12B7">
        <w:rPr>
          <w:color w:val="000000" w:themeColor="text1"/>
          <w:sz w:val="24"/>
        </w:rPr>
        <w:t>522–553.</w:t>
      </w:r>
    </w:p>
    <w:p w14:paraId="05B72C9F" w14:textId="158AACDD" w:rsidR="00493D7D" w:rsidRPr="00CD2739" w:rsidRDefault="00493D7D" w:rsidP="00CD2739">
      <w:pPr>
        <w:pStyle w:val="0"/>
        <w:numPr>
          <w:ilvl w:val="0"/>
          <w:numId w:val="1"/>
        </w:numPr>
        <w:spacing w:line="360" w:lineRule="auto"/>
        <w:rPr>
          <w:rFonts w:hint="eastAsia"/>
          <w:color w:val="000000" w:themeColor="text1"/>
          <w:sz w:val="24"/>
        </w:rPr>
      </w:pPr>
      <w:bookmarkStart w:id="53" w:name="_Ref66568231"/>
      <w:r w:rsidRPr="007E12B7">
        <w:rPr>
          <w:rFonts w:hint="eastAsia"/>
          <w:color w:val="000000" w:themeColor="text1"/>
          <w:sz w:val="24"/>
        </w:rPr>
        <w:t xml:space="preserve"> </w:t>
      </w:r>
      <w:bookmarkEnd w:id="53"/>
      <w:r w:rsidR="007E12B7" w:rsidRPr="007E12B7">
        <w:rPr>
          <w:color w:val="000000" w:themeColor="text1"/>
          <w:sz w:val="24"/>
        </w:rPr>
        <w:t>Van Der Veen, A. V. D., and Logtmeijer, C. (2005). Economic hotspots: visualizing</w:t>
      </w:r>
      <w:r w:rsidR="007E12B7" w:rsidRPr="007E12B7">
        <w:rPr>
          <w:color w:val="000000" w:themeColor="text1"/>
          <w:sz w:val="24"/>
        </w:rPr>
        <w:t xml:space="preserve"> </w:t>
      </w:r>
      <w:r w:rsidR="007E12B7" w:rsidRPr="007E12B7">
        <w:rPr>
          <w:color w:val="000000" w:themeColor="text1"/>
          <w:sz w:val="24"/>
        </w:rPr>
        <w:t>vulnerability to flooding. Nat. Hazards 36, 65–80. doi: 10.1007/s11069-004-4542-y</w:t>
      </w:r>
    </w:p>
    <w:sectPr w:rsidR="00493D7D" w:rsidRPr="00CD2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8A243" w14:textId="77777777" w:rsidR="00902A64" w:rsidRDefault="00902A64" w:rsidP="005E0802">
      <w:r>
        <w:separator/>
      </w:r>
    </w:p>
  </w:endnote>
  <w:endnote w:type="continuationSeparator" w:id="0">
    <w:p w14:paraId="01FCDE96" w14:textId="77777777" w:rsidR="00902A64" w:rsidRDefault="00902A64" w:rsidP="005E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023706"/>
      <w:docPartObj>
        <w:docPartGallery w:val="Page Numbers (Bottom of Page)"/>
        <w:docPartUnique/>
      </w:docPartObj>
    </w:sdtPr>
    <w:sdtContent>
      <w:p w14:paraId="2C1CA826" w14:textId="52AD4264" w:rsidR="00471F3F" w:rsidRDefault="00471F3F">
        <w:pPr>
          <w:pStyle w:val="a5"/>
          <w:jc w:val="center"/>
        </w:pPr>
        <w:r>
          <w:fldChar w:fldCharType="begin"/>
        </w:r>
        <w:r>
          <w:instrText>PAGE   \* MERGEFORMAT</w:instrText>
        </w:r>
        <w:r>
          <w:fldChar w:fldCharType="separate"/>
        </w:r>
        <w:r>
          <w:rPr>
            <w:lang w:val="zh-CN"/>
          </w:rPr>
          <w:t>2</w:t>
        </w:r>
        <w:r>
          <w:fldChar w:fldCharType="end"/>
        </w:r>
      </w:p>
    </w:sdtContent>
  </w:sdt>
  <w:p w14:paraId="765F736C" w14:textId="77777777" w:rsidR="00471F3F" w:rsidRDefault="00471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FB444" w14:textId="77777777" w:rsidR="00902A64" w:rsidRDefault="00902A64" w:rsidP="005E0802">
      <w:r>
        <w:separator/>
      </w:r>
    </w:p>
  </w:footnote>
  <w:footnote w:type="continuationSeparator" w:id="0">
    <w:p w14:paraId="3D9DA188" w14:textId="77777777" w:rsidR="00902A64" w:rsidRDefault="00902A64" w:rsidP="005E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114654"/>
    <w:multiLevelType w:val="hybridMultilevel"/>
    <w:tmpl w:val="B3C2C7C6"/>
    <w:lvl w:ilvl="0" w:tplc="2B04C7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88"/>
    <w:rsid w:val="000031D2"/>
    <w:rsid w:val="000055FA"/>
    <w:rsid w:val="00005704"/>
    <w:rsid w:val="00010322"/>
    <w:rsid w:val="00010EA5"/>
    <w:rsid w:val="00011099"/>
    <w:rsid w:val="000110E4"/>
    <w:rsid w:val="0001431E"/>
    <w:rsid w:val="000146D7"/>
    <w:rsid w:val="00015D5A"/>
    <w:rsid w:val="00017E00"/>
    <w:rsid w:val="00022962"/>
    <w:rsid w:val="00024684"/>
    <w:rsid w:val="00024DE5"/>
    <w:rsid w:val="0002574B"/>
    <w:rsid w:val="00031675"/>
    <w:rsid w:val="00031DB6"/>
    <w:rsid w:val="00037F92"/>
    <w:rsid w:val="00043178"/>
    <w:rsid w:val="000434F9"/>
    <w:rsid w:val="00045926"/>
    <w:rsid w:val="000469E2"/>
    <w:rsid w:val="0004734B"/>
    <w:rsid w:val="0004790C"/>
    <w:rsid w:val="00051781"/>
    <w:rsid w:val="00053097"/>
    <w:rsid w:val="00054287"/>
    <w:rsid w:val="00055055"/>
    <w:rsid w:val="000555E3"/>
    <w:rsid w:val="00056DBA"/>
    <w:rsid w:val="00056EE4"/>
    <w:rsid w:val="0006000A"/>
    <w:rsid w:val="000604C0"/>
    <w:rsid w:val="0006138B"/>
    <w:rsid w:val="00061494"/>
    <w:rsid w:val="000634A1"/>
    <w:rsid w:val="0006695F"/>
    <w:rsid w:val="00066E9D"/>
    <w:rsid w:val="000706E4"/>
    <w:rsid w:val="00071F64"/>
    <w:rsid w:val="00073393"/>
    <w:rsid w:val="00073B74"/>
    <w:rsid w:val="000749F8"/>
    <w:rsid w:val="00077CF3"/>
    <w:rsid w:val="0008018A"/>
    <w:rsid w:val="000801F8"/>
    <w:rsid w:val="00080B86"/>
    <w:rsid w:val="00083783"/>
    <w:rsid w:val="00084568"/>
    <w:rsid w:val="0008483F"/>
    <w:rsid w:val="00084A4D"/>
    <w:rsid w:val="00084E47"/>
    <w:rsid w:val="000852C1"/>
    <w:rsid w:val="00085D3D"/>
    <w:rsid w:val="00086CB6"/>
    <w:rsid w:val="00092B65"/>
    <w:rsid w:val="00094FC8"/>
    <w:rsid w:val="000963B9"/>
    <w:rsid w:val="0009735B"/>
    <w:rsid w:val="000A0142"/>
    <w:rsid w:val="000A14D6"/>
    <w:rsid w:val="000A622D"/>
    <w:rsid w:val="000B3597"/>
    <w:rsid w:val="000B4AE3"/>
    <w:rsid w:val="000B4FAA"/>
    <w:rsid w:val="000B5206"/>
    <w:rsid w:val="000B5B2D"/>
    <w:rsid w:val="000C122D"/>
    <w:rsid w:val="000C13A3"/>
    <w:rsid w:val="000C1CDC"/>
    <w:rsid w:val="000C36FD"/>
    <w:rsid w:val="000C3873"/>
    <w:rsid w:val="000C3941"/>
    <w:rsid w:val="000C39B5"/>
    <w:rsid w:val="000C4F53"/>
    <w:rsid w:val="000C5063"/>
    <w:rsid w:val="000C56DE"/>
    <w:rsid w:val="000C6CE3"/>
    <w:rsid w:val="000C71E3"/>
    <w:rsid w:val="000C7208"/>
    <w:rsid w:val="000C7B96"/>
    <w:rsid w:val="000C7C43"/>
    <w:rsid w:val="000D13FA"/>
    <w:rsid w:val="000D1957"/>
    <w:rsid w:val="000D237B"/>
    <w:rsid w:val="000D2E59"/>
    <w:rsid w:val="000D3BFA"/>
    <w:rsid w:val="000D55EE"/>
    <w:rsid w:val="000E04B9"/>
    <w:rsid w:val="000E0CB8"/>
    <w:rsid w:val="000E1E52"/>
    <w:rsid w:val="000E207D"/>
    <w:rsid w:val="000E30AD"/>
    <w:rsid w:val="000E4264"/>
    <w:rsid w:val="000E4DB6"/>
    <w:rsid w:val="000E5132"/>
    <w:rsid w:val="000E51BB"/>
    <w:rsid w:val="000E717E"/>
    <w:rsid w:val="000F05BD"/>
    <w:rsid w:val="000F19BF"/>
    <w:rsid w:val="000F22DF"/>
    <w:rsid w:val="000F4AC8"/>
    <w:rsid w:val="000F5A49"/>
    <w:rsid w:val="000F7370"/>
    <w:rsid w:val="000F7E3D"/>
    <w:rsid w:val="0010013B"/>
    <w:rsid w:val="00102503"/>
    <w:rsid w:val="00103097"/>
    <w:rsid w:val="00103A3B"/>
    <w:rsid w:val="001053FC"/>
    <w:rsid w:val="00106FAD"/>
    <w:rsid w:val="00111A2D"/>
    <w:rsid w:val="001139F9"/>
    <w:rsid w:val="001144EE"/>
    <w:rsid w:val="0011464B"/>
    <w:rsid w:val="00114FF2"/>
    <w:rsid w:val="0012073A"/>
    <w:rsid w:val="00120BFB"/>
    <w:rsid w:val="0012271C"/>
    <w:rsid w:val="00122C3A"/>
    <w:rsid w:val="00126CF6"/>
    <w:rsid w:val="001368FC"/>
    <w:rsid w:val="00137348"/>
    <w:rsid w:val="00137B6E"/>
    <w:rsid w:val="00142015"/>
    <w:rsid w:val="0014227D"/>
    <w:rsid w:val="001428D9"/>
    <w:rsid w:val="0014346F"/>
    <w:rsid w:val="001441E8"/>
    <w:rsid w:val="00144666"/>
    <w:rsid w:val="00144AC2"/>
    <w:rsid w:val="00146780"/>
    <w:rsid w:val="00147330"/>
    <w:rsid w:val="00147E6B"/>
    <w:rsid w:val="00150B9F"/>
    <w:rsid w:val="00152651"/>
    <w:rsid w:val="00153607"/>
    <w:rsid w:val="0015392B"/>
    <w:rsid w:val="00153A4E"/>
    <w:rsid w:val="00154994"/>
    <w:rsid w:val="00154CFF"/>
    <w:rsid w:val="00155BC7"/>
    <w:rsid w:val="00156DF9"/>
    <w:rsid w:val="00157F02"/>
    <w:rsid w:val="00160F3C"/>
    <w:rsid w:val="00161819"/>
    <w:rsid w:val="001670DD"/>
    <w:rsid w:val="001724B0"/>
    <w:rsid w:val="0017537D"/>
    <w:rsid w:val="00176CD8"/>
    <w:rsid w:val="00181698"/>
    <w:rsid w:val="00182E7E"/>
    <w:rsid w:val="00184BF2"/>
    <w:rsid w:val="00185386"/>
    <w:rsid w:val="001864B0"/>
    <w:rsid w:val="00190148"/>
    <w:rsid w:val="00190492"/>
    <w:rsid w:val="001913BE"/>
    <w:rsid w:val="00191821"/>
    <w:rsid w:val="00192D24"/>
    <w:rsid w:val="00194533"/>
    <w:rsid w:val="00194D3D"/>
    <w:rsid w:val="00195328"/>
    <w:rsid w:val="0019701D"/>
    <w:rsid w:val="001A0820"/>
    <w:rsid w:val="001A26A0"/>
    <w:rsid w:val="001A53CD"/>
    <w:rsid w:val="001A62BB"/>
    <w:rsid w:val="001A65AF"/>
    <w:rsid w:val="001B16A7"/>
    <w:rsid w:val="001B31F9"/>
    <w:rsid w:val="001B3BA2"/>
    <w:rsid w:val="001B48C0"/>
    <w:rsid w:val="001B5465"/>
    <w:rsid w:val="001B58B8"/>
    <w:rsid w:val="001B5BAA"/>
    <w:rsid w:val="001B79BC"/>
    <w:rsid w:val="001C119A"/>
    <w:rsid w:val="001C2121"/>
    <w:rsid w:val="001C233B"/>
    <w:rsid w:val="001C25D9"/>
    <w:rsid w:val="001C4A6D"/>
    <w:rsid w:val="001C53E4"/>
    <w:rsid w:val="001C6081"/>
    <w:rsid w:val="001C6F11"/>
    <w:rsid w:val="001D0FE1"/>
    <w:rsid w:val="001D0FF0"/>
    <w:rsid w:val="001D28D7"/>
    <w:rsid w:val="001D4AF0"/>
    <w:rsid w:val="001D564D"/>
    <w:rsid w:val="001D7FF9"/>
    <w:rsid w:val="001E00E9"/>
    <w:rsid w:val="001E0674"/>
    <w:rsid w:val="001E24D9"/>
    <w:rsid w:val="001E347B"/>
    <w:rsid w:val="001F0AE3"/>
    <w:rsid w:val="001F24B6"/>
    <w:rsid w:val="001F2DBB"/>
    <w:rsid w:val="001F7624"/>
    <w:rsid w:val="00201A78"/>
    <w:rsid w:val="00205AED"/>
    <w:rsid w:val="00206836"/>
    <w:rsid w:val="0020699B"/>
    <w:rsid w:val="0021031E"/>
    <w:rsid w:val="00210B82"/>
    <w:rsid w:val="00210BE6"/>
    <w:rsid w:val="00211F13"/>
    <w:rsid w:val="002139D5"/>
    <w:rsid w:val="002144DA"/>
    <w:rsid w:val="002151FB"/>
    <w:rsid w:val="00215BCA"/>
    <w:rsid w:val="00215DA6"/>
    <w:rsid w:val="00220892"/>
    <w:rsid w:val="00220971"/>
    <w:rsid w:val="002242BF"/>
    <w:rsid w:val="002246BA"/>
    <w:rsid w:val="00225D0F"/>
    <w:rsid w:val="0022677D"/>
    <w:rsid w:val="00227267"/>
    <w:rsid w:val="0022759D"/>
    <w:rsid w:val="0023002A"/>
    <w:rsid w:val="00230041"/>
    <w:rsid w:val="00231BEC"/>
    <w:rsid w:val="00232AF3"/>
    <w:rsid w:val="00232EEA"/>
    <w:rsid w:val="00234A3A"/>
    <w:rsid w:val="002351B2"/>
    <w:rsid w:val="00235A59"/>
    <w:rsid w:val="00237062"/>
    <w:rsid w:val="00240AEC"/>
    <w:rsid w:val="00240E0A"/>
    <w:rsid w:val="00241603"/>
    <w:rsid w:val="00243413"/>
    <w:rsid w:val="00245BBB"/>
    <w:rsid w:val="0024639C"/>
    <w:rsid w:val="00246C0F"/>
    <w:rsid w:val="002470DB"/>
    <w:rsid w:val="00250D92"/>
    <w:rsid w:val="0025123F"/>
    <w:rsid w:val="00252863"/>
    <w:rsid w:val="002552ED"/>
    <w:rsid w:val="002556FF"/>
    <w:rsid w:val="00255B05"/>
    <w:rsid w:val="00255D89"/>
    <w:rsid w:val="00256DEE"/>
    <w:rsid w:val="00257B92"/>
    <w:rsid w:val="00257DD7"/>
    <w:rsid w:val="002611DC"/>
    <w:rsid w:val="00261B0B"/>
    <w:rsid w:val="00262632"/>
    <w:rsid w:val="00263A71"/>
    <w:rsid w:val="002645B3"/>
    <w:rsid w:val="0026509C"/>
    <w:rsid w:val="002658A6"/>
    <w:rsid w:val="002672BF"/>
    <w:rsid w:val="00270530"/>
    <w:rsid w:val="00270AC5"/>
    <w:rsid w:val="0027209E"/>
    <w:rsid w:val="00273335"/>
    <w:rsid w:val="00274631"/>
    <w:rsid w:val="00274E6A"/>
    <w:rsid w:val="002753D3"/>
    <w:rsid w:val="002767F1"/>
    <w:rsid w:val="00277F4C"/>
    <w:rsid w:val="00281267"/>
    <w:rsid w:val="0028382A"/>
    <w:rsid w:val="00284932"/>
    <w:rsid w:val="00287E53"/>
    <w:rsid w:val="00290136"/>
    <w:rsid w:val="00290560"/>
    <w:rsid w:val="0029119F"/>
    <w:rsid w:val="002911A9"/>
    <w:rsid w:val="00292403"/>
    <w:rsid w:val="00293BE6"/>
    <w:rsid w:val="00295F64"/>
    <w:rsid w:val="002A0CB0"/>
    <w:rsid w:val="002A0DC8"/>
    <w:rsid w:val="002A3C23"/>
    <w:rsid w:val="002A5291"/>
    <w:rsid w:val="002A74F5"/>
    <w:rsid w:val="002B1038"/>
    <w:rsid w:val="002B2287"/>
    <w:rsid w:val="002B3083"/>
    <w:rsid w:val="002B4C05"/>
    <w:rsid w:val="002B555C"/>
    <w:rsid w:val="002B662A"/>
    <w:rsid w:val="002B6728"/>
    <w:rsid w:val="002C17E7"/>
    <w:rsid w:val="002C1FC6"/>
    <w:rsid w:val="002C38D6"/>
    <w:rsid w:val="002C3A6E"/>
    <w:rsid w:val="002C4F3A"/>
    <w:rsid w:val="002C54C4"/>
    <w:rsid w:val="002C54E9"/>
    <w:rsid w:val="002C6821"/>
    <w:rsid w:val="002C7DCE"/>
    <w:rsid w:val="002D20FF"/>
    <w:rsid w:val="002D521F"/>
    <w:rsid w:val="002D7BE2"/>
    <w:rsid w:val="002D7C11"/>
    <w:rsid w:val="002D7E33"/>
    <w:rsid w:val="002D7EC3"/>
    <w:rsid w:val="002E1A9F"/>
    <w:rsid w:val="002E37CC"/>
    <w:rsid w:val="002E3CF5"/>
    <w:rsid w:val="002E69FB"/>
    <w:rsid w:val="002E7F20"/>
    <w:rsid w:val="002F42A3"/>
    <w:rsid w:val="002F443D"/>
    <w:rsid w:val="002F77E8"/>
    <w:rsid w:val="002F7CBE"/>
    <w:rsid w:val="003003C6"/>
    <w:rsid w:val="003011DC"/>
    <w:rsid w:val="003017BC"/>
    <w:rsid w:val="003033BF"/>
    <w:rsid w:val="0030354D"/>
    <w:rsid w:val="003061E9"/>
    <w:rsid w:val="00306ADD"/>
    <w:rsid w:val="003117E4"/>
    <w:rsid w:val="00311FD0"/>
    <w:rsid w:val="00312394"/>
    <w:rsid w:val="00312862"/>
    <w:rsid w:val="00313F55"/>
    <w:rsid w:val="0031557F"/>
    <w:rsid w:val="00315899"/>
    <w:rsid w:val="00316811"/>
    <w:rsid w:val="00320387"/>
    <w:rsid w:val="00324D9C"/>
    <w:rsid w:val="00330478"/>
    <w:rsid w:val="0033061B"/>
    <w:rsid w:val="00331EFB"/>
    <w:rsid w:val="00332BAE"/>
    <w:rsid w:val="003336BE"/>
    <w:rsid w:val="00333EEE"/>
    <w:rsid w:val="00334143"/>
    <w:rsid w:val="0033431E"/>
    <w:rsid w:val="003347ED"/>
    <w:rsid w:val="00340F56"/>
    <w:rsid w:val="0034152B"/>
    <w:rsid w:val="00341D2D"/>
    <w:rsid w:val="003442D2"/>
    <w:rsid w:val="0034456C"/>
    <w:rsid w:val="00344AFC"/>
    <w:rsid w:val="00344F0A"/>
    <w:rsid w:val="00345D48"/>
    <w:rsid w:val="003468DE"/>
    <w:rsid w:val="00346BD8"/>
    <w:rsid w:val="00347259"/>
    <w:rsid w:val="003479E9"/>
    <w:rsid w:val="00350F29"/>
    <w:rsid w:val="00353E8A"/>
    <w:rsid w:val="003551A8"/>
    <w:rsid w:val="00357F60"/>
    <w:rsid w:val="00363732"/>
    <w:rsid w:val="0036499C"/>
    <w:rsid w:val="0036608B"/>
    <w:rsid w:val="00366585"/>
    <w:rsid w:val="0036658A"/>
    <w:rsid w:val="003669F2"/>
    <w:rsid w:val="00370051"/>
    <w:rsid w:val="0037074B"/>
    <w:rsid w:val="003713BE"/>
    <w:rsid w:val="0037192B"/>
    <w:rsid w:val="003725A1"/>
    <w:rsid w:val="00372968"/>
    <w:rsid w:val="00372F10"/>
    <w:rsid w:val="00374562"/>
    <w:rsid w:val="00374627"/>
    <w:rsid w:val="0037563B"/>
    <w:rsid w:val="00375E35"/>
    <w:rsid w:val="00376082"/>
    <w:rsid w:val="00381783"/>
    <w:rsid w:val="003848DF"/>
    <w:rsid w:val="00385D20"/>
    <w:rsid w:val="00385E2E"/>
    <w:rsid w:val="00387DF0"/>
    <w:rsid w:val="00390DB9"/>
    <w:rsid w:val="0039224D"/>
    <w:rsid w:val="00392AD3"/>
    <w:rsid w:val="003949C0"/>
    <w:rsid w:val="00395079"/>
    <w:rsid w:val="003969D8"/>
    <w:rsid w:val="003A03C4"/>
    <w:rsid w:val="003A3ABC"/>
    <w:rsid w:val="003A41A5"/>
    <w:rsid w:val="003A65BD"/>
    <w:rsid w:val="003A67AE"/>
    <w:rsid w:val="003A77BA"/>
    <w:rsid w:val="003A799D"/>
    <w:rsid w:val="003B00E6"/>
    <w:rsid w:val="003B1C16"/>
    <w:rsid w:val="003B2E65"/>
    <w:rsid w:val="003B340D"/>
    <w:rsid w:val="003B4777"/>
    <w:rsid w:val="003B48FE"/>
    <w:rsid w:val="003B53CE"/>
    <w:rsid w:val="003C42BC"/>
    <w:rsid w:val="003C49A3"/>
    <w:rsid w:val="003C6C73"/>
    <w:rsid w:val="003C6D69"/>
    <w:rsid w:val="003C7781"/>
    <w:rsid w:val="003D065C"/>
    <w:rsid w:val="003D0D59"/>
    <w:rsid w:val="003D2ABA"/>
    <w:rsid w:val="003D2DB8"/>
    <w:rsid w:val="003D4EFF"/>
    <w:rsid w:val="003D74D8"/>
    <w:rsid w:val="003E0CC7"/>
    <w:rsid w:val="003E142E"/>
    <w:rsid w:val="003E1B6E"/>
    <w:rsid w:val="003E280C"/>
    <w:rsid w:val="003E4A2C"/>
    <w:rsid w:val="003E665E"/>
    <w:rsid w:val="003F2C8D"/>
    <w:rsid w:val="003F380B"/>
    <w:rsid w:val="003F39F3"/>
    <w:rsid w:val="003F3D88"/>
    <w:rsid w:val="003F49DF"/>
    <w:rsid w:val="0040031A"/>
    <w:rsid w:val="00401D42"/>
    <w:rsid w:val="00406978"/>
    <w:rsid w:val="0040710E"/>
    <w:rsid w:val="00411003"/>
    <w:rsid w:val="004126FA"/>
    <w:rsid w:val="00412E03"/>
    <w:rsid w:val="00415469"/>
    <w:rsid w:val="004157C2"/>
    <w:rsid w:val="00416A90"/>
    <w:rsid w:val="00417FA0"/>
    <w:rsid w:val="00421A3B"/>
    <w:rsid w:val="00421EAD"/>
    <w:rsid w:val="00422CDD"/>
    <w:rsid w:val="00423509"/>
    <w:rsid w:val="00424B96"/>
    <w:rsid w:val="00426136"/>
    <w:rsid w:val="00430A39"/>
    <w:rsid w:val="00430A60"/>
    <w:rsid w:val="0043229F"/>
    <w:rsid w:val="00433134"/>
    <w:rsid w:val="00433B9D"/>
    <w:rsid w:val="00434514"/>
    <w:rsid w:val="00434AE9"/>
    <w:rsid w:val="004362B1"/>
    <w:rsid w:val="004375DC"/>
    <w:rsid w:val="00440AA0"/>
    <w:rsid w:val="00440C2D"/>
    <w:rsid w:val="00442F29"/>
    <w:rsid w:val="004441EB"/>
    <w:rsid w:val="00444AB7"/>
    <w:rsid w:val="00445CFE"/>
    <w:rsid w:val="004461B4"/>
    <w:rsid w:val="00446904"/>
    <w:rsid w:val="004472E5"/>
    <w:rsid w:val="004474EB"/>
    <w:rsid w:val="00447C45"/>
    <w:rsid w:val="00451AC6"/>
    <w:rsid w:val="004534F1"/>
    <w:rsid w:val="00453F80"/>
    <w:rsid w:val="004558B4"/>
    <w:rsid w:val="00455ECC"/>
    <w:rsid w:val="0045635A"/>
    <w:rsid w:val="00460C23"/>
    <w:rsid w:val="00464A1F"/>
    <w:rsid w:val="00467618"/>
    <w:rsid w:val="004700D1"/>
    <w:rsid w:val="00470BA8"/>
    <w:rsid w:val="00471F1D"/>
    <w:rsid w:val="00471F3F"/>
    <w:rsid w:val="00472AA0"/>
    <w:rsid w:val="00473D62"/>
    <w:rsid w:val="00476046"/>
    <w:rsid w:val="0048071E"/>
    <w:rsid w:val="004825CB"/>
    <w:rsid w:val="00483324"/>
    <w:rsid w:val="00485592"/>
    <w:rsid w:val="0048583A"/>
    <w:rsid w:val="00485D57"/>
    <w:rsid w:val="00491540"/>
    <w:rsid w:val="00492C56"/>
    <w:rsid w:val="00493567"/>
    <w:rsid w:val="00493D7D"/>
    <w:rsid w:val="00495669"/>
    <w:rsid w:val="004956CF"/>
    <w:rsid w:val="004A0CE2"/>
    <w:rsid w:val="004A1052"/>
    <w:rsid w:val="004A31D9"/>
    <w:rsid w:val="004A37A6"/>
    <w:rsid w:val="004A3AA7"/>
    <w:rsid w:val="004A4AF4"/>
    <w:rsid w:val="004A5D8B"/>
    <w:rsid w:val="004A69E2"/>
    <w:rsid w:val="004B089D"/>
    <w:rsid w:val="004B1404"/>
    <w:rsid w:val="004B2290"/>
    <w:rsid w:val="004B24AA"/>
    <w:rsid w:val="004B2E29"/>
    <w:rsid w:val="004B4605"/>
    <w:rsid w:val="004B6E57"/>
    <w:rsid w:val="004B6ED6"/>
    <w:rsid w:val="004B7AB0"/>
    <w:rsid w:val="004B7B1C"/>
    <w:rsid w:val="004B7C48"/>
    <w:rsid w:val="004B7E38"/>
    <w:rsid w:val="004C34BD"/>
    <w:rsid w:val="004C3EB3"/>
    <w:rsid w:val="004C4508"/>
    <w:rsid w:val="004C55E5"/>
    <w:rsid w:val="004C5AFA"/>
    <w:rsid w:val="004C5F83"/>
    <w:rsid w:val="004D22FA"/>
    <w:rsid w:val="004D3371"/>
    <w:rsid w:val="004D4CC2"/>
    <w:rsid w:val="004D51A1"/>
    <w:rsid w:val="004D606A"/>
    <w:rsid w:val="004D7EDF"/>
    <w:rsid w:val="004E1750"/>
    <w:rsid w:val="004E2DAF"/>
    <w:rsid w:val="004E2DDB"/>
    <w:rsid w:val="004E63AF"/>
    <w:rsid w:val="004E6AE4"/>
    <w:rsid w:val="004E7ED3"/>
    <w:rsid w:val="004F0309"/>
    <w:rsid w:val="004F25D5"/>
    <w:rsid w:val="004F3366"/>
    <w:rsid w:val="004F50D6"/>
    <w:rsid w:val="004F64C5"/>
    <w:rsid w:val="00501DE2"/>
    <w:rsid w:val="00502BAB"/>
    <w:rsid w:val="00503FEC"/>
    <w:rsid w:val="00504B36"/>
    <w:rsid w:val="00504B4D"/>
    <w:rsid w:val="005052D7"/>
    <w:rsid w:val="00506233"/>
    <w:rsid w:val="0050661A"/>
    <w:rsid w:val="0050673F"/>
    <w:rsid w:val="005109FD"/>
    <w:rsid w:val="005151D9"/>
    <w:rsid w:val="00515EE4"/>
    <w:rsid w:val="00516795"/>
    <w:rsid w:val="0051679D"/>
    <w:rsid w:val="0051698C"/>
    <w:rsid w:val="00522E67"/>
    <w:rsid w:val="0052337E"/>
    <w:rsid w:val="00524F62"/>
    <w:rsid w:val="00525650"/>
    <w:rsid w:val="005256AF"/>
    <w:rsid w:val="00525C6A"/>
    <w:rsid w:val="005262B9"/>
    <w:rsid w:val="00526748"/>
    <w:rsid w:val="00526EF3"/>
    <w:rsid w:val="00527E25"/>
    <w:rsid w:val="00530AB9"/>
    <w:rsid w:val="0053173F"/>
    <w:rsid w:val="00533EF2"/>
    <w:rsid w:val="005375D6"/>
    <w:rsid w:val="00537B36"/>
    <w:rsid w:val="005413CD"/>
    <w:rsid w:val="0054376B"/>
    <w:rsid w:val="00544A69"/>
    <w:rsid w:val="00544BBA"/>
    <w:rsid w:val="00545AE1"/>
    <w:rsid w:val="00547AE7"/>
    <w:rsid w:val="00550E26"/>
    <w:rsid w:val="00551BBF"/>
    <w:rsid w:val="005552F1"/>
    <w:rsid w:val="005568C9"/>
    <w:rsid w:val="005606B3"/>
    <w:rsid w:val="00562A96"/>
    <w:rsid w:val="00563187"/>
    <w:rsid w:val="0056351A"/>
    <w:rsid w:val="00565696"/>
    <w:rsid w:val="005665EA"/>
    <w:rsid w:val="0056679F"/>
    <w:rsid w:val="00567628"/>
    <w:rsid w:val="0057081B"/>
    <w:rsid w:val="00573368"/>
    <w:rsid w:val="00573EA9"/>
    <w:rsid w:val="00574E31"/>
    <w:rsid w:val="005755D3"/>
    <w:rsid w:val="00575726"/>
    <w:rsid w:val="0057672F"/>
    <w:rsid w:val="00576ED1"/>
    <w:rsid w:val="00577379"/>
    <w:rsid w:val="005801BE"/>
    <w:rsid w:val="00581241"/>
    <w:rsid w:val="005828F4"/>
    <w:rsid w:val="00582901"/>
    <w:rsid w:val="00582E2B"/>
    <w:rsid w:val="00583117"/>
    <w:rsid w:val="005847AF"/>
    <w:rsid w:val="00585874"/>
    <w:rsid w:val="00586823"/>
    <w:rsid w:val="005907FD"/>
    <w:rsid w:val="00590E0A"/>
    <w:rsid w:val="00590EA0"/>
    <w:rsid w:val="005910CC"/>
    <w:rsid w:val="00591561"/>
    <w:rsid w:val="00592B14"/>
    <w:rsid w:val="00594A5C"/>
    <w:rsid w:val="00594ACA"/>
    <w:rsid w:val="005951C9"/>
    <w:rsid w:val="005957CD"/>
    <w:rsid w:val="00596D27"/>
    <w:rsid w:val="00596E7C"/>
    <w:rsid w:val="005979DE"/>
    <w:rsid w:val="005A0917"/>
    <w:rsid w:val="005A3067"/>
    <w:rsid w:val="005A359C"/>
    <w:rsid w:val="005A4807"/>
    <w:rsid w:val="005A52FC"/>
    <w:rsid w:val="005B1394"/>
    <w:rsid w:val="005B1CE5"/>
    <w:rsid w:val="005B26DA"/>
    <w:rsid w:val="005B365E"/>
    <w:rsid w:val="005B3A66"/>
    <w:rsid w:val="005B7DD7"/>
    <w:rsid w:val="005C0D90"/>
    <w:rsid w:val="005C19C4"/>
    <w:rsid w:val="005C2279"/>
    <w:rsid w:val="005C5D5F"/>
    <w:rsid w:val="005C65A9"/>
    <w:rsid w:val="005C6C58"/>
    <w:rsid w:val="005D07BA"/>
    <w:rsid w:val="005D22E0"/>
    <w:rsid w:val="005D2C18"/>
    <w:rsid w:val="005D2C41"/>
    <w:rsid w:val="005D3243"/>
    <w:rsid w:val="005D4897"/>
    <w:rsid w:val="005D4DEE"/>
    <w:rsid w:val="005D5BE3"/>
    <w:rsid w:val="005D5C0A"/>
    <w:rsid w:val="005D7B3C"/>
    <w:rsid w:val="005E024A"/>
    <w:rsid w:val="005E0802"/>
    <w:rsid w:val="005E0F03"/>
    <w:rsid w:val="005E2A48"/>
    <w:rsid w:val="005E2AC4"/>
    <w:rsid w:val="005E2D61"/>
    <w:rsid w:val="005E323E"/>
    <w:rsid w:val="005E38DF"/>
    <w:rsid w:val="005E3AC0"/>
    <w:rsid w:val="005E5923"/>
    <w:rsid w:val="005E6FA5"/>
    <w:rsid w:val="005E729D"/>
    <w:rsid w:val="005E7FE7"/>
    <w:rsid w:val="005F3512"/>
    <w:rsid w:val="005F35BA"/>
    <w:rsid w:val="005F3FA8"/>
    <w:rsid w:val="005F4239"/>
    <w:rsid w:val="005F49C0"/>
    <w:rsid w:val="0060116E"/>
    <w:rsid w:val="00601B78"/>
    <w:rsid w:val="0060273E"/>
    <w:rsid w:val="00603C7F"/>
    <w:rsid w:val="00603DB6"/>
    <w:rsid w:val="00604EE7"/>
    <w:rsid w:val="00604F2A"/>
    <w:rsid w:val="0060607A"/>
    <w:rsid w:val="00606DCE"/>
    <w:rsid w:val="006100C5"/>
    <w:rsid w:val="0061179D"/>
    <w:rsid w:val="00611DF9"/>
    <w:rsid w:val="00613256"/>
    <w:rsid w:val="006134BC"/>
    <w:rsid w:val="00614951"/>
    <w:rsid w:val="0061718E"/>
    <w:rsid w:val="006176D3"/>
    <w:rsid w:val="00620499"/>
    <w:rsid w:val="0062117A"/>
    <w:rsid w:val="00624CF9"/>
    <w:rsid w:val="006258E1"/>
    <w:rsid w:val="006260DF"/>
    <w:rsid w:val="006275B9"/>
    <w:rsid w:val="00627D40"/>
    <w:rsid w:val="00633932"/>
    <w:rsid w:val="00636BBF"/>
    <w:rsid w:val="0063761F"/>
    <w:rsid w:val="00637BCD"/>
    <w:rsid w:val="00637EE9"/>
    <w:rsid w:val="006423E4"/>
    <w:rsid w:val="00643EBE"/>
    <w:rsid w:val="006441B8"/>
    <w:rsid w:val="00644971"/>
    <w:rsid w:val="00644A88"/>
    <w:rsid w:val="00644C8D"/>
    <w:rsid w:val="00645892"/>
    <w:rsid w:val="00650FFC"/>
    <w:rsid w:val="0065352C"/>
    <w:rsid w:val="006541A0"/>
    <w:rsid w:val="00654615"/>
    <w:rsid w:val="00655554"/>
    <w:rsid w:val="00661344"/>
    <w:rsid w:val="0066163B"/>
    <w:rsid w:val="006626A7"/>
    <w:rsid w:val="00662DE1"/>
    <w:rsid w:val="00664AF7"/>
    <w:rsid w:val="00664C3B"/>
    <w:rsid w:val="006674F4"/>
    <w:rsid w:val="006724C4"/>
    <w:rsid w:val="00673AC4"/>
    <w:rsid w:val="00673D95"/>
    <w:rsid w:val="006769D9"/>
    <w:rsid w:val="00680400"/>
    <w:rsid w:val="00680FEC"/>
    <w:rsid w:val="00685737"/>
    <w:rsid w:val="006863A6"/>
    <w:rsid w:val="006864A0"/>
    <w:rsid w:val="00687A3B"/>
    <w:rsid w:val="006901E5"/>
    <w:rsid w:val="006912BD"/>
    <w:rsid w:val="00692CF4"/>
    <w:rsid w:val="00693131"/>
    <w:rsid w:val="006945D9"/>
    <w:rsid w:val="00694E69"/>
    <w:rsid w:val="00695AF1"/>
    <w:rsid w:val="00696937"/>
    <w:rsid w:val="00697907"/>
    <w:rsid w:val="006A1D39"/>
    <w:rsid w:val="006A2A90"/>
    <w:rsid w:val="006A2C4B"/>
    <w:rsid w:val="006A2C6E"/>
    <w:rsid w:val="006A64E8"/>
    <w:rsid w:val="006A7C2F"/>
    <w:rsid w:val="006B01F5"/>
    <w:rsid w:val="006B2088"/>
    <w:rsid w:val="006B2238"/>
    <w:rsid w:val="006B2A9A"/>
    <w:rsid w:val="006B4E97"/>
    <w:rsid w:val="006B6C04"/>
    <w:rsid w:val="006B75BE"/>
    <w:rsid w:val="006C24DF"/>
    <w:rsid w:val="006C3DE9"/>
    <w:rsid w:val="006C64A2"/>
    <w:rsid w:val="006D04ED"/>
    <w:rsid w:val="006D09DA"/>
    <w:rsid w:val="006D19C7"/>
    <w:rsid w:val="006D434D"/>
    <w:rsid w:val="006D51DC"/>
    <w:rsid w:val="006D5841"/>
    <w:rsid w:val="006E02FA"/>
    <w:rsid w:val="006E03BB"/>
    <w:rsid w:val="006E03BF"/>
    <w:rsid w:val="006E07A3"/>
    <w:rsid w:val="006E1555"/>
    <w:rsid w:val="006E1992"/>
    <w:rsid w:val="006E2618"/>
    <w:rsid w:val="006E32DE"/>
    <w:rsid w:val="006E5D16"/>
    <w:rsid w:val="006E636D"/>
    <w:rsid w:val="006E6FAE"/>
    <w:rsid w:val="006F0A4D"/>
    <w:rsid w:val="006F2214"/>
    <w:rsid w:val="006F477A"/>
    <w:rsid w:val="006F55FE"/>
    <w:rsid w:val="006F6574"/>
    <w:rsid w:val="00700DEC"/>
    <w:rsid w:val="00701CB3"/>
    <w:rsid w:val="00702E67"/>
    <w:rsid w:val="007034DA"/>
    <w:rsid w:val="00707340"/>
    <w:rsid w:val="00707971"/>
    <w:rsid w:val="00710F23"/>
    <w:rsid w:val="00711929"/>
    <w:rsid w:val="0071247B"/>
    <w:rsid w:val="0071411F"/>
    <w:rsid w:val="00715D52"/>
    <w:rsid w:val="00716576"/>
    <w:rsid w:val="00717339"/>
    <w:rsid w:val="0071778E"/>
    <w:rsid w:val="007204FC"/>
    <w:rsid w:val="00721037"/>
    <w:rsid w:val="00725060"/>
    <w:rsid w:val="00731945"/>
    <w:rsid w:val="00733FD8"/>
    <w:rsid w:val="007341C8"/>
    <w:rsid w:val="00734A3D"/>
    <w:rsid w:val="00734E22"/>
    <w:rsid w:val="00735D3E"/>
    <w:rsid w:val="00735D81"/>
    <w:rsid w:val="00735E32"/>
    <w:rsid w:val="007361B1"/>
    <w:rsid w:val="00737D3B"/>
    <w:rsid w:val="0074099D"/>
    <w:rsid w:val="0074243E"/>
    <w:rsid w:val="0074440E"/>
    <w:rsid w:val="00744727"/>
    <w:rsid w:val="00744A5F"/>
    <w:rsid w:val="00745843"/>
    <w:rsid w:val="00745D4D"/>
    <w:rsid w:val="00747840"/>
    <w:rsid w:val="007544E2"/>
    <w:rsid w:val="00755C49"/>
    <w:rsid w:val="00756179"/>
    <w:rsid w:val="00756F64"/>
    <w:rsid w:val="007607AC"/>
    <w:rsid w:val="00760E1F"/>
    <w:rsid w:val="00761775"/>
    <w:rsid w:val="00761B19"/>
    <w:rsid w:val="00763434"/>
    <w:rsid w:val="00764092"/>
    <w:rsid w:val="00764607"/>
    <w:rsid w:val="00767C50"/>
    <w:rsid w:val="00772F78"/>
    <w:rsid w:val="0077438A"/>
    <w:rsid w:val="00774CCC"/>
    <w:rsid w:val="007825BB"/>
    <w:rsid w:val="0078304F"/>
    <w:rsid w:val="00783F28"/>
    <w:rsid w:val="00784D3D"/>
    <w:rsid w:val="00787722"/>
    <w:rsid w:val="0079030D"/>
    <w:rsid w:val="00791DDF"/>
    <w:rsid w:val="007956A3"/>
    <w:rsid w:val="007965CF"/>
    <w:rsid w:val="00796D7F"/>
    <w:rsid w:val="00797796"/>
    <w:rsid w:val="0079794F"/>
    <w:rsid w:val="007A2AB0"/>
    <w:rsid w:val="007A3394"/>
    <w:rsid w:val="007A4041"/>
    <w:rsid w:val="007A4450"/>
    <w:rsid w:val="007A4B23"/>
    <w:rsid w:val="007A6AE7"/>
    <w:rsid w:val="007A6F43"/>
    <w:rsid w:val="007B04EF"/>
    <w:rsid w:val="007B2323"/>
    <w:rsid w:val="007B3436"/>
    <w:rsid w:val="007B358E"/>
    <w:rsid w:val="007B406B"/>
    <w:rsid w:val="007B4BA9"/>
    <w:rsid w:val="007B5E08"/>
    <w:rsid w:val="007B78C0"/>
    <w:rsid w:val="007C01FA"/>
    <w:rsid w:val="007C0527"/>
    <w:rsid w:val="007C148B"/>
    <w:rsid w:val="007C22DA"/>
    <w:rsid w:val="007C2377"/>
    <w:rsid w:val="007C23EF"/>
    <w:rsid w:val="007C2AAB"/>
    <w:rsid w:val="007C302C"/>
    <w:rsid w:val="007C533E"/>
    <w:rsid w:val="007C5AEF"/>
    <w:rsid w:val="007C640C"/>
    <w:rsid w:val="007C6EBE"/>
    <w:rsid w:val="007D026C"/>
    <w:rsid w:val="007D3152"/>
    <w:rsid w:val="007D31B0"/>
    <w:rsid w:val="007D3921"/>
    <w:rsid w:val="007D4011"/>
    <w:rsid w:val="007D58B7"/>
    <w:rsid w:val="007D58CF"/>
    <w:rsid w:val="007D642B"/>
    <w:rsid w:val="007D6817"/>
    <w:rsid w:val="007E09DC"/>
    <w:rsid w:val="007E12B7"/>
    <w:rsid w:val="007E6B5A"/>
    <w:rsid w:val="007E74C1"/>
    <w:rsid w:val="007F111E"/>
    <w:rsid w:val="007F1933"/>
    <w:rsid w:val="007F30C9"/>
    <w:rsid w:val="007F3366"/>
    <w:rsid w:val="007F4991"/>
    <w:rsid w:val="00803358"/>
    <w:rsid w:val="00805ECD"/>
    <w:rsid w:val="00811E9D"/>
    <w:rsid w:val="00812517"/>
    <w:rsid w:val="008128E7"/>
    <w:rsid w:val="00812DE6"/>
    <w:rsid w:val="00815C58"/>
    <w:rsid w:val="00816D68"/>
    <w:rsid w:val="00817FF7"/>
    <w:rsid w:val="008216C4"/>
    <w:rsid w:val="00823C08"/>
    <w:rsid w:val="008261D3"/>
    <w:rsid w:val="008262BD"/>
    <w:rsid w:val="00827957"/>
    <w:rsid w:val="00830EA6"/>
    <w:rsid w:val="00831FC1"/>
    <w:rsid w:val="00833DB2"/>
    <w:rsid w:val="00834F8F"/>
    <w:rsid w:val="008354B6"/>
    <w:rsid w:val="00835D9C"/>
    <w:rsid w:val="00842453"/>
    <w:rsid w:val="0085442D"/>
    <w:rsid w:val="008559DD"/>
    <w:rsid w:val="00857723"/>
    <w:rsid w:val="00860B20"/>
    <w:rsid w:val="008612AB"/>
    <w:rsid w:val="00863835"/>
    <w:rsid w:val="0086468B"/>
    <w:rsid w:val="008654EC"/>
    <w:rsid w:val="00865564"/>
    <w:rsid w:val="00867D66"/>
    <w:rsid w:val="00873791"/>
    <w:rsid w:val="008740C4"/>
    <w:rsid w:val="0087418B"/>
    <w:rsid w:val="00876621"/>
    <w:rsid w:val="00877781"/>
    <w:rsid w:val="0087783A"/>
    <w:rsid w:val="0088123E"/>
    <w:rsid w:val="008812EE"/>
    <w:rsid w:val="008818A0"/>
    <w:rsid w:val="00881C44"/>
    <w:rsid w:val="00882B0B"/>
    <w:rsid w:val="00883928"/>
    <w:rsid w:val="00884E6E"/>
    <w:rsid w:val="00886A35"/>
    <w:rsid w:val="00887AA6"/>
    <w:rsid w:val="008926DB"/>
    <w:rsid w:val="00892944"/>
    <w:rsid w:val="0089479B"/>
    <w:rsid w:val="00895E86"/>
    <w:rsid w:val="008A08D8"/>
    <w:rsid w:val="008A2B75"/>
    <w:rsid w:val="008A34AC"/>
    <w:rsid w:val="008A34B4"/>
    <w:rsid w:val="008A4E73"/>
    <w:rsid w:val="008B2772"/>
    <w:rsid w:val="008B2C4B"/>
    <w:rsid w:val="008B32FE"/>
    <w:rsid w:val="008B38A4"/>
    <w:rsid w:val="008B684F"/>
    <w:rsid w:val="008B73E8"/>
    <w:rsid w:val="008C12A6"/>
    <w:rsid w:val="008C3F44"/>
    <w:rsid w:val="008C4623"/>
    <w:rsid w:val="008C47A3"/>
    <w:rsid w:val="008C5F8F"/>
    <w:rsid w:val="008C6256"/>
    <w:rsid w:val="008D035C"/>
    <w:rsid w:val="008D116F"/>
    <w:rsid w:val="008D1A3D"/>
    <w:rsid w:val="008D40AF"/>
    <w:rsid w:val="008D4C36"/>
    <w:rsid w:val="008D549A"/>
    <w:rsid w:val="008E0A2F"/>
    <w:rsid w:val="008E1308"/>
    <w:rsid w:val="008E185A"/>
    <w:rsid w:val="008E1F0E"/>
    <w:rsid w:val="008E2D8C"/>
    <w:rsid w:val="008E342C"/>
    <w:rsid w:val="008E3525"/>
    <w:rsid w:val="008E46CF"/>
    <w:rsid w:val="008E4B1E"/>
    <w:rsid w:val="008E4BE0"/>
    <w:rsid w:val="008E79FF"/>
    <w:rsid w:val="008F01DA"/>
    <w:rsid w:val="008F0D59"/>
    <w:rsid w:val="008F10DB"/>
    <w:rsid w:val="008F1523"/>
    <w:rsid w:val="008F171E"/>
    <w:rsid w:val="008F1A96"/>
    <w:rsid w:val="008F25E4"/>
    <w:rsid w:val="008F3755"/>
    <w:rsid w:val="008F3BBA"/>
    <w:rsid w:val="008F5198"/>
    <w:rsid w:val="008F577B"/>
    <w:rsid w:val="008F5E08"/>
    <w:rsid w:val="008F60F5"/>
    <w:rsid w:val="00901819"/>
    <w:rsid w:val="00901E94"/>
    <w:rsid w:val="009023A3"/>
    <w:rsid w:val="00902A64"/>
    <w:rsid w:val="00904A7F"/>
    <w:rsid w:val="009066EB"/>
    <w:rsid w:val="00907560"/>
    <w:rsid w:val="00910F8D"/>
    <w:rsid w:val="0091267D"/>
    <w:rsid w:val="009128E8"/>
    <w:rsid w:val="00913302"/>
    <w:rsid w:val="009134C8"/>
    <w:rsid w:val="00913FE2"/>
    <w:rsid w:val="00921A6D"/>
    <w:rsid w:val="009229C3"/>
    <w:rsid w:val="0092362F"/>
    <w:rsid w:val="0092557D"/>
    <w:rsid w:val="00925727"/>
    <w:rsid w:val="00926BE5"/>
    <w:rsid w:val="00927E59"/>
    <w:rsid w:val="009300AD"/>
    <w:rsid w:val="0093036A"/>
    <w:rsid w:val="009305BC"/>
    <w:rsid w:val="00930AB9"/>
    <w:rsid w:val="00932A91"/>
    <w:rsid w:val="009349DA"/>
    <w:rsid w:val="0093553E"/>
    <w:rsid w:val="0093588A"/>
    <w:rsid w:val="00935E59"/>
    <w:rsid w:val="00936E9F"/>
    <w:rsid w:val="00940B4F"/>
    <w:rsid w:val="00940CDF"/>
    <w:rsid w:val="00941135"/>
    <w:rsid w:val="00943291"/>
    <w:rsid w:val="009432D4"/>
    <w:rsid w:val="009437B7"/>
    <w:rsid w:val="00945E90"/>
    <w:rsid w:val="0094626F"/>
    <w:rsid w:val="00947D9C"/>
    <w:rsid w:val="009501F4"/>
    <w:rsid w:val="00951117"/>
    <w:rsid w:val="0095340F"/>
    <w:rsid w:val="00955A15"/>
    <w:rsid w:val="00957693"/>
    <w:rsid w:val="00957D8A"/>
    <w:rsid w:val="00961AC2"/>
    <w:rsid w:val="00962041"/>
    <w:rsid w:val="00965CDC"/>
    <w:rsid w:val="0096771A"/>
    <w:rsid w:val="00967CE5"/>
    <w:rsid w:val="009703B2"/>
    <w:rsid w:val="009717F3"/>
    <w:rsid w:val="009722CF"/>
    <w:rsid w:val="00973C61"/>
    <w:rsid w:val="00974100"/>
    <w:rsid w:val="00976AA3"/>
    <w:rsid w:val="00976AC6"/>
    <w:rsid w:val="00980933"/>
    <w:rsid w:val="0098321E"/>
    <w:rsid w:val="009843C8"/>
    <w:rsid w:val="0098730B"/>
    <w:rsid w:val="00990BCC"/>
    <w:rsid w:val="009912E9"/>
    <w:rsid w:val="00994046"/>
    <w:rsid w:val="00994389"/>
    <w:rsid w:val="00994F17"/>
    <w:rsid w:val="00997419"/>
    <w:rsid w:val="009A104A"/>
    <w:rsid w:val="009A1A04"/>
    <w:rsid w:val="009A309C"/>
    <w:rsid w:val="009A4657"/>
    <w:rsid w:val="009A62CF"/>
    <w:rsid w:val="009A768C"/>
    <w:rsid w:val="009C1F50"/>
    <w:rsid w:val="009C2622"/>
    <w:rsid w:val="009C31A9"/>
    <w:rsid w:val="009C4E78"/>
    <w:rsid w:val="009C6683"/>
    <w:rsid w:val="009C6955"/>
    <w:rsid w:val="009D2C7E"/>
    <w:rsid w:val="009D317F"/>
    <w:rsid w:val="009D3C8A"/>
    <w:rsid w:val="009D61AC"/>
    <w:rsid w:val="009D6271"/>
    <w:rsid w:val="009E18DC"/>
    <w:rsid w:val="009E3673"/>
    <w:rsid w:val="009E3ED8"/>
    <w:rsid w:val="009E41B6"/>
    <w:rsid w:val="009F18DC"/>
    <w:rsid w:val="009F2A2D"/>
    <w:rsid w:val="009F3365"/>
    <w:rsid w:val="009F6996"/>
    <w:rsid w:val="009F69F6"/>
    <w:rsid w:val="009F6E19"/>
    <w:rsid w:val="009F7F63"/>
    <w:rsid w:val="00A01B8D"/>
    <w:rsid w:val="00A03A42"/>
    <w:rsid w:val="00A03BF0"/>
    <w:rsid w:val="00A03FB9"/>
    <w:rsid w:val="00A06764"/>
    <w:rsid w:val="00A071F7"/>
    <w:rsid w:val="00A1063E"/>
    <w:rsid w:val="00A1228B"/>
    <w:rsid w:val="00A156E6"/>
    <w:rsid w:val="00A15FDA"/>
    <w:rsid w:val="00A161F7"/>
    <w:rsid w:val="00A16A95"/>
    <w:rsid w:val="00A16C61"/>
    <w:rsid w:val="00A17271"/>
    <w:rsid w:val="00A20092"/>
    <w:rsid w:val="00A21096"/>
    <w:rsid w:val="00A22186"/>
    <w:rsid w:val="00A221EE"/>
    <w:rsid w:val="00A22A4F"/>
    <w:rsid w:val="00A23CFA"/>
    <w:rsid w:val="00A26149"/>
    <w:rsid w:val="00A262B9"/>
    <w:rsid w:val="00A3043A"/>
    <w:rsid w:val="00A31B46"/>
    <w:rsid w:val="00A31E79"/>
    <w:rsid w:val="00A32350"/>
    <w:rsid w:val="00A34405"/>
    <w:rsid w:val="00A36EC3"/>
    <w:rsid w:val="00A426EA"/>
    <w:rsid w:val="00A432C6"/>
    <w:rsid w:val="00A445DD"/>
    <w:rsid w:val="00A44EED"/>
    <w:rsid w:val="00A4518D"/>
    <w:rsid w:val="00A454CE"/>
    <w:rsid w:val="00A45573"/>
    <w:rsid w:val="00A475F2"/>
    <w:rsid w:val="00A50BA8"/>
    <w:rsid w:val="00A52BE1"/>
    <w:rsid w:val="00A53C4A"/>
    <w:rsid w:val="00A54737"/>
    <w:rsid w:val="00A55528"/>
    <w:rsid w:val="00A55CD7"/>
    <w:rsid w:val="00A56189"/>
    <w:rsid w:val="00A568E9"/>
    <w:rsid w:val="00A56AFE"/>
    <w:rsid w:val="00A5766A"/>
    <w:rsid w:val="00A60353"/>
    <w:rsid w:val="00A606DB"/>
    <w:rsid w:val="00A606F1"/>
    <w:rsid w:val="00A61085"/>
    <w:rsid w:val="00A625B5"/>
    <w:rsid w:val="00A62871"/>
    <w:rsid w:val="00A62DD5"/>
    <w:rsid w:val="00A641D2"/>
    <w:rsid w:val="00A64439"/>
    <w:rsid w:val="00A64E74"/>
    <w:rsid w:val="00A666CC"/>
    <w:rsid w:val="00A66DF6"/>
    <w:rsid w:val="00A67085"/>
    <w:rsid w:val="00A6758A"/>
    <w:rsid w:val="00A67907"/>
    <w:rsid w:val="00A67E33"/>
    <w:rsid w:val="00A73E12"/>
    <w:rsid w:val="00A7476D"/>
    <w:rsid w:val="00A74BAC"/>
    <w:rsid w:val="00A75670"/>
    <w:rsid w:val="00A77008"/>
    <w:rsid w:val="00A774FD"/>
    <w:rsid w:val="00A80985"/>
    <w:rsid w:val="00A810D2"/>
    <w:rsid w:val="00A81969"/>
    <w:rsid w:val="00A81EA0"/>
    <w:rsid w:val="00A8215E"/>
    <w:rsid w:val="00A8430E"/>
    <w:rsid w:val="00A84DA6"/>
    <w:rsid w:val="00A85427"/>
    <w:rsid w:val="00A8584E"/>
    <w:rsid w:val="00A908F9"/>
    <w:rsid w:val="00A928EC"/>
    <w:rsid w:val="00A93021"/>
    <w:rsid w:val="00A955FE"/>
    <w:rsid w:val="00A962DA"/>
    <w:rsid w:val="00AA042D"/>
    <w:rsid w:val="00AA195C"/>
    <w:rsid w:val="00AA2FC7"/>
    <w:rsid w:val="00AA300C"/>
    <w:rsid w:val="00AA45C5"/>
    <w:rsid w:val="00AA45EE"/>
    <w:rsid w:val="00AA6217"/>
    <w:rsid w:val="00AA6C13"/>
    <w:rsid w:val="00AA76D4"/>
    <w:rsid w:val="00AA7A1E"/>
    <w:rsid w:val="00AB09DA"/>
    <w:rsid w:val="00AB0B87"/>
    <w:rsid w:val="00AB214F"/>
    <w:rsid w:val="00AB251C"/>
    <w:rsid w:val="00AB38C8"/>
    <w:rsid w:val="00AB4933"/>
    <w:rsid w:val="00AB4EA3"/>
    <w:rsid w:val="00AB55D9"/>
    <w:rsid w:val="00AB660A"/>
    <w:rsid w:val="00AB68C5"/>
    <w:rsid w:val="00AB7306"/>
    <w:rsid w:val="00AC08FE"/>
    <w:rsid w:val="00AC0E5D"/>
    <w:rsid w:val="00AC28FD"/>
    <w:rsid w:val="00AC2D1B"/>
    <w:rsid w:val="00AC3EE8"/>
    <w:rsid w:val="00AC6653"/>
    <w:rsid w:val="00AC6CEC"/>
    <w:rsid w:val="00AC6E68"/>
    <w:rsid w:val="00AD0738"/>
    <w:rsid w:val="00AD10C5"/>
    <w:rsid w:val="00AD11B7"/>
    <w:rsid w:val="00AD357B"/>
    <w:rsid w:val="00AE0A61"/>
    <w:rsid w:val="00AE1411"/>
    <w:rsid w:val="00AE16C0"/>
    <w:rsid w:val="00AE174C"/>
    <w:rsid w:val="00AE1C63"/>
    <w:rsid w:val="00AE1FD0"/>
    <w:rsid w:val="00AE2676"/>
    <w:rsid w:val="00AE2D4A"/>
    <w:rsid w:val="00AE6889"/>
    <w:rsid w:val="00AE6FE6"/>
    <w:rsid w:val="00AE7DEC"/>
    <w:rsid w:val="00AF0EFE"/>
    <w:rsid w:val="00AF2574"/>
    <w:rsid w:val="00AF3D83"/>
    <w:rsid w:val="00AF5323"/>
    <w:rsid w:val="00AF66BE"/>
    <w:rsid w:val="00AF6CCD"/>
    <w:rsid w:val="00AF7380"/>
    <w:rsid w:val="00B01B25"/>
    <w:rsid w:val="00B01C20"/>
    <w:rsid w:val="00B024AF"/>
    <w:rsid w:val="00B0271B"/>
    <w:rsid w:val="00B02CF6"/>
    <w:rsid w:val="00B03D95"/>
    <w:rsid w:val="00B06677"/>
    <w:rsid w:val="00B066B6"/>
    <w:rsid w:val="00B10818"/>
    <w:rsid w:val="00B1124C"/>
    <w:rsid w:val="00B11DD8"/>
    <w:rsid w:val="00B123BB"/>
    <w:rsid w:val="00B1422E"/>
    <w:rsid w:val="00B149DB"/>
    <w:rsid w:val="00B15187"/>
    <w:rsid w:val="00B15C86"/>
    <w:rsid w:val="00B1601F"/>
    <w:rsid w:val="00B160F1"/>
    <w:rsid w:val="00B16B07"/>
    <w:rsid w:val="00B23EAE"/>
    <w:rsid w:val="00B25B85"/>
    <w:rsid w:val="00B2670F"/>
    <w:rsid w:val="00B27921"/>
    <w:rsid w:val="00B303FC"/>
    <w:rsid w:val="00B330F0"/>
    <w:rsid w:val="00B37DA1"/>
    <w:rsid w:val="00B4085E"/>
    <w:rsid w:val="00B40CA8"/>
    <w:rsid w:val="00B4291E"/>
    <w:rsid w:val="00B43673"/>
    <w:rsid w:val="00B43C83"/>
    <w:rsid w:val="00B43F4E"/>
    <w:rsid w:val="00B440E7"/>
    <w:rsid w:val="00B44599"/>
    <w:rsid w:val="00B44DDB"/>
    <w:rsid w:val="00B45782"/>
    <w:rsid w:val="00B46017"/>
    <w:rsid w:val="00B46D65"/>
    <w:rsid w:val="00B50DC3"/>
    <w:rsid w:val="00B53547"/>
    <w:rsid w:val="00B53D87"/>
    <w:rsid w:val="00B53FA2"/>
    <w:rsid w:val="00B54C20"/>
    <w:rsid w:val="00B56277"/>
    <w:rsid w:val="00B56580"/>
    <w:rsid w:val="00B57187"/>
    <w:rsid w:val="00B5759D"/>
    <w:rsid w:val="00B60004"/>
    <w:rsid w:val="00B63B77"/>
    <w:rsid w:val="00B6432F"/>
    <w:rsid w:val="00B64DBA"/>
    <w:rsid w:val="00B66623"/>
    <w:rsid w:val="00B67038"/>
    <w:rsid w:val="00B67868"/>
    <w:rsid w:val="00B67D76"/>
    <w:rsid w:val="00B709D0"/>
    <w:rsid w:val="00B7100D"/>
    <w:rsid w:val="00B729BE"/>
    <w:rsid w:val="00B738E5"/>
    <w:rsid w:val="00B741CD"/>
    <w:rsid w:val="00B74D38"/>
    <w:rsid w:val="00B8266D"/>
    <w:rsid w:val="00B82B8A"/>
    <w:rsid w:val="00B83308"/>
    <w:rsid w:val="00B841C4"/>
    <w:rsid w:val="00B8422D"/>
    <w:rsid w:val="00B85575"/>
    <w:rsid w:val="00B916B9"/>
    <w:rsid w:val="00B91738"/>
    <w:rsid w:val="00B9225D"/>
    <w:rsid w:val="00B9369E"/>
    <w:rsid w:val="00B96A3E"/>
    <w:rsid w:val="00BA1756"/>
    <w:rsid w:val="00BA21BF"/>
    <w:rsid w:val="00BA3203"/>
    <w:rsid w:val="00BA4344"/>
    <w:rsid w:val="00BA492B"/>
    <w:rsid w:val="00BA4B09"/>
    <w:rsid w:val="00BA5D99"/>
    <w:rsid w:val="00BA6C1B"/>
    <w:rsid w:val="00BB60AF"/>
    <w:rsid w:val="00BB66FD"/>
    <w:rsid w:val="00BB773E"/>
    <w:rsid w:val="00BC1344"/>
    <w:rsid w:val="00BC1BCD"/>
    <w:rsid w:val="00BC2765"/>
    <w:rsid w:val="00BC3483"/>
    <w:rsid w:val="00BC34D7"/>
    <w:rsid w:val="00BC3BB0"/>
    <w:rsid w:val="00BC4A7E"/>
    <w:rsid w:val="00BC4BF8"/>
    <w:rsid w:val="00BC5967"/>
    <w:rsid w:val="00BD0562"/>
    <w:rsid w:val="00BD0639"/>
    <w:rsid w:val="00BD0C23"/>
    <w:rsid w:val="00BD2100"/>
    <w:rsid w:val="00BD2C7D"/>
    <w:rsid w:val="00BD2EF0"/>
    <w:rsid w:val="00BD50E8"/>
    <w:rsid w:val="00BD6214"/>
    <w:rsid w:val="00BD6857"/>
    <w:rsid w:val="00BD6EB2"/>
    <w:rsid w:val="00BE1ECA"/>
    <w:rsid w:val="00BE2FE8"/>
    <w:rsid w:val="00BE719E"/>
    <w:rsid w:val="00BE7EA5"/>
    <w:rsid w:val="00BF0930"/>
    <w:rsid w:val="00BF0C12"/>
    <w:rsid w:val="00BF11B6"/>
    <w:rsid w:val="00BF1B67"/>
    <w:rsid w:val="00BF4A91"/>
    <w:rsid w:val="00BF4DBE"/>
    <w:rsid w:val="00BF689E"/>
    <w:rsid w:val="00C00CD6"/>
    <w:rsid w:val="00C00E66"/>
    <w:rsid w:val="00C04F4B"/>
    <w:rsid w:val="00C06F2D"/>
    <w:rsid w:val="00C1069D"/>
    <w:rsid w:val="00C10BB9"/>
    <w:rsid w:val="00C12202"/>
    <w:rsid w:val="00C13B51"/>
    <w:rsid w:val="00C14B69"/>
    <w:rsid w:val="00C15249"/>
    <w:rsid w:val="00C16397"/>
    <w:rsid w:val="00C16529"/>
    <w:rsid w:val="00C16BFE"/>
    <w:rsid w:val="00C16D76"/>
    <w:rsid w:val="00C1728F"/>
    <w:rsid w:val="00C17EC4"/>
    <w:rsid w:val="00C20052"/>
    <w:rsid w:val="00C218F5"/>
    <w:rsid w:val="00C23212"/>
    <w:rsid w:val="00C23615"/>
    <w:rsid w:val="00C23E40"/>
    <w:rsid w:val="00C2631C"/>
    <w:rsid w:val="00C27B72"/>
    <w:rsid w:val="00C30382"/>
    <w:rsid w:val="00C30651"/>
    <w:rsid w:val="00C31D57"/>
    <w:rsid w:val="00C3338D"/>
    <w:rsid w:val="00C346B0"/>
    <w:rsid w:val="00C34960"/>
    <w:rsid w:val="00C3701C"/>
    <w:rsid w:val="00C4081D"/>
    <w:rsid w:val="00C413ED"/>
    <w:rsid w:val="00C4217B"/>
    <w:rsid w:val="00C436E7"/>
    <w:rsid w:val="00C466FA"/>
    <w:rsid w:val="00C47101"/>
    <w:rsid w:val="00C477D9"/>
    <w:rsid w:val="00C47F8B"/>
    <w:rsid w:val="00C51210"/>
    <w:rsid w:val="00C5428C"/>
    <w:rsid w:val="00C558C9"/>
    <w:rsid w:val="00C561C5"/>
    <w:rsid w:val="00C565CA"/>
    <w:rsid w:val="00C56E70"/>
    <w:rsid w:val="00C603B9"/>
    <w:rsid w:val="00C632CF"/>
    <w:rsid w:val="00C63C43"/>
    <w:rsid w:val="00C63F6E"/>
    <w:rsid w:val="00C6631C"/>
    <w:rsid w:val="00C66A0E"/>
    <w:rsid w:val="00C6775B"/>
    <w:rsid w:val="00C67D13"/>
    <w:rsid w:val="00C71348"/>
    <w:rsid w:val="00C7383E"/>
    <w:rsid w:val="00C73B4E"/>
    <w:rsid w:val="00C73EC9"/>
    <w:rsid w:val="00C74B58"/>
    <w:rsid w:val="00C8026B"/>
    <w:rsid w:val="00C82385"/>
    <w:rsid w:val="00C825E0"/>
    <w:rsid w:val="00C83393"/>
    <w:rsid w:val="00C83ED8"/>
    <w:rsid w:val="00C8494A"/>
    <w:rsid w:val="00C87516"/>
    <w:rsid w:val="00C90879"/>
    <w:rsid w:val="00C90CE8"/>
    <w:rsid w:val="00C913E5"/>
    <w:rsid w:val="00C919F9"/>
    <w:rsid w:val="00C92853"/>
    <w:rsid w:val="00C9382C"/>
    <w:rsid w:val="00C93D79"/>
    <w:rsid w:val="00C94206"/>
    <w:rsid w:val="00C945B6"/>
    <w:rsid w:val="00C954F4"/>
    <w:rsid w:val="00C95BFB"/>
    <w:rsid w:val="00C95DAE"/>
    <w:rsid w:val="00C9665F"/>
    <w:rsid w:val="00C977F2"/>
    <w:rsid w:val="00C979BA"/>
    <w:rsid w:val="00CA02B7"/>
    <w:rsid w:val="00CA0C48"/>
    <w:rsid w:val="00CA5081"/>
    <w:rsid w:val="00CA5B4A"/>
    <w:rsid w:val="00CA693B"/>
    <w:rsid w:val="00CB001C"/>
    <w:rsid w:val="00CB03FD"/>
    <w:rsid w:val="00CB08D3"/>
    <w:rsid w:val="00CB1423"/>
    <w:rsid w:val="00CB1644"/>
    <w:rsid w:val="00CB1C61"/>
    <w:rsid w:val="00CB2632"/>
    <w:rsid w:val="00CB28D6"/>
    <w:rsid w:val="00CB3322"/>
    <w:rsid w:val="00CB4FB4"/>
    <w:rsid w:val="00CB566D"/>
    <w:rsid w:val="00CB7A92"/>
    <w:rsid w:val="00CC018E"/>
    <w:rsid w:val="00CC1230"/>
    <w:rsid w:val="00CC458A"/>
    <w:rsid w:val="00CD2739"/>
    <w:rsid w:val="00CD2A1C"/>
    <w:rsid w:val="00CD434E"/>
    <w:rsid w:val="00CD5CD9"/>
    <w:rsid w:val="00CD6C45"/>
    <w:rsid w:val="00CE245F"/>
    <w:rsid w:val="00CE391B"/>
    <w:rsid w:val="00CE3A14"/>
    <w:rsid w:val="00CE533E"/>
    <w:rsid w:val="00CE59B2"/>
    <w:rsid w:val="00CE59ED"/>
    <w:rsid w:val="00CE612B"/>
    <w:rsid w:val="00CE65DF"/>
    <w:rsid w:val="00CE70B7"/>
    <w:rsid w:val="00CF0932"/>
    <w:rsid w:val="00CF1EC1"/>
    <w:rsid w:val="00CF1F1B"/>
    <w:rsid w:val="00CF2E71"/>
    <w:rsid w:val="00CF48D8"/>
    <w:rsid w:val="00CF5E17"/>
    <w:rsid w:val="00CF65B8"/>
    <w:rsid w:val="00D00B3C"/>
    <w:rsid w:val="00D03221"/>
    <w:rsid w:val="00D04151"/>
    <w:rsid w:val="00D063E5"/>
    <w:rsid w:val="00D10ABC"/>
    <w:rsid w:val="00D10BB5"/>
    <w:rsid w:val="00D1130C"/>
    <w:rsid w:val="00D12060"/>
    <w:rsid w:val="00D12E3F"/>
    <w:rsid w:val="00D134D4"/>
    <w:rsid w:val="00D13667"/>
    <w:rsid w:val="00D145F1"/>
    <w:rsid w:val="00D15198"/>
    <w:rsid w:val="00D1594D"/>
    <w:rsid w:val="00D15EFB"/>
    <w:rsid w:val="00D17763"/>
    <w:rsid w:val="00D21502"/>
    <w:rsid w:val="00D2184B"/>
    <w:rsid w:val="00D26D6D"/>
    <w:rsid w:val="00D30B7F"/>
    <w:rsid w:val="00D311F3"/>
    <w:rsid w:val="00D3139B"/>
    <w:rsid w:val="00D322C5"/>
    <w:rsid w:val="00D3532E"/>
    <w:rsid w:val="00D41B3E"/>
    <w:rsid w:val="00D437A3"/>
    <w:rsid w:val="00D46506"/>
    <w:rsid w:val="00D46867"/>
    <w:rsid w:val="00D46C20"/>
    <w:rsid w:val="00D47576"/>
    <w:rsid w:val="00D47ECB"/>
    <w:rsid w:val="00D502EF"/>
    <w:rsid w:val="00D50C58"/>
    <w:rsid w:val="00D514A0"/>
    <w:rsid w:val="00D53790"/>
    <w:rsid w:val="00D5539B"/>
    <w:rsid w:val="00D56431"/>
    <w:rsid w:val="00D57A1D"/>
    <w:rsid w:val="00D614FD"/>
    <w:rsid w:val="00D6185E"/>
    <w:rsid w:val="00D61FD5"/>
    <w:rsid w:val="00D62FFD"/>
    <w:rsid w:val="00D64374"/>
    <w:rsid w:val="00D6601A"/>
    <w:rsid w:val="00D700D7"/>
    <w:rsid w:val="00D706EB"/>
    <w:rsid w:val="00D70795"/>
    <w:rsid w:val="00D70D6C"/>
    <w:rsid w:val="00D70F11"/>
    <w:rsid w:val="00D72BBD"/>
    <w:rsid w:val="00D72D48"/>
    <w:rsid w:val="00D8030D"/>
    <w:rsid w:val="00D82B08"/>
    <w:rsid w:val="00D82E76"/>
    <w:rsid w:val="00D83270"/>
    <w:rsid w:val="00D83C27"/>
    <w:rsid w:val="00D83F09"/>
    <w:rsid w:val="00D85E58"/>
    <w:rsid w:val="00D85F11"/>
    <w:rsid w:val="00D860B3"/>
    <w:rsid w:val="00D87C3C"/>
    <w:rsid w:val="00D87E88"/>
    <w:rsid w:val="00D90B5A"/>
    <w:rsid w:val="00D947D7"/>
    <w:rsid w:val="00D9576E"/>
    <w:rsid w:val="00D96B45"/>
    <w:rsid w:val="00D97010"/>
    <w:rsid w:val="00DA0FA9"/>
    <w:rsid w:val="00DA27D7"/>
    <w:rsid w:val="00DA2CFC"/>
    <w:rsid w:val="00DA678F"/>
    <w:rsid w:val="00DA679E"/>
    <w:rsid w:val="00DB18C3"/>
    <w:rsid w:val="00DB1B45"/>
    <w:rsid w:val="00DB1F36"/>
    <w:rsid w:val="00DB38C2"/>
    <w:rsid w:val="00DC04D4"/>
    <w:rsid w:val="00DC05B9"/>
    <w:rsid w:val="00DC1519"/>
    <w:rsid w:val="00DC177E"/>
    <w:rsid w:val="00DC1A30"/>
    <w:rsid w:val="00DC1C02"/>
    <w:rsid w:val="00DC25F4"/>
    <w:rsid w:val="00DC59A1"/>
    <w:rsid w:val="00DC5BA9"/>
    <w:rsid w:val="00DC6671"/>
    <w:rsid w:val="00DD0811"/>
    <w:rsid w:val="00DD3852"/>
    <w:rsid w:val="00DD3CA1"/>
    <w:rsid w:val="00DD40BE"/>
    <w:rsid w:val="00DD6F83"/>
    <w:rsid w:val="00DD73BB"/>
    <w:rsid w:val="00DE0113"/>
    <w:rsid w:val="00DE0659"/>
    <w:rsid w:val="00DE5033"/>
    <w:rsid w:val="00DE53B6"/>
    <w:rsid w:val="00DE789D"/>
    <w:rsid w:val="00DE7A82"/>
    <w:rsid w:val="00DF237E"/>
    <w:rsid w:val="00DF26EB"/>
    <w:rsid w:val="00DF5A8B"/>
    <w:rsid w:val="00DF6810"/>
    <w:rsid w:val="00DF7BFC"/>
    <w:rsid w:val="00E002AF"/>
    <w:rsid w:val="00E01D18"/>
    <w:rsid w:val="00E04FA6"/>
    <w:rsid w:val="00E053F7"/>
    <w:rsid w:val="00E06EDE"/>
    <w:rsid w:val="00E1218D"/>
    <w:rsid w:val="00E13C6D"/>
    <w:rsid w:val="00E147DC"/>
    <w:rsid w:val="00E14F91"/>
    <w:rsid w:val="00E15002"/>
    <w:rsid w:val="00E15671"/>
    <w:rsid w:val="00E16D41"/>
    <w:rsid w:val="00E17BC3"/>
    <w:rsid w:val="00E223FA"/>
    <w:rsid w:val="00E22C35"/>
    <w:rsid w:val="00E238F9"/>
    <w:rsid w:val="00E25545"/>
    <w:rsid w:val="00E26E18"/>
    <w:rsid w:val="00E27074"/>
    <w:rsid w:val="00E30021"/>
    <w:rsid w:val="00E30FFD"/>
    <w:rsid w:val="00E316E5"/>
    <w:rsid w:val="00E32AB8"/>
    <w:rsid w:val="00E32E72"/>
    <w:rsid w:val="00E33729"/>
    <w:rsid w:val="00E35198"/>
    <w:rsid w:val="00E355CC"/>
    <w:rsid w:val="00E36AEF"/>
    <w:rsid w:val="00E4061D"/>
    <w:rsid w:val="00E40CEB"/>
    <w:rsid w:val="00E4119F"/>
    <w:rsid w:val="00E43B39"/>
    <w:rsid w:val="00E43E01"/>
    <w:rsid w:val="00E45C42"/>
    <w:rsid w:val="00E45E3A"/>
    <w:rsid w:val="00E46DA0"/>
    <w:rsid w:val="00E474BF"/>
    <w:rsid w:val="00E47F58"/>
    <w:rsid w:val="00E50B2A"/>
    <w:rsid w:val="00E52F05"/>
    <w:rsid w:val="00E532BB"/>
    <w:rsid w:val="00E533DF"/>
    <w:rsid w:val="00E61BF4"/>
    <w:rsid w:val="00E63806"/>
    <w:rsid w:val="00E641AF"/>
    <w:rsid w:val="00E6439D"/>
    <w:rsid w:val="00E64E18"/>
    <w:rsid w:val="00E6557F"/>
    <w:rsid w:val="00E65B3F"/>
    <w:rsid w:val="00E66D64"/>
    <w:rsid w:val="00E678F6"/>
    <w:rsid w:val="00E67B8E"/>
    <w:rsid w:val="00E71651"/>
    <w:rsid w:val="00E722C8"/>
    <w:rsid w:val="00E72F75"/>
    <w:rsid w:val="00E737A8"/>
    <w:rsid w:val="00E73C8B"/>
    <w:rsid w:val="00E76480"/>
    <w:rsid w:val="00E77FB0"/>
    <w:rsid w:val="00E8099F"/>
    <w:rsid w:val="00E832A4"/>
    <w:rsid w:val="00E839EF"/>
    <w:rsid w:val="00E83F6A"/>
    <w:rsid w:val="00E84304"/>
    <w:rsid w:val="00E8477E"/>
    <w:rsid w:val="00E852D5"/>
    <w:rsid w:val="00E90D44"/>
    <w:rsid w:val="00E91650"/>
    <w:rsid w:val="00E91776"/>
    <w:rsid w:val="00E93AC8"/>
    <w:rsid w:val="00E9775F"/>
    <w:rsid w:val="00E977DC"/>
    <w:rsid w:val="00E97BA6"/>
    <w:rsid w:val="00E97F0D"/>
    <w:rsid w:val="00E97F48"/>
    <w:rsid w:val="00EA083A"/>
    <w:rsid w:val="00EA10EC"/>
    <w:rsid w:val="00EA1E53"/>
    <w:rsid w:val="00EA2330"/>
    <w:rsid w:val="00EA36A2"/>
    <w:rsid w:val="00EA4817"/>
    <w:rsid w:val="00EA4DB5"/>
    <w:rsid w:val="00EA5152"/>
    <w:rsid w:val="00EA7085"/>
    <w:rsid w:val="00EB09F7"/>
    <w:rsid w:val="00EB57D5"/>
    <w:rsid w:val="00EB7FF4"/>
    <w:rsid w:val="00EC0770"/>
    <w:rsid w:val="00EC096B"/>
    <w:rsid w:val="00EC2288"/>
    <w:rsid w:val="00EC56DC"/>
    <w:rsid w:val="00EC6B43"/>
    <w:rsid w:val="00ED0BD1"/>
    <w:rsid w:val="00ED112F"/>
    <w:rsid w:val="00ED2862"/>
    <w:rsid w:val="00ED5353"/>
    <w:rsid w:val="00EE15E7"/>
    <w:rsid w:val="00EE5311"/>
    <w:rsid w:val="00EE6108"/>
    <w:rsid w:val="00EE6E30"/>
    <w:rsid w:val="00EE73B7"/>
    <w:rsid w:val="00EE74BE"/>
    <w:rsid w:val="00EE7971"/>
    <w:rsid w:val="00EF16AC"/>
    <w:rsid w:val="00F007E2"/>
    <w:rsid w:val="00F009D5"/>
    <w:rsid w:val="00F01696"/>
    <w:rsid w:val="00F0343E"/>
    <w:rsid w:val="00F03A79"/>
    <w:rsid w:val="00F04094"/>
    <w:rsid w:val="00F04926"/>
    <w:rsid w:val="00F10A7B"/>
    <w:rsid w:val="00F1641C"/>
    <w:rsid w:val="00F16C58"/>
    <w:rsid w:val="00F172FF"/>
    <w:rsid w:val="00F174FC"/>
    <w:rsid w:val="00F21791"/>
    <w:rsid w:val="00F24215"/>
    <w:rsid w:val="00F249AE"/>
    <w:rsid w:val="00F25E52"/>
    <w:rsid w:val="00F2649B"/>
    <w:rsid w:val="00F26AEF"/>
    <w:rsid w:val="00F3024A"/>
    <w:rsid w:val="00F31552"/>
    <w:rsid w:val="00F317FF"/>
    <w:rsid w:val="00F31D77"/>
    <w:rsid w:val="00F31F30"/>
    <w:rsid w:val="00F32F76"/>
    <w:rsid w:val="00F33584"/>
    <w:rsid w:val="00F339E0"/>
    <w:rsid w:val="00F36F32"/>
    <w:rsid w:val="00F375BC"/>
    <w:rsid w:val="00F375DD"/>
    <w:rsid w:val="00F40795"/>
    <w:rsid w:val="00F41D66"/>
    <w:rsid w:val="00F443A4"/>
    <w:rsid w:val="00F46290"/>
    <w:rsid w:val="00F502D0"/>
    <w:rsid w:val="00F52542"/>
    <w:rsid w:val="00F54193"/>
    <w:rsid w:val="00F54523"/>
    <w:rsid w:val="00F56096"/>
    <w:rsid w:val="00F561E7"/>
    <w:rsid w:val="00F576CE"/>
    <w:rsid w:val="00F67C61"/>
    <w:rsid w:val="00F707C3"/>
    <w:rsid w:val="00F71E3E"/>
    <w:rsid w:val="00F73128"/>
    <w:rsid w:val="00F7568B"/>
    <w:rsid w:val="00F758DC"/>
    <w:rsid w:val="00F77DA8"/>
    <w:rsid w:val="00F84C58"/>
    <w:rsid w:val="00F85A95"/>
    <w:rsid w:val="00F90627"/>
    <w:rsid w:val="00F910D5"/>
    <w:rsid w:val="00F92C4A"/>
    <w:rsid w:val="00F936B3"/>
    <w:rsid w:val="00F9381C"/>
    <w:rsid w:val="00F942CE"/>
    <w:rsid w:val="00F951B2"/>
    <w:rsid w:val="00F95A8B"/>
    <w:rsid w:val="00F97795"/>
    <w:rsid w:val="00F979C4"/>
    <w:rsid w:val="00FA017D"/>
    <w:rsid w:val="00FA086B"/>
    <w:rsid w:val="00FA2CC3"/>
    <w:rsid w:val="00FA321F"/>
    <w:rsid w:val="00FA477A"/>
    <w:rsid w:val="00FA4A51"/>
    <w:rsid w:val="00FA5892"/>
    <w:rsid w:val="00FA6FC2"/>
    <w:rsid w:val="00FA724E"/>
    <w:rsid w:val="00FB126E"/>
    <w:rsid w:val="00FB1F78"/>
    <w:rsid w:val="00FB22EB"/>
    <w:rsid w:val="00FB305C"/>
    <w:rsid w:val="00FB3274"/>
    <w:rsid w:val="00FB51D5"/>
    <w:rsid w:val="00FB51E0"/>
    <w:rsid w:val="00FB542E"/>
    <w:rsid w:val="00FB55DD"/>
    <w:rsid w:val="00FB621E"/>
    <w:rsid w:val="00FB70EE"/>
    <w:rsid w:val="00FC00DC"/>
    <w:rsid w:val="00FC2DB8"/>
    <w:rsid w:val="00FC2E12"/>
    <w:rsid w:val="00FC30F1"/>
    <w:rsid w:val="00FC34D5"/>
    <w:rsid w:val="00FC3AEA"/>
    <w:rsid w:val="00FC429C"/>
    <w:rsid w:val="00FD42FC"/>
    <w:rsid w:val="00FD54F4"/>
    <w:rsid w:val="00FD6278"/>
    <w:rsid w:val="00FE1EE2"/>
    <w:rsid w:val="00FE69A8"/>
    <w:rsid w:val="00FF0BDC"/>
    <w:rsid w:val="00FF1A53"/>
    <w:rsid w:val="00FF25AF"/>
    <w:rsid w:val="00FF3338"/>
    <w:rsid w:val="00FF570D"/>
    <w:rsid w:val="00FF57F1"/>
    <w:rsid w:val="00FF6E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14C0"/>
  <w15:chartTrackingRefBased/>
  <w15:docId w15:val="{74F3D5EC-C49F-4D71-80A1-530F035B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802"/>
    <w:rPr>
      <w:rFonts w:ascii="Times New Roman" w:eastAsia="宋体" w:hAnsi="Times New Roman" w:cs="Times New Roman"/>
      <w:szCs w:val="24"/>
    </w:rPr>
  </w:style>
  <w:style w:type="paragraph" w:styleId="1">
    <w:name w:val="heading 1"/>
    <w:basedOn w:val="a"/>
    <w:next w:val="a"/>
    <w:link w:val="10"/>
    <w:uiPriority w:val="9"/>
    <w:qFormat/>
    <w:rsid w:val="00E40C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802"/>
    <w:rPr>
      <w:sz w:val="18"/>
      <w:szCs w:val="18"/>
    </w:rPr>
  </w:style>
  <w:style w:type="paragraph" w:styleId="a5">
    <w:name w:val="footer"/>
    <w:basedOn w:val="a"/>
    <w:link w:val="a6"/>
    <w:uiPriority w:val="99"/>
    <w:unhideWhenUsed/>
    <w:rsid w:val="005E0802"/>
    <w:pPr>
      <w:tabs>
        <w:tab w:val="center" w:pos="4153"/>
        <w:tab w:val="right" w:pos="8306"/>
      </w:tabs>
      <w:snapToGrid w:val="0"/>
      <w:jc w:val="left"/>
    </w:pPr>
    <w:rPr>
      <w:sz w:val="18"/>
      <w:szCs w:val="18"/>
    </w:rPr>
  </w:style>
  <w:style w:type="character" w:customStyle="1" w:styleId="a6">
    <w:name w:val="页脚 字符"/>
    <w:basedOn w:val="a0"/>
    <w:link w:val="a5"/>
    <w:uiPriority w:val="99"/>
    <w:rsid w:val="005E0802"/>
    <w:rPr>
      <w:sz w:val="18"/>
      <w:szCs w:val="18"/>
    </w:rPr>
  </w:style>
  <w:style w:type="paragraph" w:customStyle="1" w:styleId="0">
    <w:name w:val="正文_0"/>
    <w:qFormat/>
    <w:rsid w:val="005E0802"/>
    <w:rPr>
      <w:rFonts w:ascii="Times New Roman" w:eastAsia="宋体" w:hAnsi="Times New Roman" w:cs="Times New Roman"/>
      <w:szCs w:val="24"/>
    </w:rPr>
  </w:style>
  <w:style w:type="table" w:styleId="2">
    <w:name w:val="Plain Table 2"/>
    <w:basedOn w:val="a1"/>
    <w:uiPriority w:val="42"/>
    <w:rsid w:val="005E0802"/>
    <w:pPr>
      <w:widowControl/>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7">
    <w:name w:val="Hyperlink"/>
    <w:basedOn w:val="a0"/>
    <w:uiPriority w:val="99"/>
    <w:unhideWhenUsed/>
    <w:rsid w:val="00471F3F"/>
    <w:rPr>
      <w:color w:val="0563C1" w:themeColor="hyperlink"/>
      <w:u w:val="single"/>
    </w:rPr>
  </w:style>
  <w:style w:type="character" w:styleId="a8">
    <w:name w:val="Unresolved Mention"/>
    <w:basedOn w:val="a0"/>
    <w:uiPriority w:val="99"/>
    <w:semiHidden/>
    <w:unhideWhenUsed/>
    <w:rsid w:val="00471F3F"/>
    <w:rPr>
      <w:color w:val="605E5C"/>
      <w:shd w:val="clear" w:color="auto" w:fill="E1DFDD"/>
    </w:rPr>
  </w:style>
  <w:style w:type="character" w:customStyle="1" w:styleId="10">
    <w:name w:val="标题 1 字符"/>
    <w:basedOn w:val="a0"/>
    <w:link w:val="1"/>
    <w:uiPriority w:val="9"/>
    <w:rsid w:val="00E40CE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E40CE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E40CEB"/>
    <w:pPr>
      <w:widowControl/>
      <w:spacing w:after="100" w:line="259" w:lineRule="auto"/>
      <w:ind w:left="220"/>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E40CEB"/>
    <w:pPr>
      <w:widowControl/>
      <w:spacing w:after="100" w:line="259" w:lineRule="auto"/>
      <w:jc w:val="left"/>
    </w:pPr>
    <w:rPr>
      <w:rFonts w:asciiTheme="minorHAnsi" w:eastAsiaTheme="minorEastAsia" w:hAnsiTheme="minorHAnsi"/>
      <w:kern w:val="0"/>
      <w:sz w:val="22"/>
      <w:szCs w:val="22"/>
    </w:rPr>
  </w:style>
  <w:style w:type="paragraph" w:styleId="TOC3">
    <w:name w:val="toc 3"/>
    <w:basedOn w:val="a"/>
    <w:next w:val="a"/>
    <w:autoRedefine/>
    <w:uiPriority w:val="39"/>
    <w:unhideWhenUsed/>
    <w:rsid w:val="00E40CEB"/>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gxu@cup.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A0E86-74CE-4BB9-BDBA-85830253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3027</Words>
  <Characters>17258</Characters>
  <Application>Microsoft Office Word</Application>
  <DocSecurity>0</DocSecurity>
  <Lines>143</Lines>
  <Paragraphs>40</Paragraphs>
  <ScaleCrop>false</ScaleCrop>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Keqiang</dc:creator>
  <cp:keywords/>
  <dc:description/>
  <cp:lastModifiedBy>Guo Keqiang</cp:lastModifiedBy>
  <cp:revision>11</cp:revision>
  <cp:lastPrinted>2021-03-13T16:17:00Z</cp:lastPrinted>
  <dcterms:created xsi:type="dcterms:W3CDTF">2021-03-13T13:36:00Z</dcterms:created>
  <dcterms:modified xsi:type="dcterms:W3CDTF">2021-03-13T16:17:00Z</dcterms:modified>
</cp:coreProperties>
</file>