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28BE0" w14:textId="77777777" w:rsidR="00DA4AED" w:rsidRPr="00BC74C9" w:rsidRDefault="00DA4AED" w:rsidP="00DA4AED">
      <w:pPr>
        <w:spacing w:after="0" w:line="480" w:lineRule="auto"/>
        <w:rPr>
          <w:rFonts w:cstheme="minorHAnsi"/>
          <w:b/>
          <w:szCs w:val="24"/>
        </w:rPr>
      </w:pPr>
      <w:r w:rsidRPr="00BC74C9">
        <w:rPr>
          <w:rFonts w:cstheme="minorHAnsi"/>
          <w:b/>
          <w:szCs w:val="24"/>
        </w:rPr>
        <w:t>Supplementary Material</w:t>
      </w:r>
    </w:p>
    <w:p w14:paraId="736CBD41" w14:textId="77777777" w:rsidR="00DA4AED" w:rsidRPr="00BC74C9" w:rsidRDefault="00DA4AED" w:rsidP="00DA4AED">
      <w:pPr>
        <w:spacing w:after="0" w:line="480" w:lineRule="auto"/>
        <w:rPr>
          <w:rFonts w:eastAsia="PMingLiU" w:cstheme="minorHAnsi"/>
          <w:szCs w:val="24"/>
        </w:rPr>
      </w:pPr>
      <w:r w:rsidRPr="00BC74C9">
        <w:rPr>
          <w:rFonts w:eastAsia="PMingLiU" w:cstheme="minorHAnsi"/>
          <w:b/>
          <w:szCs w:val="24"/>
        </w:rPr>
        <w:t xml:space="preserve">Supplementary Table S1. </w:t>
      </w:r>
      <w:r w:rsidRPr="00BC74C9">
        <w:rPr>
          <w:rFonts w:cstheme="minorHAnsi"/>
          <w:szCs w:val="24"/>
        </w:rPr>
        <w:t xml:space="preserve">The reimbursement date and </w:t>
      </w:r>
      <w:r w:rsidRPr="00BC74C9">
        <w:rPr>
          <w:rFonts w:eastAsia="PMingLiU" w:cstheme="minorHAnsi"/>
          <w:szCs w:val="24"/>
        </w:rPr>
        <w:t xml:space="preserve">drug supply </w:t>
      </w:r>
      <w:proofErr w:type="spellStart"/>
      <w:r w:rsidRPr="00BC74C9">
        <w:rPr>
          <w:rFonts w:eastAsia="PMingLiU" w:cstheme="minorHAnsi"/>
          <w:szCs w:val="24"/>
        </w:rPr>
        <w:t>days</w:t>
      </w:r>
      <w:r w:rsidRPr="00ED1088">
        <w:rPr>
          <w:rFonts w:eastAsia="PMingLiU" w:cstheme="minorHAnsi"/>
          <w:szCs w:val="24"/>
          <w:vertAlign w:val="superscript"/>
        </w:rPr>
        <w:t>a</w:t>
      </w:r>
      <w:proofErr w:type="spellEnd"/>
      <w:r w:rsidRPr="00BC74C9">
        <w:rPr>
          <w:rFonts w:cstheme="minorHAnsi"/>
          <w:szCs w:val="24"/>
        </w:rPr>
        <w:t xml:space="preserve"> of </w:t>
      </w:r>
      <w:proofErr w:type="spellStart"/>
      <w:r w:rsidRPr="00BC74C9">
        <w:rPr>
          <w:rFonts w:cstheme="minorHAnsi"/>
          <w:szCs w:val="24"/>
        </w:rPr>
        <w:t>bDMARD</w:t>
      </w:r>
      <w:proofErr w:type="spellEnd"/>
      <w:r w:rsidRPr="00BC74C9">
        <w:rPr>
          <w:rFonts w:cstheme="minorHAnsi"/>
          <w:szCs w:val="24"/>
        </w:rPr>
        <w:t xml:space="preserve"> and </w:t>
      </w:r>
      <w:r w:rsidRPr="00BC74C9">
        <w:rPr>
          <w:rFonts w:eastAsia="PMingLiU" w:cstheme="minorHAnsi"/>
          <w:szCs w:val="24"/>
        </w:rPr>
        <w:t>tofacitinib</w:t>
      </w:r>
    </w:p>
    <w:tbl>
      <w:tblPr>
        <w:tblW w:w="90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0"/>
        <w:gridCol w:w="1960"/>
        <w:gridCol w:w="2960"/>
        <w:gridCol w:w="2620"/>
      </w:tblGrid>
      <w:tr w:rsidR="00DA4AED" w:rsidRPr="000109BF" w14:paraId="347EFE77" w14:textId="77777777" w:rsidTr="009C6B1E">
        <w:trPr>
          <w:trHeight w:val="310"/>
        </w:trPr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55F40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b/>
                <w:bCs/>
                <w:szCs w:val="24"/>
              </w:rPr>
            </w:pPr>
            <w:r w:rsidRPr="000109BF">
              <w:rPr>
                <w:rFonts w:eastAsia="PMingLiU" w:cstheme="minorHAnsi"/>
                <w:b/>
                <w:bCs/>
                <w:szCs w:val="24"/>
              </w:rPr>
              <w:t>Agent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3DECF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b/>
                <w:bCs/>
                <w:szCs w:val="24"/>
              </w:rPr>
            </w:pPr>
            <w:r w:rsidRPr="000109BF">
              <w:rPr>
                <w:rFonts w:eastAsia="PMingLiU" w:cstheme="minorHAnsi"/>
                <w:b/>
                <w:bCs/>
                <w:szCs w:val="24"/>
              </w:rPr>
              <w:t>Dosage (mg)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78CC2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b/>
                <w:bCs/>
                <w:szCs w:val="24"/>
              </w:rPr>
            </w:pPr>
            <w:r w:rsidRPr="000109BF">
              <w:rPr>
                <w:rFonts w:eastAsia="PMingLiU" w:cstheme="minorHAnsi"/>
                <w:b/>
                <w:bCs/>
                <w:szCs w:val="24"/>
              </w:rPr>
              <w:t>Drug supply (days)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FB4FD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b/>
                <w:bCs/>
                <w:szCs w:val="24"/>
              </w:rPr>
            </w:pPr>
            <w:r w:rsidRPr="000109BF">
              <w:rPr>
                <w:rFonts w:eastAsia="PMingLiU" w:cstheme="minorHAnsi"/>
                <w:b/>
                <w:bCs/>
                <w:szCs w:val="24"/>
              </w:rPr>
              <w:t xml:space="preserve">Reimbursement </w:t>
            </w:r>
            <w:r>
              <w:rPr>
                <w:rFonts w:eastAsia="PMingLiU" w:cstheme="minorHAnsi"/>
                <w:b/>
                <w:bCs/>
                <w:szCs w:val="24"/>
              </w:rPr>
              <w:t xml:space="preserve">start </w:t>
            </w:r>
            <w:r w:rsidRPr="000109BF">
              <w:rPr>
                <w:rFonts w:eastAsia="PMingLiU" w:cstheme="minorHAnsi"/>
                <w:b/>
                <w:bCs/>
                <w:szCs w:val="24"/>
              </w:rPr>
              <w:t>date in Taiwan</w:t>
            </w:r>
          </w:p>
        </w:tc>
      </w:tr>
      <w:tr w:rsidR="00DA4AED" w:rsidRPr="000109BF" w14:paraId="48ADA02D" w14:textId="77777777" w:rsidTr="009C6B1E">
        <w:trPr>
          <w:trHeight w:val="310"/>
        </w:trPr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4E9AF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Etanercept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598DD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662A0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3.5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27635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2003/3/1</w:t>
            </w:r>
          </w:p>
        </w:tc>
      </w:tr>
      <w:tr w:rsidR="00DA4AED" w:rsidRPr="000109BF" w14:paraId="0D18E63B" w14:textId="77777777" w:rsidTr="009C6B1E">
        <w:trPr>
          <w:trHeight w:val="31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E6BEC8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1CFBA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B00F0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FE675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2013/10/1</w:t>
            </w:r>
          </w:p>
        </w:tc>
      </w:tr>
      <w:tr w:rsidR="00DA4AED" w:rsidRPr="000109BF" w14:paraId="53D5CE1A" w14:textId="77777777" w:rsidTr="009C6B1E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231A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Adalimumab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062BA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40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861F3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14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25BBA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2004/9/1</w:t>
            </w:r>
          </w:p>
        </w:tc>
      </w:tr>
      <w:tr w:rsidR="00DA4AED" w:rsidRPr="000109BF" w14:paraId="582D771A" w14:textId="77777777" w:rsidTr="009C6B1E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0ABFD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Rituximab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DC01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EFD10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180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DF1B77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2008/11/1</w:t>
            </w:r>
          </w:p>
        </w:tc>
      </w:tr>
      <w:tr w:rsidR="00DA4AED" w:rsidRPr="000109BF" w14:paraId="5D24A0DF" w14:textId="77777777" w:rsidTr="009C6B1E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F63D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Golimumab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95B2E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50</w:t>
            </w:r>
            <w:r>
              <w:rPr>
                <w:rFonts w:eastAsia="PMingLiU" w:cstheme="minorHAnsi"/>
                <w:szCs w:val="24"/>
              </w:rPr>
              <w:t>–</w:t>
            </w:r>
            <w:r w:rsidRPr="000109BF">
              <w:rPr>
                <w:rFonts w:eastAsia="PMingLiU" w:cstheme="minorHAnsi"/>
                <w:szCs w:val="24"/>
              </w:rPr>
              <w:t>100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B9F19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33C13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2012/1/1</w:t>
            </w:r>
          </w:p>
        </w:tc>
      </w:tr>
      <w:tr w:rsidR="00DA4AED" w:rsidRPr="000109BF" w14:paraId="244221D8" w14:textId="77777777" w:rsidTr="009C6B1E">
        <w:trPr>
          <w:trHeight w:val="310"/>
        </w:trPr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65E6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Tocilizumab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E0F0E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80, 200, 400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47882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FE6B2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2012/5/1</w:t>
            </w:r>
          </w:p>
        </w:tc>
      </w:tr>
      <w:tr w:rsidR="00DA4AED" w:rsidRPr="000109BF" w14:paraId="04010926" w14:textId="77777777" w:rsidTr="009C6B1E">
        <w:trPr>
          <w:trHeight w:val="310"/>
        </w:trPr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91398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Abatacept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16392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color w:val="333333"/>
                <w:szCs w:val="24"/>
              </w:rPr>
            </w:pPr>
            <w:r w:rsidRPr="000109BF">
              <w:rPr>
                <w:rFonts w:eastAsia="PMingLiU" w:cstheme="minorHAnsi"/>
                <w:color w:val="333333"/>
                <w:szCs w:val="24"/>
              </w:rPr>
              <w:t>250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981A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902E6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2012/6/1</w:t>
            </w:r>
          </w:p>
        </w:tc>
      </w:tr>
      <w:tr w:rsidR="00DA4AED" w:rsidRPr="000109BF" w14:paraId="3E5BD664" w14:textId="77777777" w:rsidTr="009C6B1E">
        <w:trPr>
          <w:trHeight w:val="31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C8B73E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AA774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125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6F67D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B0216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2015/8/1</w:t>
            </w:r>
          </w:p>
        </w:tc>
      </w:tr>
      <w:tr w:rsidR="00DA4AED" w:rsidRPr="000109BF" w14:paraId="263BC1FD" w14:textId="77777777" w:rsidTr="009C6B1E">
        <w:trPr>
          <w:trHeight w:val="310"/>
        </w:trPr>
        <w:tc>
          <w:tcPr>
            <w:tcW w:w="15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C9058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Tofacitinib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7A6DE5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8937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0.5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ABE1B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2014/12/1</w:t>
            </w:r>
          </w:p>
        </w:tc>
      </w:tr>
      <w:tr w:rsidR="00DA4AED" w:rsidRPr="000109BF" w14:paraId="569DB5B4" w14:textId="77777777" w:rsidTr="009C6B1E">
        <w:trPr>
          <w:trHeight w:val="310"/>
        </w:trPr>
        <w:tc>
          <w:tcPr>
            <w:tcW w:w="15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D8DD8E1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62501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6551B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BA0F" w14:textId="77777777" w:rsidR="00DA4AED" w:rsidRPr="000109BF" w:rsidRDefault="00DA4AED" w:rsidP="009C6B1E">
            <w:pPr>
              <w:spacing w:after="0"/>
              <w:rPr>
                <w:rFonts w:eastAsia="PMingLiU" w:cstheme="minorHAnsi"/>
                <w:szCs w:val="24"/>
              </w:rPr>
            </w:pPr>
            <w:r w:rsidRPr="000109BF">
              <w:rPr>
                <w:rFonts w:eastAsia="PMingLiU" w:cstheme="minorHAnsi"/>
                <w:szCs w:val="24"/>
              </w:rPr>
              <w:t>2018/6/1</w:t>
            </w:r>
          </w:p>
        </w:tc>
      </w:tr>
    </w:tbl>
    <w:p w14:paraId="7B509593" w14:textId="77777777" w:rsidR="00DA4AED" w:rsidRDefault="00DA4AED" w:rsidP="00DA4AED">
      <w:pPr>
        <w:spacing w:after="0" w:line="480" w:lineRule="auto"/>
        <w:rPr>
          <w:rFonts w:eastAsia="PMingLiU" w:cstheme="minorHAnsi"/>
          <w:szCs w:val="24"/>
          <w:vertAlign w:val="superscript"/>
        </w:rPr>
      </w:pPr>
      <w:r>
        <w:rPr>
          <w:rFonts w:cstheme="minorHAnsi" w:hint="eastAsia"/>
          <w:szCs w:val="24"/>
        </w:rPr>
        <w:t xml:space="preserve">Abbreviation: </w:t>
      </w:r>
      <w:proofErr w:type="spellStart"/>
      <w:r w:rsidRPr="00BC74C9">
        <w:rPr>
          <w:rFonts w:cstheme="minorHAnsi"/>
          <w:szCs w:val="24"/>
        </w:rPr>
        <w:t>bDMARD</w:t>
      </w:r>
      <w:proofErr w:type="spellEnd"/>
      <w:r>
        <w:rPr>
          <w:rFonts w:cstheme="minorHAnsi" w:hint="eastAsia"/>
          <w:szCs w:val="24"/>
        </w:rPr>
        <w:t>,</w:t>
      </w:r>
      <w:r w:rsidRPr="00952114">
        <w:t xml:space="preserve"> </w:t>
      </w:r>
      <w:r w:rsidRPr="00952114">
        <w:rPr>
          <w:rFonts w:cstheme="minorHAnsi"/>
          <w:szCs w:val="24"/>
        </w:rPr>
        <w:t>biologic disease-modifying antirheumatic drug</w:t>
      </w:r>
      <w:r>
        <w:rPr>
          <w:rFonts w:cstheme="minorHAnsi" w:hint="eastAsia"/>
          <w:szCs w:val="24"/>
        </w:rPr>
        <w:t xml:space="preserve">. </w:t>
      </w:r>
    </w:p>
    <w:p w14:paraId="5D872AC7" w14:textId="77777777" w:rsidR="00DA4AED" w:rsidRPr="000109BF" w:rsidRDefault="00DA4AED" w:rsidP="00DA4AED">
      <w:pPr>
        <w:spacing w:after="0" w:line="480" w:lineRule="auto"/>
        <w:rPr>
          <w:rFonts w:eastAsia="PMingLiU" w:cstheme="minorHAnsi"/>
          <w:szCs w:val="24"/>
        </w:rPr>
      </w:pPr>
      <w:r w:rsidRPr="00ED1088">
        <w:rPr>
          <w:rFonts w:eastAsia="PMingLiU" w:cstheme="minorHAnsi"/>
          <w:szCs w:val="24"/>
          <w:vertAlign w:val="superscript"/>
        </w:rPr>
        <w:t>a</w:t>
      </w:r>
      <w:r>
        <w:rPr>
          <w:rFonts w:eastAsia="PMingLiU" w:cstheme="minorHAnsi" w:hint="eastAsia"/>
          <w:szCs w:val="24"/>
        </w:rPr>
        <w:t xml:space="preserve"> </w:t>
      </w:r>
      <w:proofErr w:type="gramStart"/>
      <w:r w:rsidRPr="000109BF">
        <w:rPr>
          <w:rFonts w:eastAsia="PMingLiU" w:cstheme="minorHAnsi"/>
          <w:szCs w:val="24"/>
        </w:rPr>
        <w:t>Drug supply days</w:t>
      </w:r>
      <w:proofErr w:type="gramEnd"/>
      <w:r w:rsidRPr="000109BF">
        <w:rPr>
          <w:rFonts w:eastAsia="PMingLiU" w:cstheme="minorHAnsi"/>
          <w:szCs w:val="24"/>
        </w:rPr>
        <w:t xml:space="preserve"> = Imputed days’ supply.</w:t>
      </w:r>
    </w:p>
    <w:p w14:paraId="2580F03B" w14:textId="77777777" w:rsidR="00DA4AED" w:rsidRPr="00955C27" w:rsidRDefault="00DA4AED" w:rsidP="00DA4AED">
      <w:pPr>
        <w:rPr>
          <w:rFonts w:ascii="Arial" w:eastAsia="PMingLiU" w:hAnsi="Arial" w:cs="Arial"/>
          <w:szCs w:val="24"/>
        </w:rPr>
      </w:pPr>
    </w:p>
    <w:p w14:paraId="5E8CDC67" w14:textId="77777777" w:rsidR="00DA4AED" w:rsidRDefault="00DA4AED" w:rsidP="00DA4AED">
      <w:pPr>
        <w:rPr>
          <w:rFonts w:ascii="Arial" w:eastAsia="PMingLiU" w:hAnsi="Arial" w:cs="Arial"/>
          <w:b/>
          <w:szCs w:val="24"/>
        </w:rPr>
        <w:sectPr w:rsidR="00DA4AED" w:rsidSect="009C6B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14:paraId="5CF03482" w14:textId="77777777" w:rsidR="00DA4AED" w:rsidRPr="00BC74C9" w:rsidRDefault="00DA4AED" w:rsidP="00DA4AED">
      <w:pPr>
        <w:spacing w:after="0" w:line="480" w:lineRule="auto"/>
        <w:rPr>
          <w:rFonts w:cstheme="minorHAnsi"/>
          <w:szCs w:val="24"/>
        </w:rPr>
      </w:pPr>
      <w:r w:rsidRPr="00BC74C9">
        <w:rPr>
          <w:rFonts w:eastAsia="PMingLiU" w:cstheme="minorHAnsi"/>
          <w:b/>
          <w:szCs w:val="24"/>
        </w:rPr>
        <w:lastRenderedPageBreak/>
        <w:t>Supplementary Table S2.</w:t>
      </w:r>
      <w:r w:rsidRPr="00BC74C9">
        <w:rPr>
          <w:rFonts w:cstheme="minorHAnsi"/>
          <w:b/>
          <w:szCs w:val="24"/>
        </w:rPr>
        <w:t xml:space="preserve"> </w:t>
      </w:r>
      <w:r w:rsidRPr="00BC74C9">
        <w:rPr>
          <w:rFonts w:cstheme="minorHAnsi"/>
        </w:rPr>
        <w:t>Cox proportional regression analysis of the cumulative probability of switching/discontinuation (</w:t>
      </w:r>
      <w:r w:rsidRPr="00BC74C9">
        <w:rPr>
          <w:rFonts w:cstheme="minorHAnsi"/>
          <w:szCs w:val="24"/>
        </w:rPr>
        <w:t xml:space="preserve">for a maximum </w:t>
      </w:r>
      <w:r>
        <w:rPr>
          <w:rFonts w:cstheme="minorHAnsi"/>
          <w:szCs w:val="24"/>
        </w:rPr>
        <w:t xml:space="preserve">follow-up </w:t>
      </w:r>
      <w:r w:rsidRPr="00BC74C9">
        <w:rPr>
          <w:rFonts w:cstheme="minorHAnsi"/>
          <w:szCs w:val="24"/>
        </w:rPr>
        <w:t>of 6 years)</w:t>
      </w:r>
    </w:p>
    <w:tbl>
      <w:tblPr>
        <w:tblW w:w="103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992"/>
        <w:gridCol w:w="850"/>
        <w:gridCol w:w="993"/>
        <w:gridCol w:w="992"/>
        <w:gridCol w:w="142"/>
        <w:gridCol w:w="850"/>
        <w:gridCol w:w="851"/>
        <w:gridCol w:w="850"/>
        <w:gridCol w:w="1156"/>
      </w:tblGrid>
      <w:tr w:rsidR="004932C8" w:rsidRPr="004932C8" w14:paraId="71EACEF6" w14:textId="77777777" w:rsidTr="003F482F">
        <w:trPr>
          <w:trHeight w:val="315"/>
        </w:trPr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50E5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Variable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64619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Univariate analysis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D12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370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C0939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 xml:space="preserve">Multivariate </w:t>
            </w:r>
            <w:proofErr w:type="spellStart"/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analysis</w:t>
            </w: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vertAlign w:val="superscript"/>
                <w:lang w:eastAsia="zh-TW"/>
              </w:rPr>
              <w:t>a</w:t>
            </w:r>
            <w:proofErr w:type="spellEnd"/>
          </w:p>
        </w:tc>
      </w:tr>
      <w:tr w:rsidR="00BD577D" w:rsidRPr="004932C8" w14:paraId="34BDA91C" w14:textId="77777777" w:rsidTr="003F482F">
        <w:trPr>
          <w:trHeight w:val="325"/>
        </w:trPr>
        <w:tc>
          <w:tcPr>
            <w:tcW w:w="2694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129BAB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AC2F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proofErr w:type="spellStart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cHR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6616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95% 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2DCC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i/>
                <w:i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i/>
                <w:iCs/>
                <w:color w:val="000000"/>
                <w:szCs w:val="24"/>
                <w:lang w:eastAsia="zh-TW"/>
              </w:rPr>
              <w:t>P</w:t>
            </w: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 value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C482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i/>
                <w:i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A0C0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proofErr w:type="spellStart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aHR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C03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95% CI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A7BE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i/>
                <w:i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i/>
                <w:iCs/>
                <w:color w:val="000000"/>
                <w:szCs w:val="24"/>
                <w:lang w:eastAsia="zh-TW"/>
              </w:rPr>
              <w:t>P</w:t>
            </w: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 value</w:t>
            </w:r>
          </w:p>
        </w:tc>
      </w:tr>
      <w:tr w:rsidR="00867AA8" w:rsidRPr="004932C8" w14:paraId="7905B7F7" w14:textId="77777777" w:rsidTr="003F482F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E750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Index treatment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69EC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5693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6E8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065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1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F9A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B6F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8E5A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ECDB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0EF1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b/>
                <w:bCs/>
                <w:color w:val="000000"/>
                <w:szCs w:val="24"/>
                <w:lang w:eastAsia="zh-TW"/>
              </w:rPr>
              <w:t xml:space="preserve">　</w:t>
            </w:r>
          </w:p>
        </w:tc>
      </w:tr>
      <w:tr w:rsidR="00867AA8" w:rsidRPr="004932C8" w14:paraId="69F6C560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9BA3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Etanercept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38AE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1.00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1C0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(Ref.)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4122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6BA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1.00 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4182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(Ref.)</w:t>
            </w:r>
          </w:p>
        </w:tc>
      </w:tr>
      <w:tr w:rsidR="00867AA8" w:rsidRPr="004932C8" w14:paraId="1E40E4D5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A389A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Adalimumab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A290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1.16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4335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1.07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2E6A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1.26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852A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0.0003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8191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D00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ED9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D8B8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1.28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D6D5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0.0001 </w:t>
            </w:r>
          </w:p>
        </w:tc>
      </w:tr>
      <w:tr w:rsidR="00867AA8" w:rsidRPr="004932C8" w14:paraId="2B59A005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68E96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Golimumab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8EE2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529F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0.78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630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319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0.0069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EB8E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8A5ED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0.88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426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0.79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147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0.97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CA39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0.0131 </w:t>
            </w:r>
          </w:p>
        </w:tc>
      </w:tr>
      <w:tr w:rsidR="00867AA8" w:rsidRPr="004932C8" w14:paraId="72A6F3C0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D204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Tocilizumab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1A3D1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663E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2FFF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796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F8E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899A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0.52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B461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0.44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3FC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0.61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6F52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</w:tr>
      <w:tr w:rsidR="00867AA8" w:rsidRPr="004932C8" w14:paraId="37089BEE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0341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Abatacept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3C69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6003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0.57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43AB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C6EE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8065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6F5D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0.62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21D9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0.55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CD3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ED35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</w:tr>
      <w:tr w:rsidR="00867AA8" w:rsidRPr="004932C8" w14:paraId="55F64B18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C9AAA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Tofacitinib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53C1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17C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6546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0.84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35C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91A3D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0754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B89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0.60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D713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0.85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D654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0.0002 </w:t>
            </w:r>
          </w:p>
        </w:tc>
      </w:tr>
      <w:tr w:rsidR="00867AA8" w:rsidRPr="004932C8" w14:paraId="3CEFEFCF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DE9B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Index year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FCF21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084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0C6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4438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04F4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A64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7D7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3BE69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C9D1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</w:tr>
      <w:tr w:rsidR="00867AA8" w:rsidRPr="004932C8" w14:paraId="2F3D9EE0" w14:textId="77777777" w:rsidTr="00867AA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461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&lt;=2014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5DA91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EA9F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58E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462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DEE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2F4F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1.00 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BF9B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(Ref.)</w:t>
            </w:r>
          </w:p>
        </w:tc>
      </w:tr>
      <w:tr w:rsidR="00867AA8" w:rsidRPr="004932C8" w14:paraId="3040DA90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E67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&gt;=2015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A79E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356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DA6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A672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074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6330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1.04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F3DA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BE68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1.13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8E81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0.3750 </w:t>
            </w:r>
          </w:p>
        </w:tc>
      </w:tr>
      <w:tr w:rsidR="00867AA8" w:rsidRPr="004932C8" w14:paraId="105195F2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D77CD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Age at index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9AA05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64A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FE3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2EA9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DE3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0C62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049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38AA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C73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</w:tr>
      <w:tr w:rsidR="00867AA8" w:rsidRPr="004932C8" w14:paraId="34220611" w14:textId="77777777" w:rsidTr="00867AA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4EB0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18–29 years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82F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67F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B62F3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AD3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3EB0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BFDD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1.00 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6DC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(Ref.)</w:t>
            </w:r>
          </w:p>
        </w:tc>
      </w:tr>
      <w:tr w:rsidR="00867AA8" w:rsidRPr="004932C8" w14:paraId="2FF2657B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5F506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30–39 years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B40E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64D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F3BB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2B59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E5C0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CFBC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360C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0.75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46C5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1.09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DFCD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0.2956 </w:t>
            </w:r>
          </w:p>
        </w:tc>
      </w:tr>
      <w:tr w:rsidR="00867AA8" w:rsidRPr="004932C8" w14:paraId="1A772B2E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7208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40–49 years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483C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78A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0A4AF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AB28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ECC0A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678E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0.79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9AEA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0.67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F24D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5784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0.0081 </w:t>
            </w:r>
          </w:p>
        </w:tc>
      </w:tr>
      <w:tr w:rsidR="00867AA8" w:rsidRPr="004932C8" w14:paraId="56EEC059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97B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50–59 years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E582B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939C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B083A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46B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329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2BF5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0.85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2AA8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4823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43FE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0.0449 </w:t>
            </w:r>
          </w:p>
        </w:tc>
      </w:tr>
      <w:tr w:rsidR="00867AA8" w:rsidRPr="004932C8" w14:paraId="2334F131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1F8F7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60–69 years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8E41C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F1D9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C5F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183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83E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9FF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0BF8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FD4D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1.07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53E5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0.2274 </w:t>
            </w:r>
          </w:p>
        </w:tc>
      </w:tr>
      <w:tr w:rsidR="00867AA8" w:rsidRPr="004932C8" w14:paraId="47931EB4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974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4932C8">
              <w:rPr>
                <w:rFonts w:eastAsia="PMingLiU" w:cs="Times New Roman"/>
                <w:color w:val="000000"/>
                <w:szCs w:val="24"/>
                <w:lang w:eastAsia="zh-TW"/>
              </w:rPr>
              <w:t>≥</w:t>
            </w: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70 years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1C488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565F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407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14A3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9C83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2BA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1.07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716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0.90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E21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1.28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A7C1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0.4590 </w:t>
            </w:r>
          </w:p>
        </w:tc>
      </w:tr>
      <w:tr w:rsidR="00867AA8" w:rsidRPr="004932C8" w14:paraId="518D606F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E0AD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Gender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22A83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9903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57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776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19C3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5A5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FD70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F0B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013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</w:tr>
      <w:tr w:rsidR="00867AA8" w:rsidRPr="004932C8" w14:paraId="7FE4475E" w14:textId="77777777" w:rsidTr="00867AA8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57A27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Female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BEE46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F7E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34F3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5D0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3CFA5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D671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1.00 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C7D4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(Ref.)</w:t>
            </w:r>
          </w:p>
        </w:tc>
      </w:tr>
      <w:tr w:rsidR="00867AA8" w:rsidRPr="004932C8" w14:paraId="75BCC3A4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D7E3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male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E41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87B9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AD21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960B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23F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D13B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1.01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9552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48990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E55B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0.8328 </w:t>
            </w:r>
          </w:p>
        </w:tc>
      </w:tr>
      <w:tr w:rsidR="00867AA8" w:rsidRPr="004932C8" w14:paraId="5A2AE824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543117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CCI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20FD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76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43C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5EAA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7CE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72E9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2E3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EC8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27D7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</w:tr>
      <w:tr w:rsidR="00BD577D" w:rsidRPr="004932C8" w14:paraId="6552B1D1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1EEE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CCI</w:t>
            </w:r>
            <w:r w:rsidRPr="004932C8">
              <w:rPr>
                <w:rFonts w:eastAsia="PMingLiU" w:cs="Times New Roman"/>
                <w:color w:val="000000"/>
                <w:szCs w:val="24"/>
                <w:lang w:eastAsia="zh-TW"/>
              </w:rPr>
              <w:t>≤</w:t>
            </w: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6056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8ED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D8E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CC23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2E7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227B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1.00 </w:t>
            </w:r>
          </w:p>
        </w:tc>
        <w:tc>
          <w:tcPr>
            <w:tcW w:w="2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254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(Ref.)</w:t>
            </w:r>
          </w:p>
        </w:tc>
      </w:tr>
      <w:tr w:rsidR="00867AA8" w:rsidRPr="004932C8" w14:paraId="255B2F23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9DA1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CCI=2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8093F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94F9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ADB3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7AC4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86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F5F6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1.02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AE7A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5BC3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2A64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0.7263 </w:t>
            </w:r>
          </w:p>
        </w:tc>
      </w:tr>
      <w:tr w:rsidR="00867AA8" w:rsidRPr="004932C8" w14:paraId="29F9BF61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39B85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CCI</w:t>
            </w:r>
            <w:r w:rsidRPr="004932C8">
              <w:rPr>
                <w:rFonts w:eastAsia="PMingLiU" w:cs="Times New Roman"/>
                <w:color w:val="000000"/>
                <w:szCs w:val="24"/>
                <w:lang w:eastAsia="zh-TW"/>
              </w:rPr>
              <w:t>≥</w:t>
            </w: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1F657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423D9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022A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DBC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489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9BA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2247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0.93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D2E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0605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0.6257 </w:t>
            </w:r>
          </w:p>
        </w:tc>
      </w:tr>
      <w:tr w:rsidR="00867AA8" w:rsidRPr="004932C8" w14:paraId="19C67420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EBA96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Comorbidities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FD1B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2F550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9C55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AAAA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7075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38D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ADFC7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7A91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A77F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</w:tr>
      <w:tr w:rsidR="00867AA8" w:rsidRPr="004932C8" w14:paraId="47C27DE5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6D6D6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HBV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D291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E43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B5C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263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A839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7100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F6E4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5A1E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1.10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1298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0.2984 </w:t>
            </w:r>
          </w:p>
        </w:tc>
      </w:tr>
      <w:tr w:rsidR="00867AA8" w:rsidRPr="004932C8" w14:paraId="1D5390D2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9263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HCV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C2222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72D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102D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5DBC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E131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EA44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22D7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0.74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6DBA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1.21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4D8E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0.6607 </w:t>
            </w:r>
          </w:p>
        </w:tc>
      </w:tr>
      <w:tr w:rsidR="00867AA8" w:rsidRPr="004932C8" w14:paraId="3B11D57A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ABB6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CKD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4195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6AA2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5668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D57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B9B4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C2F7D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6CD6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30D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1.51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F0C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0.1931 </w:t>
            </w:r>
          </w:p>
        </w:tc>
      </w:tr>
      <w:tr w:rsidR="00867AA8" w:rsidRPr="004932C8" w14:paraId="2212A45C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3022D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COPD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73139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0603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84A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D7D5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8D8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B4C9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1.33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6CB1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0.92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B44F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1.91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2B13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0.1275 </w:t>
            </w:r>
          </w:p>
        </w:tc>
      </w:tr>
      <w:tr w:rsidR="00867AA8" w:rsidRPr="004932C8" w14:paraId="70D33C41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A5493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DM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B9187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A0EA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05AE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2A16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7BBCB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C5BD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1.10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C6C66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0.98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7535A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1.24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59CC8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0.1125 </w:t>
            </w:r>
          </w:p>
        </w:tc>
      </w:tr>
      <w:tr w:rsidR="00867AA8" w:rsidRPr="004932C8" w14:paraId="6F12C092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BED8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 xml:space="preserve">Concomitant </w:t>
            </w:r>
            <w:proofErr w:type="spellStart"/>
            <w:r w:rsidRPr="003F482F"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  <w:t>medications</w:t>
            </w:r>
            <w:r w:rsidRPr="004932C8">
              <w:rPr>
                <w:rFonts w:eastAsia="PMingLiU" w:cs="Times New Roman"/>
                <w:szCs w:val="24"/>
                <w:vertAlign w:val="superscript"/>
                <w:lang w:eastAsia="zh-TW"/>
              </w:rPr>
              <w:t>b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5BD4" w14:textId="77777777" w:rsidR="004932C8" w:rsidRPr="003F482F" w:rsidRDefault="004932C8" w:rsidP="007C5426">
            <w:pPr>
              <w:spacing w:before="0" w:after="0"/>
              <w:rPr>
                <w:rFonts w:eastAsia="PMingLiU" w:cs="Times New Roman"/>
                <w:b/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0BB7F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A4B2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04EC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5D4C6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9501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148D7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43527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7D2DD" w14:textId="77777777" w:rsidR="004932C8" w:rsidRPr="004932C8" w:rsidRDefault="004932C8" w:rsidP="007C5426">
            <w:pPr>
              <w:spacing w:before="0" w:after="0"/>
              <w:jc w:val="center"/>
              <w:rPr>
                <w:rFonts w:eastAsia="Times New Roman" w:cs="Times New Roman"/>
                <w:sz w:val="20"/>
                <w:szCs w:val="20"/>
                <w:lang w:eastAsia="zh-TW"/>
              </w:rPr>
            </w:pPr>
          </w:p>
        </w:tc>
      </w:tr>
      <w:tr w:rsidR="00867AA8" w:rsidRPr="004932C8" w14:paraId="3259C92E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9605A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Steroid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223A7" w14:textId="793634C9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5E9808" w14:textId="4796A49F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B46FE" w14:textId="218D5F88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F612D" w14:textId="6BA484F3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FF28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9317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1.35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C649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1.21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1EE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1.51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DC3BD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</w:tr>
      <w:tr w:rsidR="00867AA8" w:rsidRPr="004932C8" w14:paraId="499A7024" w14:textId="77777777" w:rsidTr="003F482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5963" w14:textId="77777777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proofErr w:type="spellStart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csDMARD</w:t>
            </w:r>
            <w:proofErr w:type="spellEnd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, MTX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EC045A" w14:textId="5B1B613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FE548" w14:textId="2D7420CF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BED46" w14:textId="5ABA058F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8A627C" w14:textId="2F93F8BC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F089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8882C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0.83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AFA3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0.76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AEE24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0.91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E888F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&lt;.0001</w:t>
            </w:r>
          </w:p>
        </w:tc>
      </w:tr>
      <w:tr w:rsidR="00867AA8" w:rsidRPr="004932C8" w14:paraId="00CCCA21" w14:textId="77777777" w:rsidTr="003F482F">
        <w:trPr>
          <w:trHeight w:val="325"/>
        </w:trPr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391E" w14:textId="0DABCAB4" w:rsidR="004932C8" w:rsidRPr="003F482F" w:rsidRDefault="004932C8" w:rsidP="007C5426">
            <w:pPr>
              <w:spacing w:before="0" w:after="0"/>
              <w:ind w:firstLineChars="100" w:firstLine="240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proofErr w:type="spellStart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csDMARD</w:t>
            </w:r>
            <w:proofErr w:type="spellEnd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, Non-</w:t>
            </w:r>
            <w:proofErr w:type="spellStart"/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>MTX</w:t>
            </w:r>
            <w:r w:rsidR="00B65246" w:rsidRPr="003F482F">
              <w:rPr>
                <w:rFonts w:eastAsia="PMingLiU" w:cs="Times New Roman"/>
                <w:color w:val="000000"/>
                <w:szCs w:val="24"/>
                <w:vertAlign w:val="superscript"/>
                <w:lang w:eastAsia="zh-TW"/>
              </w:rPr>
              <w:t>c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795E43B" w14:textId="1A153701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C6164FC" w14:textId="258FD619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F6BC637" w14:textId="34330D3E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44A02327" w14:textId="446D67C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71785E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 w:hint="eastAsia"/>
                <w:color w:val="000000"/>
                <w:szCs w:val="24"/>
                <w:lang w:eastAsia="zh-TW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22388E2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1.18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47450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1.05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30125B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1.34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3D0DB7" w14:textId="77777777" w:rsidR="004932C8" w:rsidRPr="003F482F" w:rsidRDefault="004932C8" w:rsidP="007C5426">
            <w:pPr>
              <w:spacing w:before="0" w:after="0"/>
              <w:jc w:val="center"/>
              <w:rPr>
                <w:rFonts w:eastAsia="PMingLiU" w:cs="Times New Roman"/>
                <w:color w:val="000000"/>
                <w:szCs w:val="24"/>
                <w:lang w:eastAsia="zh-TW"/>
              </w:rPr>
            </w:pPr>
            <w:r w:rsidRPr="003F482F">
              <w:rPr>
                <w:rFonts w:eastAsia="PMingLiU" w:cs="Times New Roman"/>
                <w:color w:val="000000"/>
                <w:szCs w:val="24"/>
                <w:lang w:eastAsia="zh-TW"/>
              </w:rPr>
              <w:t xml:space="preserve">0.0065 </w:t>
            </w:r>
          </w:p>
        </w:tc>
      </w:tr>
    </w:tbl>
    <w:p w14:paraId="74E2B373" w14:textId="77777777" w:rsidR="00CE4E5C" w:rsidRDefault="00CE4E5C" w:rsidP="00DA4AED">
      <w:pPr>
        <w:spacing w:after="0" w:line="480" w:lineRule="auto"/>
        <w:rPr>
          <w:rFonts w:cstheme="minorHAnsi"/>
          <w:szCs w:val="24"/>
        </w:rPr>
      </w:pPr>
    </w:p>
    <w:p w14:paraId="7754AE79" w14:textId="7CCD8E8D" w:rsidR="00DA4AED" w:rsidRDefault="00DA4AED" w:rsidP="00DA4AED">
      <w:pPr>
        <w:spacing w:after="0" w:line="480" w:lineRule="auto"/>
        <w:rPr>
          <w:rFonts w:eastAsia="PMingLiU" w:cstheme="minorHAnsi"/>
          <w:szCs w:val="24"/>
        </w:rPr>
      </w:pPr>
      <w:r>
        <w:rPr>
          <w:rFonts w:cstheme="minorHAnsi" w:hint="eastAsia"/>
          <w:szCs w:val="24"/>
        </w:rPr>
        <w:lastRenderedPageBreak/>
        <w:t xml:space="preserve">Abbreviation: </w:t>
      </w:r>
      <w:proofErr w:type="spellStart"/>
      <w:r w:rsidRPr="00C84116">
        <w:rPr>
          <w:rFonts w:eastAsia="PMingLiU" w:cstheme="minorHAnsi"/>
          <w:szCs w:val="24"/>
        </w:rPr>
        <w:t>aHR</w:t>
      </w:r>
      <w:proofErr w:type="spellEnd"/>
      <w:r>
        <w:rPr>
          <w:rFonts w:eastAsia="PMingLiU" w:cstheme="minorHAnsi" w:hint="eastAsia"/>
          <w:szCs w:val="24"/>
        </w:rPr>
        <w:t xml:space="preserve">, </w:t>
      </w:r>
      <w:r w:rsidRPr="00C84116">
        <w:rPr>
          <w:rFonts w:eastAsia="PMingLiU" w:cstheme="minorHAnsi"/>
          <w:szCs w:val="24"/>
        </w:rPr>
        <w:t>adjusted hazard ratio</w:t>
      </w:r>
      <w:r>
        <w:rPr>
          <w:rFonts w:eastAsia="PMingLiU" w:cstheme="minorHAnsi" w:hint="eastAsia"/>
          <w:szCs w:val="24"/>
        </w:rPr>
        <w:t>;</w:t>
      </w:r>
      <w:r w:rsidRPr="00C84116">
        <w:rPr>
          <w:rFonts w:eastAsia="PMingLiU" w:cstheme="minorHAnsi"/>
          <w:szCs w:val="24"/>
        </w:rPr>
        <w:t xml:space="preserve"> </w:t>
      </w:r>
      <w:r w:rsidRPr="00377484">
        <w:rPr>
          <w:rFonts w:eastAsia="PMingLiU" w:cstheme="minorHAnsi"/>
          <w:szCs w:val="24"/>
        </w:rPr>
        <w:t>CCI</w:t>
      </w:r>
      <w:r>
        <w:rPr>
          <w:rFonts w:eastAsia="PMingLiU" w:cstheme="minorHAnsi" w:hint="eastAsia"/>
          <w:szCs w:val="24"/>
        </w:rPr>
        <w:t xml:space="preserve">, </w:t>
      </w:r>
      <w:proofErr w:type="spellStart"/>
      <w:r w:rsidRPr="00377484">
        <w:rPr>
          <w:rFonts w:eastAsia="PMingLiU" w:cstheme="minorHAnsi"/>
          <w:szCs w:val="24"/>
        </w:rPr>
        <w:t>Charlson</w:t>
      </w:r>
      <w:proofErr w:type="spellEnd"/>
      <w:r w:rsidRPr="00377484">
        <w:rPr>
          <w:rFonts w:eastAsia="PMingLiU" w:cstheme="minorHAnsi"/>
          <w:szCs w:val="24"/>
        </w:rPr>
        <w:t xml:space="preserve"> Comorbidity Index</w:t>
      </w:r>
      <w:r>
        <w:rPr>
          <w:rFonts w:eastAsia="PMingLiU" w:cstheme="minorHAnsi" w:hint="eastAsia"/>
          <w:szCs w:val="24"/>
        </w:rPr>
        <w:t xml:space="preserve">; </w:t>
      </w:r>
      <w:proofErr w:type="spellStart"/>
      <w:r w:rsidRPr="00C84116">
        <w:rPr>
          <w:rFonts w:eastAsia="PMingLiU" w:cstheme="minorHAnsi"/>
          <w:szCs w:val="24"/>
        </w:rPr>
        <w:t>cHR</w:t>
      </w:r>
      <w:proofErr w:type="spellEnd"/>
      <w:r>
        <w:rPr>
          <w:rFonts w:eastAsia="PMingLiU" w:cstheme="minorHAnsi" w:hint="eastAsia"/>
          <w:szCs w:val="24"/>
        </w:rPr>
        <w:t>,</w:t>
      </w:r>
      <w:r w:rsidRPr="00C84116">
        <w:rPr>
          <w:rFonts w:eastAsia="PMingLiU" w:cstheme="minorHAnsi"/>
          <w:szCs w:val="24"/>
        </w:rPr>
        <w:t xml:space="preserve"> crude hazard ratio</w:t>
      </w:r>
      <w:r>
        <w:rPr>
          <w:rFonts w:eastAsia="PMingLiU" w:cstheme="minorHAnsi" w:hint="eastAsia"/>
          <w:szCs w:val="24"/>
        </w:rPr>
        <w:t>;</w:t>
      </w:r>
      <w:r w:rsidRPr="00C84116">
        <w:rPr>
          <w:rFonts w:eastAsia="PMingLiU" w:cstheme="minorHAnsi"/>
          <w:szCs w:val="24"/>
        </w:rPr>
        <w:t xml:space="preserve"> </w:t>
      </w:r>
      <w:r>
        <w:rPr>
          <w:rFonts w:eastAsia="PMingLiU" w:cstheme="minorHAnsi" w:hint="eastAsia"/>
          <w:szCs w:val="24"/>
        </w:rPr>
        <w:t>CI, confidence interval</w:t>
      </w:r>
      <w:r w:rsidR="00255BA3">
        <w:rPr>
          <w:rFonts w:eastAsia="PMingLiU" w:cstheme="minorHAnsi"/>
          <w:szCs w:val="24"/>
        </w:rPr>
        <w:t xml:space="preserve">; </w:t>
      </w:r>
      <w:r w:rsidR="00602233" w:rsidRPr="00BC74C9">
        <w:rPr>
          <w:rFonts w:cstheme="minorHAnsi"/>
          <w:szCs w:val="24"/>
        </w:rPr>
        <w:t>CKD</w:t>
      </w:r>
      <w:r w:rsidR="00602233">
        <w:rPr>
          <w:rFonts w:cstheme="minorHAnsi" w:hint="eastAsia"/>
          <w:szCs w:val="24"/>
        </w:rPr>
        <w:t>,</w:t>
      </w:r>
      <w:r w:rsidR="00602233" w:rsidRPr="00BC74C9">
        <w:rPr>
          <w:rFonts w:cstheme="minorHAnsi"/>
          <w:szCs w:val="24"/>
        </w:rPr>
        <w:t xml:space="preserve"> chronic kidney disease; COPD</w:t>
      </w:r>
      <w:r w:rsidR="00602233">
        <w:rPr>
          <w:rFonts w:cstheme="minorHAnsi" w:hint="eastAsia"/>
          <w:szCs w:val="24"/>
        </w:rPr>
        <w:t>,</w:t>
      </w:r>
      <w:r w:rsidR="00602233" w:rsidRPr="00BC74C9">
        <w:rPr>
          <w:rFonts w:cstheme="minorHAnsi"/>
          <w:szCs w:val="24"/>
        </w:rPr>
        <w:t xml:space="preserve"> chronic obstructive pulmonary disease</w:t>
      </w:r>
      <w:r w:rsidR="00602233">
        <w:rPr>
          <w:rFonts w:cstheme="minorHAnsi" w:hint="eastAsia"/>
          <w:szCs w:val="24"/>
        </w:rPr>
        <w:t>;</w:t>
      </w:r>
      <w:r w:rsidR="00602233">
        <w:rPr>
          <w:rFonts w:cstheme="minorHAnsi"/>
          <w:szCs w:val="24"/>
        </w:rPr>
        <w:t xml:space="preserve"> </w:t>
      </w:r>
      <w:proofErr w:type="spellStart"/>
      <w:r w:rsidR="00255BA3" w:rsidRPr="00255BA3">
        <w:rPr>
          <w:rFonts w:eastAsia="PMingLiU" w:cstheme="minorHAnsi"/>
          <w:szCs w:val="24"/>
        </w:rPr>
        <w:t>csDMARD</w:t>
      </w:r>
      <w:proofErr w:type="spellEnd"/>
      <w:r w:rsidR="00255BA3" w:rsidRPr="00255BA3">
        <w:rPr>
          <w:rFonts w:eastAsia="PMingLiU" w:cstheme="minorHAnsi"/>
          <w:szCs w:val="24"/>
        </w:rPr>
        <w:t>,</w:t>
      </w:r>
      <w:r w:rsidR="004A1411">
        <w:rPr>
          <w:rFonts w:eastAsia="PMingLiU" w:cstheme="minorHAnsi" w:hint="eastAsia"/>
          <w:szCs w:val="24"/>
          <w:lang w:eastAsia="zh-TW"/>
        </w:rPr>
        <w:t xml:space="preserve"> </w:t>
      </w:r>
      <w:r w:rsidR="00255BA3" w:rsidRPr="00255BA3">
        <w:rPr>
          <w:rFonts w:eastAsia="PMingLiU" w:cstheme="minorHAnsi"/>
          <w:szCs w:val="24"/>
        </w:rPr>
        <w:t>conventional synthetic disease-modifying antirheumatic drugs</w:t>
      </w:r>
      <w:r w:rsidR="00255BA3">
        <w:rPr>
          <w:rFonts w:eastAsia="PMingLiU" w:cstheme="minorHAnsi"/>
          <w:szCs w:val="24"/>
        </w:rPr>
        <w:t xml:space="preserve">; </w:t>
      </w:r>
      <w:r w:rsidR="00602233" w:rsidRPr="00BC74C9">
        <w:rPr>
          <w:rFonts w:cstheme="minorHAnsi"/>
          <w:szCs w:val="24"/>
        </w:rPr>
        <w:t>DM</w:t>
      </w:r>
      <w:r w:rsidR="00602233">
        <w:rPr>
          <w:rFonts w:cstheme="minorHAnsi" w:hint="eastAsia"/>
          <w:szCs w:val="24"/>
        </w:rPr>
        <w:t>,</w:t>
      </w:r>
      <w:r w:rsidR="00602233" w:rsidRPr="00BC74C9">
        <w:rPr>
          <w:rFonts w:cstheme="minorHAnsi"/>
          <w:szCs w:val="24"/>
        </w:rPr>
        <w:t xml:space="preserve"> diabetes mellitus; </w:t>
      </w:r>
      <w:r w:rsidR="00602233" w:rsidRPr="00BC74C9">
        <w:rPr>
          <w:rFonts w:eastAsia="PMingLiU" w:cstheme="minorHAnsi"/>
          <w:szCs w:val="24"/>
        </w:rPr>
        <w:t>HBV</w:t>
      </w:r>
      <w:r w:rsidR="00602233">
        <w:rPr>
          <w:rFonts w:eastAsia="PMingLiU" w:cstheme="minorHAnsi" w:hint="eastAsia"/>
          <w:szCs w:val="24"/>
        </w:rPr>
        <w:t>,</w:t>
      </w:r>
      <w:r w:rsidR="00602233" w:rsidRPr="00BC74C9">
        <w:rPr>
          <w:rFonts w:eastAsia="PMingLiU" w:cstheme="minorHAnsi"/>
          <w:szCs w:val="24"/>
        </w:rPr>
        <w:t xml:space="preserve"> hepatitis B; HCV</w:t>
      </w:r>
      <w:r w:rsidR="00602233">
        <w:rPr>
          <w:rFonts w:eastAsia="PMingLiU" w:cstheme="minorHAnsi" w:hint="eastAsia"/>
          <w:szCs w:val="24"/>
        </w:rPr>
        <w:t>,</w:t>
      </w:r>
      <w:r w:rsidR="00602233" w:rsidRPr="00BC74C9">
        <w:rPr>
          <w:rFonts w:eastAsia="PMingLiU" w:cstheme="minorHAnsi"/>
          <w:szCs w:val="24"/>
        </w:rPr>
        <w:t xml:space="preserve"> hepatitis C;</w:t>
      </w:r>
      <w:r w:rsidR="00602233">
        <w:rPr>
          <w:rFonts w:eastAsia="PMingLiU" w:cstheme="minorHAnsi"/>
          <w:szCs w:val="24"/>
        </w:rPr>
        <w:t xml:space="preserve"> </w:t>
      </w:r>
      <w:r w:rsidR="00255BA3" w:rsidRPr="00255BA3">
        <w:rPr>
          <w:rFonts w:eastAsia="PMingLiU" w:cstheme="minorHAnsi"/>
          <w:szCs w:val="24"/>
        </w:rPr>
        <w:t>MTX</w:t>
      </w:r>
      <w:r w:rsidR="00255BA3">
        <w:rPr>
          <w:rFonts w:eastAsia="PMingLiU" w:cstheme="minorHAnsi"/>
          <w:szCs w:val="24"/>
        </w:rPr>
        <w:t xml:space="preserve">, </w:t>
      </w:r>
      <w:r w:rsidR="00255BA3" w:rsidRPr="00255BA3">
        <w:rPr>
          <w:rFonts w:eastAsia="PMingLiU" w:cstheme="minorHAnsi"/>
          <w:szCs w:val="24"/>
        </w:rPr>
        <w:t>methotrexate</w:t>
      </w:r>
      <w:r w:rsidR="004A1411">
        <w:rPr>
          <w:rFonts w:eastAsia="PMingLiU" w:cstheme="minorHAnsi" w:hint="eastAsia"/>
          <w:szCs w:val="24"/>
          <w:lang w:eastAsia="zh-TW"/>
        </w:rPr>
        <w:t>;</w:t>
      </w:r>
      <w:r w:rsidR="004A1411">
        <w:rPr>
          <w:rFonts w:eastAsia="PMingLiU" w:cstheme="minorHAnsi"/>
          <w:szCs w:val="24"/>
          <w:lang w:eastAsia="zh-TW"/>
        </w:rPr>
        <w:t xml:space="preserve"> </w:t>
      </w:r>
      <w:r w:rsidR="004A1411" w:rsidRPr="004A1411">
        <w:rPr>
          <w:rFonts w:eastAsia="PMingLiU" w:cstheme="minorHAnsi"/>
          <w:szCs w:val="24"/>
          <w:lang w:eastAsia="zh-TW"/>
        </w:rPr>
        <w:t>Ref.</w:t>
      </w:r>
      <w:r w:rsidR="004A1411">
        <w:rPr>
          <w:rFonts w:eastAsia="PMingLiU" w:cstheme="minorHAnsi"/>
          <w:szCs w:val="24"/>
          <w:lang w:eastAsia="zh-TW"/>
        </w:rPr>
        <w:t>, reference group</w:t>
      </w:r>
      <w:r w:rsidRPr="00C84116">
        <w:rPr>
          <w:rFonts w:eastAsia="PMingLiU" w:cstheme="minorHAnsi"/>
          <w:szCs w:val="24"/>
        </w:rPr>
        <w:t>.</w:t>
      </w:r>
    </w:p>
    <w:p w14:paraId="1077E0C2" w14:textId="4A0D9597" w:rsidR="00BB56D9" w:rsidRDefault="00DA4AED" w:rsidP="00BB56D9">
      <w:pPr>
        <w:spacing w:after="0" w:line="480" w:lineRule="auto"/>
        <w:rPr>
          <w:rFonts w:eastAsia="PMingLiU" w:cstheme="minorHAnsi"/>
          <w:szCs w:val="24"/>
        </w:rPr>
      </w:pPr>
      <w:proofErr w:type="spellStart"/>
      <w:r w:rsidRPr="00ED1088">
        <w:rPr>
          <w:rFonts w:eastAsia="PMingLiU" w:cstheme="minorHAnsi"/>
          <w:szCs w:val="24"/>
          <w:vertAlign w:val="superscript"/>
        </w:rPr>
        <w:t>a</w:t>
      </w:r>
      <w:r>
        <w:rPr>
          <w:rFonts w:eastAsia="PMingLiU" w:cstheme="minorHAnsi" w:hint="eastAsia"/>
          <w:szCs w:val="24"/>
        </w:rPr>
        <w:t>A</w:t>
      </w:r>
      <w:r>
        <w:rPr>
          <w:rFonts w:eastAsia="PMingLiU" w:cstheme="minorHAnsi"/>
          <w:szCs w:val="24"/>
        </w:rPr>
        <w:t>djusted</w:t>
      </w:r>
      <w:proofErr w:type="spellEnd"/>
      <w:r>
        <w:rPr>
          <w:rFonts w:eastAsia="PMingLiU" w:cstheme="minorHAnsi"/>
          <w:szCs w:val="24"/>
        </w:rPr>
        <w:t xml:space="preserve"> for age at index, gender, CCI, and comorbidities</w:t>
      </w:r>
      <w:r w:rsidR="002E6617">
        <w:rPr>
          <w:rFonts w:eastAsia="PMingLiU" w:cstheme="minorHAnsi"/>
          <w:szCs w:val="24"/>
        </w:rPr>
        <w:t>,</w:t>
      </w:r>
      <w:r w:rsidR="00903FC7">
        <w:rPr>
          <w:rFonts w:eastAsia="PMingLiU" w:cstheme="minorHAnsi"/>
          <w:szCs w:val="24"/>
        </w:rPr>
        <w:t xml:space="preserve"> </w:t>
      </w:r>
      <w:r w:rsidR="00903FC7">
        <w:rPr>
          <w:rFonts w:cstheme="minorHAnsi"/>
        </w:rPr>
        <w:t xml:space="preserve">use of MTX, use of other </w:t>
      </w:r>
      <w:proofErr w:type="spellStart"/>
      <w:r w:rsidR="00903FC7">
        <w:rPr>
          <w:rFonts w:cstheme="minorHAnsi"/>
        </w:rPr>
        <w:t>csDMARDs</w:t>
      </w:r>
      <w:proofErr w:type="spellEnd"/>
      <w:r w:rsidR="00903FC7">
        <w:rPr>
          <w:rFonts w:cstheme="minorHAnsi"/>
        </w:rPr>
        <w:t xml:space="preserve"> other than MTX, and use of steroid</w:t>
      </w:r>
      <w:r>
        <w:rPr>
          <w:rFonts w:eastAsia="PMingLiU" w:cstheme="minorHAnsi"/>
          <w:szCs w:val="24"/>
        </w:rPr>
        <w:t>.</w:t>
      </w:r>
    </w:p>
    <w:p w14:paraId="68566280" w14:textId="2074F305" w:rsidR="0066666E" w:rsidRDefault="0066666E" w:rsidP="00BB56D9">
      <w:pPr>
        <w:spacing w:after="0" w:line="480" w:lineRule="auto"/>
        <w:rPr>
          <w:rFonts w:eastAsia="PMingLiU" w:cstheme="minorHAnsi"/>
          <w:szCs w:val="24"/>
          <w:lang w:eastAsia="zh-TW"/>
        </w:rPr>
      </w:pPr>
      <w:proofErr w:type="spellStart"/>
      <w:r w:rsidRPr="003F482F">
        <w:rPr>
          <w:rFonts w:eastAsia="PMingLiU" w:cstheme="minorHAnsi"/>
          <w:szCs w:val="24"/>
          <w:vertAlign w:val="superscript"/>
          <w:lang w:eastAsia="zh-TW"/>
        </w:rPr>
        <w:t>b</w:t>
      </w:r>
      <w:r w:rsidRPr="0066666E">
        <w:rPr>
          <w:rFonts w:eastAsia="PMingLiU" w:cstheme="minorHAnsi"/>
          <w:szCs w:val="24"/>
          <w:lang w:eastAsia="zh-TW"/>
        </w:rPr>
        <w:t>Concomitant</w:t>
      </w:r>
      <w:proofErr w:type="spellEnd"/>
      <w:r w:rsidRPr="0066666E">
        <w:rPr>
          <w:rFonts w:eastAsia="PMingLiU" w:cstheme="minorHAnsi"/>
          <w:szCs w:val="24"/>
          <w:lang w:eastAsia="zh-TW"/>
        </w:rPr>
        <w:t xml:space="preserve"> medications</w:t>
      </w:r>
      <w:r>
        <w:rPr>
          <w:rFonts w:eastAsia="PMingLiU" w:cstheme="minorHAnsi"/>
          <w:szCs w:val="24"/>
          <w:lang w:eastAsia="zh-TW"/>
        </w:rPr>
        <w:t xml:space="preserve"> is followed from index date to </w:t>
      </w:r>
      <w:r w:rsidRPr="0066666E">
        <w:rPr>
          <w:rFonts w:eastAsia="PMingLiU" w:cstheme="minorHAnsi"/>
          <w:szCs w:val="24"/>
          <w:lang w:eastAsia="zh-TW"/>
        </w:rPr>
        <w:t>switch</w:t>
      </w:r>
      <w:r>
        <w:rPr>
          <w:rFonts w:eastAsia="PMingLiU" w:cstheme="minorHAnsi"/>
          <w:szCs w:val="24"/>
          <w:lang w:eastAsia="zh-TW"/>
        </w:rPr>
        <w:t>ing</w:t>
      </w:r>
      <w:r w:rsidRPr="0066666E">
        <w:rPr>
          <w:rFonts w:eastAsia="PMingLiU" w:cstheme="minorHAnsi"/>
          <w:szCs w:val="24"/>
          <w:lang w:eastAsia="zh-TW"/>
        </w:rPr>
        <w:t>/discontinuation</w:t>
      </w:r>
      <w:r w:rsidR="00AA6E21">
        <w:rPr>
          <w:rFonts w:eastAsia="PMingLiU" w:cstheme="minorHAnsi"/>
          <w:szCs w:val="24"/>
          <w:lang w:eastAsia="zh-TW"/>
        </w:rPr>
        <w:t xml:space="preserve"> or </w:t>
      </w:r>
      <w:r w:rsidRPr="0066666E">
        <w:rPr>
          <w:rFonts w:eastAsia="PMingLiU" w:cstheme="minorHAnsi"/>
          <w:szCs w:val="24"/>
          <w:lang w:eastAsia="zh-TW"/>
        </w:rPr>
        <w:t>end of data</w:t>
      </w:r>
      <w:r w:rsidR="00AA6E21">
        <w:rPr>
          <w:rFonts w:eastAsia="PMingLiU" w:cstheme="minorHAnsi"/>
          <w:szCs w:val="24"/>
          <w:lang w:eastAsia="zh-TW"/>
        </w:rPr>
        <w:t>.</w:t>
      </w:r>
    </w:p>
    <w:p w14:paraId="4F01EA1F" w14:textId="09DCD577" w:rsidR="00BB56D9" w:rsidRDefault="0066666E" w:rsidP="0066666E">
      <w:pPr>
        <w:spacing w:after="0" w:line="480" w:lineRule="auto"/>
        <w:rPr>
          <w:rFonts w:eastAsia="PMingLiU" w:cstheme="minorHAnsi"/>
          <w:szCs w:val="24"/>
          <w:lang w:eastAsia="zh-TW"/>
        </w:rPr>
      </w:pPr>
      <w:proofErr w:type="spellStart"/>
      <w:r>
        <w:rPr>
          <w:rFonts w:eastAsia="PMingLiU" w:cstheme="minorHAnsi"/>
          <w:szCs w:val="24"/>
          <w:vertAlign w:val="superscript"/>
          <w:lang w:eastAsia="zh-TW"/>
        </w:rPr>
        <w:t>c</w:t>
      </w:r>
      <w:r>
        <w:rPr>
          <w:rFonts w:eastAsia="PMingLiU" w:cstheme="minorHAnsi"/>
          <w:szCs w:val="24"/>
          <w:lang w:eastAsia="zh-TW"/>
        </w:rPr>
        <w:t>H</w:t>
      </w:r>
      <w:r w:rsidRPr="0066666E">
        <w:rPr>
          <w:rFonts w:eastAsia="PMingLiU" w:cstheme="minorHAnsi"/>
          <w:szCs w:val="24"/>
          <w:lang w:eastAsia="zh-TW"/>
        </w:rPr>
        <w:t>ydroxychloroquine</w:t>
      </w:r>
      <w:proofErr w:type="spellEnd"/>
      <w:r>
        <w:rPr>
          <w:rFonts w:eastAsia="PMingLiU" w:cstheme="minorHAnsi"/>
          <w:szCs w:val="24"/>
          <w:lang w:eastAsia="zh-TW"/>
        </w:rPr>
        <w:t xml:space="preserve">, </w:t>
      </w:r>
      <w:r w:rsidRPr="0066666E">
        <w:rPr>
          <w:rFonts w:eastAsia="PMingLiU" w:cstheme="minorHAnsi"/>
          <w:szCs w:val="24"/>
          <w:lang w:eastAsia="zh-TW"/>
        </w:rPr>
        <w:t>leflunomide</w:t>
      </w:r>
      <w:r>
        <w:rPr>
          <w:rFonts w:eastAsia="PMingLiU" w:cstheme="minorHAnsi"/>
          <w:szCs w:val="24"/>
          <w:lang w:eastAsia="zh-TW"/>
        </w:rPr>
        <w:t xml:space="preserve"> and </w:t>
      </w:r>
      <w:r w:rsidRPr="0066666E">
        <w:rPr>
          <w:rFonts w:eastAsia="PMingLiU" w:cstheme="minorHAnsi"/>
          <w:szCs w:val="24"/>
          <w:lang w:eastAsia="zh-TW"/>
        </w:rPr>
        <w:t>sulfasalazine</w:t>
      </w:r>
    </w:p>
    <w:p w14:paraId="33DE3510" w14:textId="68BB0037" w:rsidR="0088513A" w:rsidRDefault="0088513A" w:rsidP="006B2D5B">
      <w:pPr>
        <w:rPr>
          <w:rFonts w:cs="Times New Roman"/>
          <w:szCs w:val="24"/>
        </w:rPr>
      </w:pPr>
    </w:p>
    <w:p w14:paraId="5DBC3D54" w14:textId="3E8F5DD2" w:rsidR="008749DD" w:rsidRPr="008749DD" w:rsidRDefault="008749DD" w:rsidP="008749DD">
      <w:pPr>
        <w:autoSpaceDE w:val="0"/>
        <w:autoSpaceDN w:val="0"/>
        <w:adjustRightInd w:val="0"/>
        <w:spacing w:beforeLines="50" w:afterLines="50" w:after="120"/>
        <w:rPr>
          <w:rFonts w:eastAsia="Calibri-Bold" w:cstheme="minorHAnsi"/>
          <w:b/>
          <w:szCs w:val="24"/>
        </w:rPr>
      </w:pPr>
      <w:r w:rsidRPr="008749DD">
        <w:rPr>
          <w:rFonts w:eastAsia="Calibri-Bold" w:cstheme="minorHAnsi"/>
          <w:b/>
          <w:szCs w:val="24"/>
        </w:rPr>
        <w:t>Supplementary Table S3</w:t>
      </w:r>
      <w:r>
        <w:rPr>
          <w:rFonts w:eastAsia="Calibri-Bold" w:cstheme="minorHAnsi"/>
          <w:b/>
          <w:szCs w:val="24"/>
        </w:rPr>
        <w:t>.</w:t>
      </w:r>
      <w:r w:rsidRPr="008749DD">
        <w:rPr>
          <w:rFonts w:eastAsia="Calibri-Bold" w:cstheme="minorHAnsi"/>
          <w:b/>
          <w:szCs w:val="24"/>
        </w:rPr>
        <w:t xml:space="preserve"> </w:t>
      </w:r>
      <w:r w:rsidRPr="008749DD">
        <w:rPr>
          <w:rFonts w:eastAsia="Calibri-Bold" w:cstheme="minorHAnsi"/>
          <w:bCs/>
          <w:szCs w:val="24"/>
        </w:rPr>
        <w:t>Events occurred within 3 month</w:t>
      </w:r>
      <w:r w:rsidRPr="008749DD">
        <w:rPr>
          <w:rFonts w:eastAsia="Calibri-Bold" w:cstheme="minorHAnsi" w:hint="eastAsia"/>
          <w:bCs/>
          <w:szCs w:val="24"/>
        </w:rPr>
        <w:t>s</w:t>
      </w:r>
      <w:r w:rsidRPr="008749DD">
        <w:rPr>
          <w:rFonts w:eastAsia="Calibri-Bold" w:cstheme="minorHAnsi"/>
          <w:bCs/>
          <w:szCs w:val="24"/>
        </w:rPr>
        <w:t xml:space="preserve"> prior to the date of switch or </w:t>
      </w:r>
      <w:proofErr w:type="gramStart"/>
      <w:r w:rsidRPr="008749DD">
        <w:rPr>
          <w:rFonts w:eastAsia="Calibri-Bold" w:cstheme="minorHAnsi"/>
          <w:bCs/>
          <w:szCs w:val="24"/>
        </w:rPr>
        <w:t>discontinuation</w:t>
      </w:r>
      <w:proofErr w:type="gramEnd"/>
    </w:p>
    <w:tbl>
      <w:tblPr>
        <w:tblStyle w:val="GridTable1Light"/>
        <w:tblW w:w="4980" w:type="pct"/>
        <w:tblLook w:val="04A0" w:firstRow="1" w:lastRow="0" w:firstColumn="1" w:lastColumn="0" w:noHBand="0" w:noVBand="1"/>
      </w:tblPr>
      <w:tblGrid>
        <w:gridCol w:w="1210"/>
        <w:gridCol w:w="894"/>
        <w:gridCol w:w="894"/>
        <w:gridCol w:w="1120"/>
        <w:gridCol w:w="1209"/>
        <w:gridCol w:w="4440"/>
      </w:tblGrid>
      <w:tr w:rsidR="008749DD" w:rsidRPr="000E2545" w14:paraId="567644DE" w14:textId="77777777" w:rsidTr="004660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vMerge w:val="restart"/>
            <w:hideMark/>
          </w:tcPr>
          <w:p w14:paraId="1989B24F" w14:textId="77777777" w:rsidR="008749DD" w:rsidRPr="000E2545" w:rsidRDefault="008749DD" w:rsidP="00466092">
            <w:pPr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1661" w:type="pct"/>
            <w:gridSpan w:val="3"/>
            <w:hideMark/>
          </w:tcPr>
          <w:p w14:paraId="528A3EAA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 w:val="0"/>
                <w:bCs w:val="0"/>
                <w:kern w:val="0"/>
                <w:szCs w:val="24"/>
              </w:rPr>
            </w:pPr>
            <w:r w:rsidRPr="000E2545">
              <w:rPr>
                <w:rFonts w:eastAsia="Calibri-Bold" w:cstheme="minorHAnsi"/>
                <w:b w:val="0"/>
                <w:bCs w:val="0"/>
                <w:kern w:val="0"/>
                <w:szCs w:val="24"/>
              </w:rPr>
              <w:t>Among patients who switched or discontinued their index biologic</w:t>
            </w:r>
          </w:p>
        </w:tc>
        <w:tc>
          <w:tcPr>
            <w:tcW w:w="625" w:type="pct"/>
            <w:vMerge w:val="restart"/>
            <w:hideMark/>
          </w:tcPr>
          <w:p w14:paraId="1C92E1EB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="Calibri-Bold" w:cstheme="minorHAnsi"/>
                <w:b w:val="0"/>
                <w:bCs w:val="0"/>
                <w:kern w:val="0"/>
                <w:szCs w:val="24"/>
              </w:rPr>
              <w:t>Observation period</w:t>
            </w:r>
          </w:p>
        </w:tc>
        <w:tc>
          <w:tcPr>
            <w:tcW w:w="1948" w:type="pct"/>
            <w:vMerge w:val="restart"/>
            <w:hideMark/>
          </w:tcPr>
          <w:p w14:paraId="49F1A5E6" w14:textId="77777777" w:rsidR="008749DD" w:rsidRPr="000E2545" w:rsidRDefault="008749DD" w:rsidP="004660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="Calibri-Bold" w:cstheme="minorHAnsi"/>
                <w:b w:val="0"/>
                <w:bCs w:val="0"/>
                <w:kern w:val="0"/>
                <w:szCs w:val="24"/>
              </w:rPr>
              <w:t>Definition of events</w:t>
            </w:r>
          </w:p>
        </w:tc>
      </w:tr>
      <w:tr w:rsidR="008749DD" w:rsidRPr="000E2545" w14:paraId="7CA61526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vMerge/>
          </w:tcPr>
          <w:p w14:paraId="123CCA19" w14:textId="77777777" w:rsidR="008749DD" w:rsidRPr="000E2545" w:rsidRDefault="008749DD" w:rsidP="00466092">
            <w:pPr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474" w:type="pct"/>
          </w:tcPr>
          <w:p w14:paraId="4121E591" w14:textId="77777777" w:rsidR="008749DD" w:rsidRPr="000E2545" w:rsidRDefault="008749DD" w:rsidP="004660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  <w:r>
              <w:rPr>
                <w:rFonts w:eastAsia="Calibri-Bold" w:cstheme="minorHAnsi"/>
                <w:b/>
                <w:bCs/>
                <w:kern w:val="0"/>
                <w:szCs w:val="24"/>
              </w:rPr>
              <w:t>T</w:t>
            </w:r>
            <w:r w:rsidRPr="000E2545">
              <w:rPr>
                <w:rFonts w:eastAsia="Calibri-Bold" w:cstheme="minorHAnsi"/>
                <w:b/>
                <w:bCs/>
                <w:kern w:val="0"/>
                <w:szCs w:val="24"/>
              </w:rPr>
              <w:t>otal</w:t>
            </w:r>
          </w:p>
        </w:tc>
        <w:tc>
          <w:tcPr>
            <w:tcW w:w="586" w:type="pct"/>
          </w:tcPr>
          <w:p w14:paraId="4C70C643" w14:textId="77777777" w:rsidR="008749DD" w:rsidRPr="000E2545" w:rsidRDefault="008749DD" w:rsidP="004660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  <w:r w:rsidRPr="000E2545">
              <w:rPr>
                <w:rFonts w:eastAsia="Calibri-Bold" w:cstheme="minorHAnsi"/>
                <w:b/>
                <w:bCs/>
                <w:kern w:val="0"/>
                <w:szCs w:val="24"/>
              </w:rPr>
              <w:t>Switched</w:t>
            </w:r>
          </w:p>
        </w:tc>
        <w:tc>
          <w:tcPr>
            <w:tcW w:w="601" w:type="pct"/>
          </w:tcPr>
          <w:p w14:paraId="1D72E956" w14:textId="77777777" w:rsidR="008749DD" w:rsidRPr="000E2545" w:rsidRDefault="008749DD" w:rsidP="004660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  <w:r w:rsidRPr="000E2545">
              <w:rPr>
                <w:rFonts w:eastAsia="Calibri-Bold" w:cstheme="minorHAnsi"/>
                <w:b/>
                <w:bCs/>
                <w:kern w:val="0"/>
                <w:szCs w:val="24"/>
              </w:rPr>
              <w:t>Discontinued</w:t>
            </w:r>
          </w:p>
        </w:tc>
        <w:tc>
          <w:tcPr>
            <w:tcW w:w="625" w:type="pct"/>
            <w:vMerge/>
          </w:tcPr>
          <w:p w14:paraId="5C6E386B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948" w:type="pct"/>
            <w:vMerge/>
          </w:tcPr>
          <w:p w14:paraId="0B775936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</w:p>
        </w:tc>
      </w:tr>
      <w:tr w:rsidR="008749DD" w:rsidRPr="000E2545" w14:paraId="6C879899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vMerge/>
            <w:tcBorders>
              <w:bottom w:val="single" w:sz="12" w:space="0" w:color="auto"/>
            </w:tcBorders>
          </w:tcPr>
          <w:p w14:paraId="0A865D47" w14:textId="77777777" w:rsidR="008749DD" w:rsidRPr="000E2545" w:rsidRDefault="008749DD" w:rsidP="00466092">
            <w:pPr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474" w:type="pct"/>
            <w:tcBorders>
              <w:bottom w:val="single" w:sz="12" w:space="0" w:color="auto"/>
            </w:tcBorders>
          </w:tcPr>
          <w:p w14:paraId="5FB513AE" w14:textId="77777777" w:rsidR="008749DD" w:rsidRPr="000E2545" w:rsidRDefault="008749DD" w:rsidP="004660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  <w:r w:rsidRPr="000E2545">
              <w:rPr>
                <w:rFonts w:eastAsia="Calibri-Bold" w:cstheme="minorHAnsi"/>
                <w:b/>
                <w:bCs/>
                <w:kern w:val="0"/>
                <w:szCs w:val="24"/>
              </w:rPr>
              <w:t>(N=3,464)</w:t>
            </w:r>
          </w:p>
        </w:tc>
        <w:tc>
          <w:tcPr>
            <w:tcW w:w="586" w:type="pct"/>
            <w:tcBorders>
              <w:bottom w:val="single" w:sz="12" w:space="0" w:color="auto"/>
            </w:tcBorders>
          </w:tcPr>
          <w:p w14:paraId="40C0DE77" w14:textId="77777777" w:rsidR="008749DD" w:rsidRPr="000E2545" w:rsidRDefault="008749DD" w:rsidP="004660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  <w:r w:rsidRPr="000E2545">
              <w:rPr>
                <w:rFonts w:eastAsia="Calibri-Bold" w:cstheme="minorHAnsi"/>
                <w:b/>
                <w:bCs/>
                <w:kern w:val="0"/>
                <w:szCs w:val="24"/>
              </w:rPr>
              <w:t>(N=1,479)</w:t>
            </w:r>
          </w:p>
        </w:tc>
        <w:tc>
          <w:tcPr>
            <w:tcW w:w="601" w:type="pct"/>
            <w:tcBorders>
              <w:bottom w:val="single" w:sz="12" w:space="0" w:color="auto"/>
            </w:tcBorders>
          </w:tcPr>
          <w:p w14:paraId="4223566B" w14:textId="77777777" w:rsidR="008749DD" w:rsidRPr="000E2545" w:rsidRDefault="008749DD" w:rsidP="00466092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  <w:r w:rsidRPr="000E2545">
              <w:rPr>
                <w:rFonts w:eastAsia="Calibri-Bold" w:cstheme="minorHAnsi"/>
                <w:b/>
                <w:bCs/>
                <w:kern w:val="0"/>
                <w:szCs w:val="24"/>
              </w:rPr>
              <w:t>(N=1,985)</w:t>
            </w:r>
          </w:p>
        </w:tc>
        <w:tc>
          <w:tcPr>
            <w:tcW w:w="625" w:type="pct"/>
            <w:vMerge/>
            <w:tcBorders>
              <w:bottom w:val="single" w:sz="12" w:space="0" w:color="auto"/>
            </w:tcBorders>
          </w:tcPr>
          <w:p w14:paraId="60B722E2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</w:p>
        </w:tc>
        <w:tc>
          <w:tcPr>
            <w:tcW w:w="1948" w:type="pct"/>
            <w:vMerge/>
            <w:tcBorders>
              <w:bottom w:val="single" w:sz="12" w:space="0" w:color="auto"/>
            </w:tcBorders>
          </w:tcPr>
          <w:p w14:paraId="6CC21409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-Bold" w:cstheme="minorHAnsi"/>
                <w:b/>
                <w:bCs/>
                <w:kern w:val="0"/>
                <w:szCs w:val="24"/>
              </w:rPr>
            </w:pPr>
          </w:p>
        </w:tc>
      </w:tr>
      <w:tr w:rsidR="008749DD" w:rsidRPr="000E2545" w14:paraId="698872DE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tcBorders>
              <w:top w:val="single" w:sz="12" w:space="0" w:color="auto"/>
            </w:tcBorders>
            <w:hideMark/>
          </w:tcPr>
          <w:p w14:paraId="28F62530" w14:textId="77777777" w:rsidR="008749DD" w:rsidRPr="000E2545" w:rsidRDefault="008749DD" w:rsidP="00466092">
            <w:pPr>
              <w:rPr>
                <w:rFonts w:eastAsiaTheme="majorEastAsia" w:cstheme="minorHAnsi"/>
                <w:b w:val="0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b w:val="0"/>
                <w:kern w:val="0"/>
                <w:szCs w:val="24"/>
              </w:rPr>
              <w:t>Pregnancy</w:t>
            </w:r>
          </w:p>
        </w:tc>
        <w:tc>
          <w:tcPr>
            <w:tcW w:w="474" w:type="pct"/>
            <w:tcBorders>
              <w:top w:val="single" w:sz="12" w:space="0" w:color="auto"/>
            </w:tcBorders>
          </w:tcPr>
          <w:p w14:paraId="05FD62CE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74 (2.1%)</w:t>
            </w:r>
          </w:p>
        </w:tc>
        <w:tc>
          <w:tcPr>
            <w:tcW w:w="586" w:type="pct"/>
            <w:tcBorders>
              <w:top w:val="single" w:sz="12" w:space="0" w:color="auto"/>
            </w:tcBorders>
          </w:tcPr>
          <w:p w14:paraId="64C42D6F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22 (1.5%)</w:t>
            </w:r>
          </w:p>
        </w:tc>
        <w:tc>
          <w:tcPr>
            <w:tcW w:w="601" w:type="pct"/>
            <w:tcBorders>
              <w:top w:val="single" w:sz="12" w:space="0" w:color="auto"/>
            </w:tcBorders>
          </w:tcPr>
          <w:p w14:paraId="550FE8CB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52 (2.6%)</w:t>
            </w:r>
          </w:p>
        </w:tc>
        <w:tc>
          <w:tcPr>
            <w:tcW w:w="625" w:type="pct"/>
            <w:vMerge w:val="restart"/>
            <w:tcBorders>
              <w:top w:val="single" w:sz="12" w:space="0" w:color="auto"/>
            </w:tcBorders>
            <w:hideMark/>
          </w:tcPr>
          <w:p w14:paraId="5E629C0B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t>Within 3</w:t>
            </w:r>
          </w:p>
          <w:p w14:paraId="08094C35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t>months (90</w:t>
            </w:r>
          </w:p>
          <w:p w14:paraId="67BD4A8B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Cs w:val="24"/>
              </w:rPr>
            </w:pPr>
            <w:r>
              <w:rPr>
                <w:rFonts w:cstheme="minorHAnsi"/>
                <w:kern w:val="0"/>
                <w:szCs w:val="24"/>
              </w:rPr>
              <w:t>days)</w:t>
            </w:r>
            <w:r w:rsidRPr="000E2545">
              <w:rPr>
                <w:rFonts w:cstheme="minorHAnsi"/>
                <w:kern w:val="0"/>
                <w:szCs w:val="24"/>
              </w:rPr>
              <w:t xml:space="preserve"> prior to</w:t>
            </w:r>
          </w:p>
          <w:p w14:paraId="63E1A6A9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t>the date of</w:t>
            </w:r>
          </w:p>
          <w:p w14:paraId="62C39E60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t>switched or</w:t>
            </w:r>
          </w:p>
          <w:p w14:paraId="059FA1D2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lastRenderedPageBreak/>
              <w:t>discontinuation</w:t>
            </w:r>
          </w:p>
        </w:tc>
        <w:tc>
          <w:tcPr>
            <w:tcW w:w="1948" w:type="pct"/>
            <w:tcBorders>
              <w:top w:val="single" w:sz="12" w:space="0" w:color="auto"/>
            </w:tcBorders>
            <w:hideMark/>
          </w:tcPr>
          <w:p w14:paraId="580F99B4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lastRenderedPageBreak/>
              <w:t>Had any claims of prenatal visits</w:t>
            </w:r>
          </w:p>
        </w:tc>
      </w:tr>
      <w:tr w:rsidR="008749DD" w:rsidRPr="000E2545" w14:paraId="5A5E8FC3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hideMark/>
          </w:tcPr>
          <w:p w14:paraId="32AB9EBE" w14:textId="77777777" w:rsidR="008749DD" w:rsidRPr="000E2545" w:rsidRDefault="008749DD" w:rsidP="00466092">
            <w:pPr>
              <w:rPr>
                <w:rFonts w:eastAsiaTheme="majorEastAsia" w:cstheme="minorHAnsi"/>
                <w:b w:val="0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b w:val="0"/>
                <w:kern w:val="0"/>
                <w:szCs w:val="24"/>
              </w:rPr>
              <w:t>Had hospitalization due to infections</w:t>
            </w:r>
          </w:p>
        </w:tc>
        <w:tc>
          <w:tcPr>
            <w:tcW w:w="474" w:type="pct"/>
          </w:tcPr>
          <w:p w14:paraId="7CF5AEAB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182 (5.3%)</w:t>
            </w:r>
          </w:p>
        </w:tc>
        <w:tc>
          <w:tcPr>
            <w:tcW w:w="586" w:type="pct"/>
          </w:tcPr>
          <w:p w14:paraId="783AD98B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40 (2.7%)</w:t>
            </w:r>
          </w:p>
        </w:tc>
        <w:tc>
          <w:tcPr>
            <w:tcW w:w="601" w:type="pct"/>
          </w:tcPr>
          <w:p w14:paraId="04B89A6B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142 (7.2%)</w:t>
            </w:r>
          </w:p>
        </w:tc>
        <w:tc>
          <w:tcPr>
            <w:tcW w:w="625" w:type="pct"/>
            <w:vMerge/>
            <w:hideMark/>
          </w:tcPr>
          <w:p w14:paraId="3908A428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1948" w:type="pct"/>
            <w:hideMark/>
          </w:tcPr>
          <w:p w14:paraId="1B8E6F98" w14:textId="77777777" w:rsidR="008749DD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kern w:val="0"/>
                <w:szCs w:val="24"/>
              </w:rPr>
            </w:pPr>
            <w:r w:rsidRPr="000E2545">
              <w:rPr>
                <w:rFonts w:cstheme="minorHAnsi"/>
                <w:kern w:val="0"/>
                <w:szCs w:val="24"/>
              </w:rPr>
              <w:t>Had principal/secondary diagnosis of infections. (</w:t>
            </w:r>
            <w:r>
              <w:rPr>
                <w:rFonts w:cs="Times New Roman"/>
                <w:kern w:val="0"/>
                <w:szCs w:val="24"/>
              </w:rPr>
              <w:t>(https://www.questdiagnostics.com/dms/Documents/Other/CPT-</w:t>
            </w:r>
          </w:p>
          <w:p w14:paraId="425BE49F" w14:textId="77777777" w:rsidR="008749DD" w:rsidRPr="000E2545" w:rsidRDefault="008749DD" w:rsidP="0046609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>
              <w:rPr>
                <w:rFonts w:cs="Times New Roman"/>
                <w:kern w:val="0"/>
                <w:szCs w:val="24"/>
              </w:rPr>
              <w:t>2015/ICD_9-10_Infectious_Disease_MI4956.pdf)</w:t>
            </w:r>
          </w:p>
        </w:tc>
      </w:tr>
      <w:tr w:rsidR="008749DD" w:rsidRPr="000E2545" w14:paraId="5C83AE3E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hideMark/>
          </w:tcPr>
          <w:p w14:paraId="78BE0A2C" w14:textId="77777777" w:rsidR="008749DD" w:rsidRPr="000E2545" w:rsidRDefault="008749DD" w:rsidP="00466092">
            <w:pPr>
              <w:ind w:leftChars="100" w:left="240"/>
              <w:rPr>
                <w:rFonts w:eastAsiaTheme="majorEastAsia" w:cstheme="minorHAnsi"/>
                <w:b w:val="0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b w:val="0"/>
                <w:kern w:val="0"/>
                <w:szCs w:val="24"/>
              </w:rPr>
              <w:t>Tuberculosis</w:t>
            </w:r>
          </w:p>
        </w:tc>
        <w:tc>
          <w:tcPr>
            <w:tcW w:w="474" w:type="pct"/>
          </w:tcPr>
          <w:p w14:paraId="2D992E20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43 (1.2%)</w:t>
            </w:r>
          </w:p>
        </w:tc>
        <w:tc>
          <w:tcPr>
            <w:tcW w:w="586" w:type="pct"/>
          </w:tcPr>
          <w:p w14:paraId="688B4A14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7 (0.5%)</w:t>
            </w:r>
          </w:p>
        </w:tc>
        <w:tc>
          <w:tcPr>
            <w:tcW w:w="601" w:type="pct"/>
          </w:tcPr>
          <w:p w14:paraId="42A5D3E8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36 (1.8%)</w:t>
            </w:r>
          </w:p>
        </w:tc>
        <w:tc>
          <w:tcPr>
            <w:tcW w:w="625" w:type="pct"/>
            <w:vMerge/>
            <w:hideMark/>
          </w:tcPr>
          <w:p w14:paraId="6EBF41AC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1948" w:type="pct"/>
            <w:hideMark/>
          </w:tcPr>
          <w:p w14:paraId="3A474DE2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 xml:space="preserve">ICD-9 codes 010-018, 137.0 or ICD-10 codes A15.7, A15.0, A15.8, A17.0, </w:t>
            </w:r>
            <w:r w:rsidRPr="000E2545">
              <w:rPr>
                <w:rFonts w:eastAsiaTheme="majorEastAsia" w:cstheme="minorHAnsi"/>
                <w:kern w:val="0"/>
                <w:szCs w:val="24"/>
              </w:rPr>
              <w:lastRenderedPageBreak/>
              <w:t>A18.01, A18.02, A18.03, A18.09, A18.4, A19.9, B90.9</w:t>
            </w:r>
          </w:p>
        </w:tc>
      </w:tr>
      <w:tr w:rsidR="008749DD" w:rsidRPr="000E2545" w14:paraId="17A3BF05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hideMark/>
          </w:tcPr>
          <w:p w14:paraId="42C063E1" w14:textId="77777777" w:rsidR="008749DD" w:rsidRPr="000E2545" w:rsidRDefault="008749DD" w:rsidP="00466092">
            <w:pPr>
              <w:ind w:leftChars="100" w:left="240"/>
              <w:rPr>
                <w:rFonts w:eastAsiaTheme="majorEastAsia" w:cstheme="minorHAnsi"/>
                <w:b w:val="0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b w:val="0"/>
                <w:kern w:val="0"/>
                <w:szCs w:val="24"/>
              </w:rPr>
              <w:lastRenderedPageBreak/>
              <w:t>HBV</w:t>
            </w:r>
          </w:p>
        </w:tc>
        <w:tc>
          <w:tcPr>
            <w:tcW w:w="474" w:type="pct"/>
          </w:tcPr>
          <w:p w14:paraId="69C48308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6 (0.2%)</w:t>
            </w:r>
          </w:p>
        </w:tc>
        <w:tc>
          <w:tcPr>
            <w:tcW w:w="586" w:type="pct"/>
          </w:tcPr>
          <w:p w14:paraId="32E3B102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1 (0.1%)</w:t>
            </w:r>
          </w:p>
        </w:tc>
        <w:tc>
          <w:tcPr>
            <w:tcW w:w="601" w:type="pct"/>
          </w:tcPr>
          <w:p w14:paraId="640A712A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5 (0.3%)</w:t>
            </w:r>
          </w:p>
        </w:tc>
        <w:tc>
          <w:tcPr>
            <w:tcW w:w="625" w:type="pct"/>
            <w:vMerge/>
            <w:hideMark/>
          </w:tcPr>
          <w:p w14:paraId="7FA4577C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1948" w:type="pct"/>
            <w:hideMark/>
          </w:tcPr>
          <w:p w14:paraId="5EBD1A38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ICD-9 codes 070.32 or ICD-10 codes B18.1</w:t>
            </w:r>
          </w:p>
        </w:tc>
      </w:tr>
      <w:tr w:rsidR="008749DD" w:rsidRPr="000E2545" w14:paraId="00FF9848" w14:textId="77777777" w:rsidTr="004660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" w:type="pct"/>
            <w:hideMark/>
          </w:tcPr>
          <w:p w14:paraId="7FE3F323" w14:textId="77777777" w:rsidR="008749DD" w:rsidRPr="000E2545" w:rsidRDefault="008749DD" w:rsidP="00466092">
            <w:pPr>
              <w:ind w:leftChars="100" w:left="240"/>
              <w:rPr>
                <w:rFonts w:eastAsiaTheme="majorEastAsia" w:cstheme="minorHAnsi"/>
                <w:b w:val="0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b w:val="0"/>
                <w:kern w:val="0"/>
                <w:szCs w:val="24"/>
              </w:rPr>
              <w:t>Herpes zoster</w:t>
            </w:r>
          </w:p>
        </w:tc>
        <w:tc>
          <w:tcPr>
            <w:tcW w:w="474" w:type="pct"/>
          </w:tcPr>
          <w:p w14:paraId="66F37B20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3 (0.1%)</w:t>
            </w:r>
          </w:p>
        </w:tc>
        <w:tc>
          <w:tcPr>
            <w:tcW w:w="586" w:type="pct"/>
          </w:tcPr>
          <w:p w14:paraId="25C76CBE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0 (0%)</w:t>
            </w:r>
          </w:p>
        </w:tc>
        <w:tc>
          <w:tcPr>
            <w:tcW w:w="601" w:type="pct"/>
          </w:tcPr>
          <w:p w14:paraId="6EA38100" w14:textId="77777777" w:rsidR="008749DD" w:rsidRPr="000E2545" w:rsidRDefault="008749DD" w:rsidP="004660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3 (0.2%)</w:t>
            </w:r>
          </w:p>
        </w:tc>
        <w:tc>
          <w:tcPr>
            <w:tcW w:w="625" w:type="pct"/>
            <w:vMerge/>
            <w:hideMark/>
          </w:tcPr>
          <w:p w14:paraId="1198BDE3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</w:p>
        </w:tc>
        <w:tc>
          <w:tcPr>
            <w:tcW w:w="1948" w:type="pct"/>
            <w:hideMark/>
          </w:tcPr>
          <w:p w14:paraId="2BB95BB2" w14:textId="77777777" w:rsidR="008749DD" w:rsidRPr="000E2545" w:rsidRDefault="008749DD" w:rsidP="004660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inorHAnsi"/>
                <w:kern w:val="0"/>
                <w:szCs w:val="24"/>
              </w:rPr>
            </w:pPr>
            <w:r w:rsidRPr="000E2545">
              <w:rPr>
                <w:rFonts w:eastAsiaTheme="majorEastAsia" w:cstheme="minorHAnsi"/>
                <w:kern w:val="0"/>
                <w:szCs w:val="24"/>
              </w:rPr>
              <w:t>ICD-9 codes 053.9 or ICD-10 codes B02.9</w:t>
            </w:r>
          </w:p>
        </w:tc>
      </w:tr>
    </w:tbl>
    <w:p w14:paraId="6881A2BF" w14:textId="77777777" w:rsidR="008749DD" w:rsidRPr="009D7E38" w:rsidRDefault="008749DD" w:rsidP="008749DD">
      <w:pPr>
        <w:rPr>
          <w:rFonts w:eastAsiaTheme="majorEastAsia" w:cstheme="minorHAnsi"/>
          <w:szCs w:val="24"/>
        </w:rPr>
      </w:pPr>
    </w:p>
    <w:p w14:paraId="504D7A1D" w14:textId="77777777" w:rsidR="008749DD" w:rsidRPr="009D7E38" w:rsidRDefault="008749DD" w:rsidP="008749DD">
      <w:pPr>
        <w:rPr>
          <w:rFonts w:eastAsiaTheme="majorEastAsia" w:cstheme="minorHAnsi"/>
          <w:szCs w:val="24"/>
        </w:rPr>
      </w:pPr>
    </w:p>
    <w:p w14:paraId="69041C3D" w14:textId="77777777" w:rsidR="008749DD" w:rsidRPr="0088513A" w:rsidRDefault="008749DD" w:rsidP="006B2D5B">
      <w:pPr>
        <w:rPr>
          <w:rFonts w:cs="Times New Roman"/>
          <w:szCs w:val="24"/>
        </w:rPr>
      </w:pPr>
    </w:p>
    <w:sectPr w:rsidR="008749DD" w:rsidRPr="0088513A" w:rsidSect="00666121"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FE865" w14:textId="77777777" w:rsidR="000D59EA" w:rsidRDefault="000D59EA" w:rsidP="00117666">
      <w:pPr>
        <w:spacing w:after="0"/>
      </w:pPr>
      <w:r>
        <w:separator/>
      </w:r>
    </w:p>
  </w:endnote>
  <w:endnote w:type="continuationSeparator" w:id="0">
    <w:p w14:paraId="034C89CC" w14:textId="77777777" w:rsidR="000D59EA" w:rsidRDefault="000D59E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Pro-Book">
    <w:altName w:val="Cambria"/>
    <w:panose1 w:val="00000000000000000000"/>
    <w:charset w:val="00"/>
    <w:family w:val="roman"/>
    <w:notTrueType/>
    <w:pitch w:val="default"/>
  </w:font>
  <w:font w:name="BerkeleyPro-BookItalic">
    <w:altName w:val="Cambria"/>
    <w:panose1 w:val="00000000000000000000"/>
    <w:charset w:val="00"/>
    <w:family w:val="roman"/>
    <w:notTrueType/>
    <w:pitch w:val="default"/>
  </w:font>
  <w:font w:name="AdvEls-ent4">
    <w:altName w:val="Cambria"/>
    <w:panose1 w:val="00000000000000000000"/>
    <w:charset w:val="00"/>
    <w:family w:val="roman"/>
    <w:notTrueType/>
    <w:pitch w:val="default"/>
  </w:font>
  <w:font w:name="AdvOTbc475f09+20">
    <w:altName w:val="Cambria"/>
    <w:panose1 w:val="00000000000000000000"/>
    <w:charset w:val="00"/>
    <w:family w:val="roman"/>
    <w:notTrueType/>
    <w:pitch w:val="default"/>
  </w:font>
  <w:font w:name="AdvEls-ent5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D3D87" w14:textId="4FC1E6C4" w:rsidR="00FD628C" w:rsidRPr="00577C4C" w:rsidRDefault="00FD628C">
    <w:pPr>
      <w:pStyle w:val="Footer"/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1D4B8BD" wp14:editId="5CBEC35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4951C5" w14:textId="77777777" w:rsidR="00FD628C" w:rsidRPr="00577C4C" w:rsidRDefault="00FD628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D4B8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214951C5" w14:textId="77777777" w:rsidR="00FD628C" w:rsidRPr="00577C4C" w:rsidRDefault="00FD628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BFF2" w14:textId="77777777" w:rsidR="00FD628C" w:rsidRPr="00577C4C" w:rsidRDefault="00FD628C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C4AF3B6" wp14:editId="527467E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070C5" w14:textId="77777777" w:rsidR="00FD628C" w:rsidRPr="00577C4C" w:rsidRDefault="00FD628C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AF3B6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74D070C5" w14:textId="77777777" w:rsidR="00FD628C" w:rsidRPr="00577C4C" w:rsidRDefault="00FD628C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82CD14" w14:textId="77777777" w:rsidR="000D59EA" w:rsidRDefault="000D59EA" w:rsidP="00117666">
      <w:pPr>
        <w:spacing w:after="0"/>
      </w:pPr>
      <w:r>
        <w:separator/>
      </w:r>
    </w:p>
  </w:footnote>
  <w:footnote w:type="continuationSeparator" w:id="0">
    <w:p w14:paraId="291AE9C1" w14:textId="77777777" w:rsidR="000D59EA" w:rsidRDefault="000D59E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13A34" w14:textId="38F5321E" w:rsidR="00FD628C" w:rsidRPr="007E3148" w:rsidRDefault="00FD628C" w:rsidP="00EA5EF3">
    <w:pPr>
      <w:pStyle w:val="Header"/>
      <w:jc w:val="right"/>
    </w:pPr>
    <w:r w:rsidRPr="007E3148">
      <w:ptab w:relativeTo="margin" w:alignment="center" w:leader="none"/>
    </w:r>
    <w:r w:rsidRPr="00FE5849">
      <w:rPr>
        <w:rFonts w:cstheme="minorHAnsi"/>
        <w:szCs w:val="24"/>
      </w:rPr>
      <w:t>Rheumatoid arthritis treatment patterns in Taiwan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8A4BC" w14:textId="53CC0A5E" w:rsidR="00FD628C" w:rsidRPr="00A53000" w:rsidRDefault="00FD628C" w:rsidP="00EA5EF3">
    <w:pPr>
      <w:pStyle w:val="Header"/>
      <w:jc w:val="right"/>
    </w:pPr>
    <w:r w:rsidRPr="00FE5849">
      <w:rPr>
        <w:rFonts w:cstheme="minorHAnsi"/>
        <w:szCs w:val="24"/>
      </w:rPr>
      <w:t>Rheumatoid arthritis treatment patterns in Taiwan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F27F1" w14:textId="77777777" w:rsidR="00FD628C" w:rsidRDefault="00FD628C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56C3F4FE" wp14:editId="369AA4D1">
          <wp:extent cx="1382534" cy="497091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0601A"/>
    <w:multiLevelType w:val="multilevel"/>
    <w:tmpl w:val="C6A8CCE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>
    <w:abstractNumId w:val="0"/>
  </w:num>
  <w:num w:numId="4">
    <w:abstractNumId w:val="0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afvv0vxdsp99xesstqp5xaiezxawwapssv2&quot;&gt;TX switch&lt;record-ids&gt;&lt;item&gt;1&lt;/item&gt;&lt;/record-ids&gt;&lt;/item&gt;&lt;/Libraries&gt;"/>
  </w:docVars>
  <w:rsids>
    <w:rsidRoot w:val="00681821"/>
    <w:rsid w:val="00005C76"/>
    <w:rsid w:val="0001257A"/>
    <w:rsid w:val="00021F82"/>
    <w:rsid w:val="00034304"/>
    <w:rsid w:val="00035434"/>
    <w:rsid w:val="00045678"/>
    <w:rsid w:val="000458E4"/>
    <w:rsid w:val="00047BC1"/>
    <w:rsid w:val="00061A86"/>
    <w:rsid w:val="00063D84"/>
    <w:rsid w:val="0006636D"/>
    <w:rsid w:val="00077D53"/>
    <w:rsid w:val="00080D80"/>
    <w:rsid w:val="00081394"/>
    <w:rsid w:val="000B1430"/>
    <w:rsid w:val="000B34BD"/>
    <w:rsid w:val="000C7E2A"/>
    <w:rsid w:val="000D59EA"/>
    <w:rsid w:val="000F4CFB"/>
    <w:rsid w:val="00107A91"/>
    <w:rsid w:val="00110BB3"/>
    <w:rsid w:val="00117666"/>
    <w:rsid w:val="0012099E"/>
    <w:rsid w:val="001223A7"/>
    <w:rsid w:val="00134256"/>
    <w:rsid w:val="001350E2"/>
    <w:rsid w:val="00141E15"/>
    <w:rsid w:val="00147395"/>
    <w:rsid w:val="001552C9"/>
    <w:rsid w:val="00177D84"/>
    <w:rsid w:val="0018104E"/>
    <w:rsid w:val="001964EF"/>
    <w:rsid w:val="001B1A2C"/>
    <w:rsid w:val="001B1F03"/>
    <w:rsid w:val="001C2BE3"/>
    <w:rsid w:val="001D5C23"/>
    <w:rsid w:val="001D67C6"/>
    <w:rsid w:val="001E51EB"/>
    <w:rsid w:val="001E661E"/>
    <w:rsid w:val="001F4C07"/>
    <w:rsid w:val="002008C9"/>
    <w:rsid w:val="00202257"/>
    <w:rsid w:val="00220AEA"/>
    <w:rsid w:val="00221592"/>
    <w:rsid w:val="00226954"/>
    <w:rsid w:val="00255BA3"/>
    <w:rsid w:val="002629A3"/>
    <w:rsid w:val="00265660"/>
    <w:rsid w:val="00267D18"/>
    <w:rsid w:val="002868E2"/>
    <w:rsid w:val="002869C3"/>
    <w:rsid w:val="002936E4"/>
    <w:rsid w:val="002963FB"/>
    <w:rsid w:val="00296B88"/>
    <w:rsid w:val="002C74CA"/>
    <w:rsid w:val="002E2BD2"/>
    <w:rsid w:val="002E35E7"/>
    <w:rsid w:val="002E6617"/>
    <w:rsid w:val="002F744D"/>
    <w:rsid w:val="00303DE6"/>
    <w:rsid w:val="00310124"/>
    <w:rsid w:val="00313E43"/>
    <w:rsid w:val="00315F8C"/>
    <w:rsid w:val="00327ACA"/>
    <w:rsid w:val="003544FB"/>
    <w:rsid w:val="00365D63"/>
    <w:rsid w:val="0036793B"/>
    <w:rsid w:val="00372682"/>
    <w:rsid w:val="00376CC5"/>
    <w:rsid w:val="00385340"/>
    <w:rsid w:val="00385F69"/>
    <w:rsid w:val="0039693B"/>
    <w:rsid w:val="003D2F2D"/>
    <w:rsid w:val="003E2F25"/>
    <w:rsid w:val="003F482F"/>
    <w:rsid w:val="00401590"/>
    <w:rsid w:val="00422C94"/>
    <w:rsid w:val="00430473"/>
    <w:rsid w:val="00451B5E"/>
    <w:rsid w:val="00455E77"/>
    <w:rsid w:val="00462DCE"/>
    <w:rsid w:val="00463E3D"/>
    <w:rsid w:val="004645AE"/>
    <w:rsid w:val="00486F05"/>
    <w:rsid w:val="004932C8"/>
    <w:rsid w:val="004A1411"/>
    <w:rsid w:val="004A6474"/>
    <w:rsid w:val="004D3E33"/>
    <w:rsid w:val="004D3F5C"/>
    <w:rsid w:val="004D6E31"/>
    <w:rsid w:val="0050473F"/>
    <w:rsid w:val="00512BB9"/>
    <w:rsid w:val="005250F2"/>
    <w:rsid w:val="0054336D"/>
    <w:rsid w:val="00543B8D"/>
    <w:rsid w:val="00555074"/>
    <w:rsid w:val="00575D56"/>
    <w:rsid w:val="005906CD"/>
    <w:rsid w:val="005918D4"/>
    <w:rsid w:val="005A1D84"/>
    <w:rsid w:val="005A70EA"/>
    <w:rsid w:val="005C3963"/>
    <w:rsid w:val="005D1840"/>
    <w:rsid w:val="005D35E4"/>
    <w:rsid w:val="005D7910"/>
    <w:rsid w:val="006018C6"/>
    <w:rsid w:val="00602233"/>
    <w:rsid w:val="0062154F"/>
    <w:rsid w:val="00631A8C"/>
    <w:rsid w:val="00642D78"/>
    <w:rsid w:val="00651CA2"/>
    <w:rsid w:val="00653D60"/>
    <w:rsid w:val="00660D05"/>
    <w:rsid w:val="00666121"/>
    <w:rsid w:val="0066666E"/>
    <w:rsid w:val="00671D9A"/>
    <w:rsid w:val="00673952"/>
    <w:rsid w:val="00681821"/>
    <w:rsid w:val="00686C9D"/>
    <w:rsid w:val="00687454"/>
    <w:rsid w:val="006A29D6"/>
    <w:rsid w:val="006B2D5B"/>
    <w:rsid w:val="006B7D14"/>
    <w:rsid w:val="006D5B93"/>
    <w:rsid w:val="006E0119"/>
    <w:rsid w:val="006F557D"/>
    <w:rsid w:val="00702945"/>
    <w:rsid w:val="00702E97"/>
    <w:rsid w:val="00720BE4"/>
    <w:rsid w:val="007243B2"/>
    <w:rsid w:val="00725A7D"/>
    <w:rsid w:val="0073085C"/>
    <w:rsid w:val="00732817"/>
    <w:rsid w:val="00733784"/>
    <w:rsid w:val="00740981"/>
    <w:rsid w:val="00746505"/>
    <w:rsid w:val="00754CC9"/>
    <w:rsid w:val="00757670"/>
    <w:rsid w:val="00774640"/>
    <w:rsid w:val="007861CB"/>
    <w:rsid w:val="00790BB3"/>
    <w:rsid w:val="00790D7A"/>
    <w:rsid w:val="00792043"/>
    <w:rsid w:val="00797EDD"/>
    <w:rsid w:val="007A4667"/>
    <w:rsid w:val="007B0322"/>
    <w:rsid w:val="007B359A"/>
    <w:rsid w:val="007B45A7"/>
    <w:rsid w:val="007C0E3F"/>
    <w:rsid w:val="007C206C"/>
    <w:rsid w:val="007C5729"/>
    <w:rsid w:val="007F33ED"/>
    <w:rsid w:val="008111E4"/>
    <w:rsid w:val="0081301C"/>
    <w:rsid w:val="00817DD6"/>
    <w:rsid w:val="00825107"/>
    <w:rsid w:val="00851869"/>
    <w:rsid w:val="00852CE6"/>
    <w:rsid w:val="008629A9"/>
    <w:rsid w:val="00867AA8"/>
    <w:rsid w:val="008749DD"/>
    <w:rsid w:val="00876771"/>
    <w:rsid w:val="0088513A"/>
    <w:rsid w:val="00893C19"/>
    <w:rsid w:val="008D6C8D"/>
    <w:rsid w:val="008E2B54"/>
    <w:rsid w:val="008E4404"/>
    <w:rsid w:val="008E58C7"/>
    <w:rsid w:val="008F5021"/>
    <w:rsid w:val="00903FC7"/>
    <w:rsid w:val="009110D2"/>
    <w:rsid w:val="00943573"/>
    <w:rsid w:val="00967438"/>
    <w:rsid w:val="00971B61"/>
    <w:rsid w:val="00972056"/>
    <w:rsid w:val="00975DCF"/>
    <w:rsid w:val="00976639"/>
    <w:rsid w:val="00980C31"/>
    <w:rsid w:val="009836B2"/>
    <w:rsid w:val="00995462"/>
    <w:rsid w:val="009955FF"/>
    <w:rsid w:val="009A45B1"/>
    <w:rsid w:val="009A662D"/>
    <w:rsid w:val="009B0C15"/>
    <w:rsid w:val="009C62D9"/>
    <w:rsid w:val="009C6B1E"/>
    <w:rsid w:val="009D259D"/>
    <w:rsid w:val="009F7572"/>
    <w:rsid w:val="00A318D2"/>
    <w:rsid w:val="00A353DA"/>
    <w:rsid w:val="00A35B96"/>
    <w:rsid w:val="00A47E43"/>
    <w:rsid w:val="00A50D9D"/>
    <w:rsid w:val="00A515B4"/>
    <w:rsid w:val="00A53000"/>
    <w:rsid w:val="00A545C6"/>
    <w:rsid w:val="00A652D0"/>
    <w:rsid w:val="00A709D2"/>
    <w:rsid w:val="00A741ED"/>
    <w:rsid w:val="00A75F87"/>
    <w:rsid w:val="00A8239C"/>
    <w:rsid w:val="00A8541C"/>
    <w:rsid w:val="00A86F8A"/>
    <w:rsid w:val="00A95D8B"/>
    <w:rsid w:val="00AA6E21"/>
    <w:rsid w:val="00AC0270"/>
    <w:rsid w:val="00AC3EA3"/>
    <w:rsid w:val="00AC792D"/>
    <w:rsid w:val="00AD6B63"/>
    <w:rsid w:val="00AF57FC"/>
    <w:rsid w:val="00B136D4"/>
    <w:rsid w:val="00B22CF7"/>
    <w:rsid w:val="00B41CF8"/>
    <w:rsid w:val="00B65246"/>
    <w:rsid w:val="00B657B8"/>
    <w:rsid w:val="00B83561"/>
    <w:rsid w:val="00B84920"/>
    <w:rsid w:val="00B84B35"/>
    <w:rsid w:val="00B8556A"/>
    <w:rsid w:val="00B937A4"/>
    <w:rsid w:val="00B941FD"/>
    <w:rsid w:val="00BA790A"/>
    <w:rsid w:val="00BB08D3"/>
    <w:rsid w:val="00BB56D9"/>
    <w:rsid w:val="00BC1F7B"/>
    <w:rsid w:val="00BD31D8"/>
    <w:rsid w:val="00BD577D"/>
    <w:rsid w:val="00BF2D96"/>
    <w:rsid w:val="00C012A3"/>
    <w:rsid w:val="00C04E1A"/>
    <w:rsid w:val="00C14309"/>
    <w:rsid w:val="00C16F19"/>
    <w:rsid w:val="00C24673"/>
    <w:rsid w:val="00C52A7B"/>
    <w:rsid w:val="00C6324C"/>
    <w:rsid w:val="00C679AA"/>
    <w:rsid w:val="00C724CF"/>
    <w:rsid w:val="00C75972"/>
    <w:rsid w:val="00C82792"/>
    <w:rsid w:val="00C910F5"/>
    <w:rsid w:val="00C930E4"/>
    <w:rsid w:val="00C948FD"/>
    <w:rsid w:val="00CB43D5"/>
    <w:rsid w:val="00CB57A5"/>
    <w:rsid w:val="00CC76F9"/>
    <w:rsid w:val="00CD066B"/>
    <w:rsid w:val="00CD46E2"/>
    <w:rsid w:val="00CD46EE"/>
    <w:rsid w:val="00CE4E5C"/>
    <w:rsid w:val="00CF5750"/>
    <w:rsid w:val="00CF57FF"/>
    <w:rsid w:val="00D00D0B"/>
    <w:rsid w:val="00D04B69"/>
    <w:rsid w:val="00D064AB"/>
    <w:rsid w:val="00D37636"/>
    <w:rsid w:val="00D537FA"/>
    <w:rsid w:val="00D5547D"/>
    <w:rsid w:val="00D55F8A"/>
    <w:rsid w:val="00D60740"/>
    <w:rsid w:val="00D67BBD"/>
    <w:rsid w:val="00D80D99"/>
    <w:rsid w:val="00D9503C"/>
    <w:rsid w:val="00DA3677"/>
    <w:rsid w:val="00DA4AED"/>
    <w:rsid w:val="00DC60ED"/>
    <w:rsid w:val="00DD73EF"/>
    <w:rsid w:val="00DE23E8"/>
    <w:rsid w:val="00E0128B"/>
    <w:rsid w:val="00E259FF"/>
    <w:rsid w:val="00E439E6"/>
    <w:rsid w:val="00E55B8C"/>
    <w:rsid w:val="00E57817"/>
    <w:rsid w:val="00E60FAD"/>
    <w:rsid w:val="00E64E17"/>
    <w:rsid w:val="00E917EE"/>
    <w:rsid w:val="00EA3D3C"/>
    <w:rsid w:val="00EA4E87"/>
    <w:rsid w:val="00EA5EF3"/>
    <w:rsid w:val="00EB0A99"/>
    <w:rsid w:val="00EB4D2A"/>
    <w:rsid w:val="00EC5F43"/>
    <w:rsid w:val="00EC7CC3"/>
    <w:rsid w:val="00EE5FC9"/>
    <w:rsid w:val="00F2367B"/>
    <w:rsid w:val="00F37C5C"/>
    <w:rsid w:val="00F46494"/>
    <w:rsid w:val="00F47E22"/>
    <w:rsid w:val="00F5086C"/>
    <w:rsid w:val="00F558AB"/>
    <w:rsid w:val="00F56814"/>
    <w:rsid w:val="00F61D89"/>
    <w:rsid w:val="00F806F0"/>
    <w:rsid w:val="00F809FA"/>
    <w:rsid w:val="00F86ABB"/>
    <w:rsid w:val="00FD455D"/>
    <w:rsid w:val="00FD628C"/>
    <w:rsid w:val="00FD7648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A59A7"/>
  <w15:docId w15:val="{B98209AD-3451-4824-82E1-1DFAFFB1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EastAsia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4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fontstyle01">
    <w:name w:val="fontstyle01"/>
    <w:basedOn w:val="DefaultParagraphFont"/>
    <w:rsid w:val="001E661E"/>
    <w:rPr>
      <w:rFonts w:ascii="BerkeleyPro-Book" w:hAnsi="BerkeleyPro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1E661E"/>
    <w:rPr>
      <w:rFonts w:ascii="BerkeleyPro-BookItalic" w:hAnsi="BerkeleyPro-BookItalic" w:hint="default"/>
      <w:b w:val="0"/>
      <w:bCs w:val="0"/>
      <w:i/>
      <w:iCs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1E661E"/>
    <w:rPr>
      <w:rFonts w:ascii="AdvEls-ent4" w:hAnsi="AdvEls-ent4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1E661E"/>
    <w:rPr>
      <w:rFonts w:ascii="AdvOTbc475f09+20" w:hAnsi="AdvOTbc475f09+20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DefaultParagraphFont"/>
    <w:rsid w:val="001E661E"/>
    <w:rPr>
      <w:rFonts w:ascii="AdvEls-ent5" w:hAnsi="AdvEls-ent5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BodyText12">
    <w:name w:val="BodyText12"/>
    <w:qFormat/>
    <w:rsid w:val="001E661E"/>
    <w:pPr>
      <w:spacing w:line="300" w:lineRule="auto"/>
      <w:ind w:left="85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link w:val="ParagraphChar"/>
    <w:rsid w:val="001E661E"/>
    <w:pPr>
      <w:spacing w:after="24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Instructions">
    <w:name w:val="Instructions"/>
    <w:rsid w:val="001E661E"/>
    <w:rPr>
      <w:i/>
      <w:iCs/>
      <w:color w:val="008000"/>
    </w:rPr>
  </w:style>
  <w:style w:type="character" w:customStyle="1" w:styleId="ParagraphChar">
    <w:name w:val="Paragraph Char"/>
    <w:link w:val="Paragraph"/>
    <w:rsid w:val="001E661E"/>
    <w:rPr>
      <w:rFonts w:ascii="Times New Roman" w:eastAsia="SimSun" w:hAnsi="Times New Roman" w:cs="Times New Roman"/>
      <w:sz w:val="24"/>
      <w:szCs w:val="24"/>
    </w:rPr>
  </w:style>
  <w:style w:type="table" w:customStyle="1" w:styleId="GridTable4-Accent11">
    <w:name w:val="Grid Table 4 - Accent 11"/>
    <w:basedOn w:val="TableNormal"/>
    <w:uiPriority w:val="49"/>
    <w:rsid w:val="001E661E"/>
    <w:pPr>
      <w:spacing w:after="0" w:line="240" w:lineRule="auto"/>
    </w:pPr>
    <w:rPr>
      <w:rFonts w:asciiTheme="minorHAnsi" w:hAnsiTheme="minorHAnsi"/>
      <w:lang w:eastAsia="zh-TW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1E661E"/>
    <w:pPr>
      <w:spacing w:before="0" w:after="0" w:line="276" w:lineRule="auto"/>
      <w:jc w:val="center"/>
    </w:pPr>
    <w:rPr>
      <w:rFonts w:ascii="Calibri" w:hAnsi="Calibri" w:cs="Calibri"/>
      <w:noProof/>
      <w:sz w:val="22"/>
      <w:lang w:eastAsia="zh-TW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E661E"/>
    <w:rPr>
      <w:rFonts w:ascii="Calibri" w:hAnsi="Calibri" w:cs="Calibri"/>
      <w:noProof/>
      <w:lang w:eastAsia="zh-TW"/>
    </w:rPr>
  </w:style>
  <w:style w:type="paragraph" w:customStyle="1" w:styleId="EndNoteBibliography">
    <w:name w:val="EndNote Bibliography"/>
    <w:basedOn w:val="Normal"/>
    <w:link w:val="EndNoteBibliographyChar"/>
    <w:rsid w:val="001E661E"/>
    <w:pPr>
      <w:spacing w:before="0" w:after="200"/>
    </w:pPr>
    <w:rPr>
      <w:rFonts w:ascii="Calibri" w:hAnsi="Calibri" w:cs="Calibri"/>
      <w:noProof/>
      <w:sz w:val="22"/>
      <w:lang w:eastAsia="zh-TW"/>
    </w:rPr>
  </w:style>
  <w:style w:type="character" w:customStyle="1" w:styleId="EndNoteBibliographyChar">
    <w:name w:val="EndNote Bibliography Char"/>
    <w:basedOn w:val="DefaultParagraphFont"/>
    <w:link w:val="EndNoteBibliography"/>
    <w:rsid w:val="001E661E"/>
    <w:rPr>
      <w:rFonts w:ascii="Calibri" w:hAnsi="Calibri" w:cs="Calibri"/>
      <w:noProof/>
      <w:lang w:eastAsia="zh-TW"/>
    </w:rPr>
  </w:style>
  <w:style w:type="paragraph" w:styleId="BodyText">
    <w:name w:val="Body Text"/>
    <w:basedOn w:val="Normal"/>
    <w:link w:val="BodyTextChar"/>
    <w:uiPriority w:val="99"/>
    <w:unhideWhenUsed/>
    <w:rsid w:val="001E661E"/>
    <w:pPr>
      <w:spacing w:before="0" w:after="0"/>
    </w:pPr>
    <w:rPr>
      <w:rFonts w:cs="Times New Roman"/>
      <w:b/>
      <w:bCs/>
      <w:sz w:val="28"/>
      <w:szCs w:val="28"/>
      <w:lang w:val="en-AU" w:eastAsia="zh-TW"/>
    </w:rPr>
  </w:style>
  <w:style w:type="character" w:customStyle="1" w:styleId="BodyTextChar">
    <w:name w:val="Body Text Char"/>
    <w:basedOn w:val="DefaultParagraphFont"/>
    <w:link w:val="BodyText"/>
    <w:uiPriority w:val="99"/>
    <w:rsid w:val="001E661E"/>
    <w:rPr>
      <w:rFonts w:ascii="Times New Roman" w:hAnsi="Times New Roman" w:cs="Times New Roman"/>
      <w:b/>
      <w:bCs/>
      <w:sz w:val="28"/>
      <w:szCs w:val="28"/>
      <w:lang w:val="en-AU" w:eastAsia="zh-TW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661E"/>
    <w:rPr>
      <w:color w:val="605E5C"/>
      <w:shd w:val="clear" w:color="auto" w:fill="E1DFDD"/>
    </w:rPr>
  </w:style>
  <w:style w:type="table" w:customStyle="1" w:styleId="41">
    <w:name w:val="格線表格 41"/>
    <w:basedOn w:val="TableNormal"/>
    <w:uiPriority w:val="49"/>
    <w:rsid w:val="001E661E"/>
    <w:pPr>
      <w:spacing w:after="0" w:line="240" w:lineRule="auto"/>
    </w:pPr>
    <w:rPr>
      <w:rFonts w:asciiTheme="minorHAnsi" w:hAnsiTheme="minorHAnsi"/>
      <w:lang w:eastAsia="zh-TW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1">
    <w:name w:val="清單表格 6 彩色1"/>
    <w:basedOn w:val="TableNormal"/>
    <w:uiPriority w:val="51"/>
    <w:rsid w:val="001E661E"/>
    <w:pPr>
      <w:spacing w:after="0" w:line="240" w:lineRule="auto"/>
    </w:pPr>
    <w:rPr>
      <w:rFonts w:asciiTheme="minorHAnsi" w:hAnsiTheme="minorHAnsi"/>
      <w:color w:val="000000" w:themeColor="text1"/>
      <w:lang w:eastAsia="zh-TW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6-51">
    <w:name w:val="清單表格 6 彩色 - 輔色 51"/>
    <w:basedOn w:val="TableNormal"/>
    <w:uiPriority w:val="51"/>
    <w:rsid w:val="001E661E"/>
    <w:pPr>
      <w:spacing w:after="0" w:line="240" w:lineRule="auto"/>
    </w:pPr>
    <w:rPr>
      <w:rFonts w:asciiTheme="minorHAnsi" w:hAnsiTheme="minorHAnsi"/>
      <w:color w:val="31849B" w:themeColor="accent5" w:themeShade="BF"/>
      <w:lang w:eastAsia="zh-TW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455E7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rsid w:val="008749DD"/>
    <w:pPr>
      <w:spacing w:after="0" w:line="240" w:lineRule="auto"/>
    </w:pPr>
    <w:rPr>
      <w:rFonts w:asciiTheme="minorHAnsi" w:hAnsiTheme="minorHAnsi"/>
      <w:kern w:val="2"/>
      <w:sz w:val="24"/>
      <w:lang w:eastAsia="zh-TW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5A45BAC-224F-48FE-82FC-F9122719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2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Hsin, Chih-Yi</dc:creator>
  <cp:keywords/>
  <dc:description/>
  <cp:lastModifiedBy>Florine Lièvre</cp:lastModifiedBy>
  <cp:revision>4</cp:revision>
  <cp:lastPrinted>2021-02-28T03:32:00Z</cp:lastPrinted>
  <dcterms:created xsi:type="dcterms:W3CDTF">2021-02-28T03:42:00Z</dcterms:created>
  <dcterms:modified xsi:type="dcterms:W3CDTF">2021-07-14T08:26:00Z</dcterms:modified>
</cp:coreProperties>
</file>