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C4EE" w14:textId="77777777" w:rsidR="002B6AEC" w:rsidRDefault="002B6AEC" w:rsidP="002B6AEC">
      <w:pPr>
        <w:pStyle w:val="Caption"/>
      </w:pPr>
      <w:bookmarkStart w:id="0" w:name="_Ref62873790"/>
      <w:r>
        <w:t xml:space="preserve">Table S </w:t>
      </w:r>
      <w:fldSimple w:instr=" SEQ Table_S \* ARABIC ">
        <w:r>
          <w:rPr>
            <w:noProof/>
          </w:rPr>
          <w:t>1</w:t>
        </w:r>
      </w:fldSimple>
      <w:bookmarkEnd w:id="0"/>
      <w:r>
        <w:t>. Author’s ranking of eight published SDM studies by reference to assessment criteria and issues proposed by Araujo et al. (2019). DB, David Bowden; OA, Owen Anderson; AR, Ashley Rowden; FS, Fabrice Stephenson. Rankings from best to worst are: Gold (G); Silver (S); Bronze (B), and Deficient (D).</w:t>
      </w:r>
    </w:p>
    <w:tbl>
      <w:tblPr>
        <w:tblW w:w="4272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929"/>
        <w:gridCol w:w="1914"/>
        <w:gridCol w:w="271"/>
        <w:gridCol w:w="291"/>
        <w:gridCol w:w="281"/>
        <w:gridCol w:w="291"/>
        <w:gridCol w:w="286"/>
        <w:gridCol w:w="281"/>
        <w:gridCol w:w="284"/>
        <w:gridCol w:w="286"/>
        <w:gridCol w:w="281"/>
        <w:gridCol w:w="284"/>
        <w:gridCol w:w="281"/>
        <w:gridCol w:w="286"/>
        <w:gridCol w:w="284"/>
        <w:gridCol w:w="281"/>
        <w:gridCol w:w="284"/>
        <w:gridCol w:w="291"/>
        <w:gridCol w:w="281"/>
        <w:gridCol w:w="284"/>
        <w:gridCol w:w="284"/>
        <w:gridCol w:w="286"/>
        <w:gridCol w:w="284"/>
        <w:gridCol w:w="281"/>
        <w:gridCol w:w="284"/>
        <w:gridCol w:w="291"/>
        <w:gridCol w:w="281"/>
        <w:gridCol w:w="284"/>
        <w:gridCol w:w="284"/>
        <w:gridCol w:w="291"/>
        <w:gridCol w:w="281"/>
        <w:gridCol w:w="281"/>
        <w:gridCol w:w="284"/>
        <w:gridCol w:w="279"/>
      </w:tblGrid>
      <w:tr w:rsidR="002B6AEC" w:rsidRPr="002233B3" w14:paraId="125A80B9" w14:textId="77777777" w:rsidTr="00A048AF">
        <w:trPr>
          <w:trHeight w:val="675"/>
        </w:trPr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5FC13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Criterion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4444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Issue</w:t>
            </w:r>
          </w:p>
        </w:tc>
        <w:tc>
          <w:tcPr>
            <w:tcW w:w="47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3B5352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Tracey et al. (2011)</w:t>
            </w:r>
          </w:p>
        </w:tc>
        <w:tc>
          <w:tcPr>
            <w:tcW w:w="47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F8453D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Baird et al. (2013)</w:t>
            </w: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84DD78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Compton et al. (2013)</w:t>
            </w:r>
          </w:p>
        </w:tc>
        <w:tc>
          <w:tcPr>
            <w:tcW w:w="47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313A27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Anderson et al. (2014)</w:t>
            </w:r>
          </w:p>
        </w:tc>
        <w:tc>
          <w:tcPr>
            <w:tcW w:w="47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490EA39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Anderson et al. (2015)</w:t>
            </w:r>
          </w:p>
        </w:tc>
        <w:tc>
          <w:tcPr>
            <w:tcW w:w="47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765085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Anderson et al. (2016a)</w:t>
            </w:r>
          </w:p>
        </w:tc>
        <w:tc>
          <w:tcPr>
            <w:tcW w:w="47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3FBC08D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Anderson et al. (2016b)</w:t>
            </w:r>
          </w:p>
        </w:tc>
        <w:tc>
          <w:tcPr>
            <w:tcW w:w="47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16D0F0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Georgian et al. (2019)</w:t>
            </w:r>
          </w:p>
        </w:tc>
      </w:tr>
      <w:tr w:rsidR="002B6AEC" w:rsidRPr="002233B3" w14:paraId="0F606735" w14:textId="77777777" w:rsidTr="00A048AF">
        <w:trPr>
          <w:trHeight w:val="300"/>
        </w:trPr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4A9" w14:textId="77777777" w:rsidR="002B6AEC" w:rsidRPr="002233B3" w:rsidRDefault="002B6AEC" w:rsidP="00A048AF">
            <w:pPr>
              <w:spacing w:before="0"/>
              <w:jc w:val="center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9DDD" w14:textId="77777777" w:rsidR="002B6AEC" w:rsidRPr="002233B3" w:rsidRDefault="002B6AEC" w:rsidP="00A048AF">
            <w:pPr>
              <w:spacing w:before="0"/>
              <w:jc w:val="left"/>
              <w:rPr>
                <w:color w:val="auto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11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28F24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E3D3E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4528A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35391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DB86C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CDC02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5185C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86664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0DBD9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2EBB2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CF49C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4CF82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D8F33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F7794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F4224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2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D50D2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66BD4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782F6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BF37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BCE14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1B347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B9752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CF450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2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98403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E43EA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44106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368F7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2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2BBE9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3AD32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DB</w:t>
            </w: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C3A9D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OA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58080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AR</w:t>
            </w: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37F9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b/>
                <w:bCs/>
                <w:spacing w:val="0"/>
                <w:sz w:val="16"/>
                <w:szCs w:val="16"/>
                <w:lang w:eastAsia="en-GB"/>
              </w:rPr>
              <w:t>FS</w:t>
            </w:r>
          </w:p>
        </w:tc>
      </w:tr>
      <w:tr w:rsidR="002B6AEC" w:rsidRPr="002233B3" w14:paraId="2636A2BA" w14:textId="77777777" w:rsidTr="00A048AF">
        <w:trPr>
          <w:trHeight w:val="315"/>
        </w:trPr>
        <w:tc>
          <w:tcPr>
            <w:tcW w:w="389" w:type="pct"/>
            <w:shd w:val="clear" w:color="auto" w:fill="auto"/>
            <w:vAlign w:val="center"/>
            <w:hideMark/>
          </w:tcPr>
          <w:p w14:paraId="006426E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Response variable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1D3482A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 xml:space="preserve">1A Sampling </w:t>
            </w:r>
          </w:p>
        </w:tc>
        <w:tc>
          <w:tcPr>
            <w:tcW w:w="113" w:type="pct"/>
            <w:shd w:val="clear" w:color="000000" w:fill="FF3300"/>
            <w:vAlign w:val="center"/>
            <w:hideMark/>
          </w:tcPr>
          <w:p w14:paraId="0284C5E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3AA97F4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13853F8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79E41D3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0" w:type="pct"/>
            <w:shd w:val="clear" w:color="000000" w:fill="FF3300"/>
            <w:vAlign w:val="center"/>
            <w:hideMark/>
          </w:tcPr>
          <w:p w14:paraId="3F4210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647E695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609C0C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DA0A7B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774EEC2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9C6516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82D05E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3247441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730BAE1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2221DD9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083E461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5814AE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2C675CE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14630A3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68CB29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4EABD19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094C1C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55DA0DE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95392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061CE5C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1DA8CE8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008D25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D7A024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6CB68AA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31F2043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C99241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A09C22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36AE09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47C5078B" w14:textId="77777777" w:rsidTr="00A048AF">
        <w:trPr>
          <w:trHeight w:val="315"/>
        </w:trPr>
        <w:tc>
          <w:tcPr>
            <w:tcW w:w="389" w:type="pct"/>
            <w:shd w:val="clear" w:color="auto" w:fill="auto"/>
            <w:vAlign w:val="center"/>
            <w:hideMark/>
          </w:tcPr>
          <w:p w14:paraId="190D70F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33B2B04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1B Identification of taxa</w:t>
            </w:r>
          </w:p>
        </w:tc>
        <w:tc>
          <w:tcPr>
            <w:tcW w:w="113" w:type="pct"/>
            <w:shd w:val="clear" w:color="000000" w:fill="66FF66"/>
            <w:vAlign w:val="center"/>
            <w:hideMark/>
          </w:tcPr>
          <w:p w14:paraId="6922899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6D06076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1B55E8A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22" w:type="pct"/>
            <w:shd w:val="clear" w:color="000000" w:fill="66FF66"/>
            <w:vAlign w:val="center"/>
            <w:hideMark/>
          </w:tcPr>
          <w:p w14:paraId="49CC505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20" w:type="pct"/>
            <w:shd w:val="clear" w:color="000000" w:fill="66FF66"/>
            <w:vAlign w:val="center"/>
            <w:hideMark/>
          </w:tcPr>
          <w:p w14:paraId="3E32565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C265D4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6D576A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63613A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739BBFF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920FEB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41D96A8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4CD9B7E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66FF66"/>
            <w:vAlign w:val="center"/>
            <w:hideMark/>
          </w:tcPr>
          <w:p w14:paraId="57701AF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2C7429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1531C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5C69416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4CFFBD6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A10F05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6E19CC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848C10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66FF66"/>
            <w:vAlign w:val="center"/>
            <w:hideMark/>
          </w:tcPr>
          <w:p w14:paraId="7A222CF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0C23F08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9CE20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53B69CE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1FAED3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0F06C0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26C69E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4427D9A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47D6870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C06244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2AB903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AC94E1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7074D9EA" w14:textId="77777777" w:rsidTr="00A048AF">
        <w:trPr>
          <w:trHeight w:val="315"/>
        </w:trPr>
        <w:tc>
          <w:tcPr>
            <w:tcW w:w="389" w:type="pct"/>
            <w:shd w:val="clear" w:color="auto" w:fill="auto"/>
            <w:vAlign w:val="center"/>
            <w:hideMark/>
          </w:tcPr>
          <w:p w14:paraId="6CBF34D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7E5AF1A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 xml:space="preserve">1C Spatial accuracy </w:t>
            </w:r>
          </w:p>
        </w:tc>
        <w:tc>
          <w:tcPr>
            <w:tcW w:w="113" w:type="pct"/>
            <w:shd w:val="clear" w:color="000000" w:fill="FFFF00"/>
            <w:vAlign w:val="center"/>
            <w:hideMark/>
          </w:tcPr>
          <w:p w14:paraId="01F63E1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5EB97DE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0D20F16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43DAA48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35E6EF9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7833DB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0E2791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B4CD78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1DF4296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66FF66"/>
            <w:vAlign w:val="center"/>
            <w:hideMark/>
          </w:tcPr>
          <w:p w14:paraId="3AE5734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0F85447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20" w:type="pct"/>
            <w:shd w:val="clear" w:color="000000" w:fill="66FF66"/>
            <w:vAlign w:val="center"/>
            <w:hideMark/>
          </w:tcPr>
          <w:p w14:paraId="06A0C2E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061F5C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91FAA2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ECFEE4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49F56F5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67BD2A0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F015A8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1FBCC8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3E25A2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DA9F88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CAFB21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B4F5FB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0F18B18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415F2FA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BB5036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A511E9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450ECD3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63E45CD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ACAD9C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312A00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C9237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39D0B0CE" w14:textId="77777777" w:rsidTr="00A048AF">
        <w:trPr>
          <w:trHeight w:val="315"/>
        </w:trPr>
        <w:tc>
          <w:tcPr>
            <w:tcW w:w="389" w:type="pct"/>
            <w:shd w:val="clear" w:color="auto" w:fill="auto"/>
            <w:vAlign w:val="center"/>
            <w:hideMark/>
          </w:tcPr>
          <w:p w14:paraId="4DD8E9A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1588B16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1D Environmental extent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380B121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1BC2BDE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8FAFDF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6FED9A0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093C2D8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4AB8C7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438140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66470B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644C3B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71630C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959490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154A25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6E4879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831CD1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9950DF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2646BD0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2CEF4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88525D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70879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B23510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4E928C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FCE380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548474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20E417E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9751AC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C924BA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36CC79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1F32C79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A20123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B66EB4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65D821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C53E6F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2397E4CD" w14:textId="77777777" w:rsidTr="00A048AF">
        <w:trPr>
          <w:trHeight w:val="315"/>
        </w:trPr>
        <w:tc>
          <w:tcPr>
            <w:tcW w:w="389" w:type="pct"/>
            <w:shd w:val="clear" w:color="auto" w:fill="auto"/>
            <w:vAlign w:val="center"/>
            <w:hideMark/>
          </w:tcPr>
          <w:p w14:paraId="161B9A4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3BFADF5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1E Geographic extent</w:t>
            </w:r>
          </w:p>
        </w:tc>
        <w:tc>
          <w:tcPr>
            <w:tcW w:w="113" w:type="pct"/>
            <w:shd w:val="clear" w:color="000000" w:fill="FFFF00"/>
            <w:vAlign w:val="center"/>
            <w:hideMark/>
          </w:tcPr>
          <w:p w14:paraId="22574AB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09D9880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794518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6AB9FB2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7BE3F3A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306751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9C74BF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DBA6E1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041E520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A3CCE8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9CCB71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D97B15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F7BFA6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2411A8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6A47FB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FC4904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32DFFD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601DF8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0EA036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C90944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19635A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A95F04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530E4F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FCC782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622B22C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BE1EA4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4E4C82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27DE983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1835ED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7DA093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29F614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764081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2C1F8B84" w14:textId="77777777" w:rsidTr="00A048AF">
        <w:trPr>
          <w:trHeight w:val="300"/>
        </w:trPr>
        <w:tc>
          <w:tcPr>
            <w:tcW w:w="389" w:type="pct"/>
            <w:shd w:val="clear" w:color="auto" w:fill="auto"/>
            <w:vAlign w:val="center"/>
            <w:hideMark/>
          </w:tcPr>
          <w:p w14:paraId="1531630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Predictor variables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22B0626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2A Selection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63BCBE7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5AE4F23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C2E01C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2C06ED2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0C5FF4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6DE895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2481DA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3A5A4D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4B0E56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15CA9F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AF0EF2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18145CA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0333B3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872E6C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B0C0C3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783CEB4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41BBC9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71EE1F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6CFBD4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A9C88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23A36E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E585E5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F27C1B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334047D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411481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66FF66"/>
            <w:vAlign w:val="center"/>
            <w:hideMark/>
          </w:tcPr>
          <w:p w14:paraId="660788A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A12308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36DC9E4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8B117E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4CEFF54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CA098C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810EB4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4C72651D" w14:textId="77777777" w:rsidTr="00A048AF">
        <w:trPr>
          <w:trHeight w:val="300"/>
        </w:trPr>
        <w:tc>
          <w:tcPr>
            <w:tcW w:w="389" w:type="pct"/>
            <w:shd w:val="clear" w:color="auto" w:fill="auto"/>
            <w:vAlign w:val="center"/>
            <w:hideMark/>
          </w:tcPr>
          <w:p w14:paraId="513816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6FCACEE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2B Spatial resolution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526F540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13F72C5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C6CEE5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4A00F05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11177A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627012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165033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B388BE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35CD91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C021B7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7E41CF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5537F1D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E44C0B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EA1BB2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D962B2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35032CE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5DF2FF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E40664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7A0B78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BAE0BD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F080CD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02E2867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74DCA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0E5A308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5047F7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89BAD1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74BF43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17E3D56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A7F26A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1AFA20F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8CF973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EE82F7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72C87916" w14:textId="77777777" w:rsidTr="00A048AF">
        <w:trPr>
          <w:trHeight w:val="300"/>
        </w:trPr>
        <w:tc>
          <w:tcPr>
            <w:tcW w:w="389" w:type="pct"/>
            <w:shd w:val="clear" w:color="auto" w:fill="auto"/>
            <w:vAlign w:val="center"/>
            <w:hideMark/>
          </w:tcPr>
          <w:p w14:paraId="5B9DE4C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535F491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2C Uncertainty</w:t>
            </w:r>
          </w:p>
        </w:tc>
        <w:tc>
          <w:tcPr>
            <w:tcW w:w="113" w:type="pct"/>
            <w:shd w:val="clear" w:color="000000" w:fill="FF3300"/>
            <w:vAlign w:val="center"/>
            <w:hideMark/>
          </w:tcPr>
          <w:p w14:paraId="0983CF2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20AFA0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0CA68C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6C58EC1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0" w:type="pct"/>
            <w:shd w:val="clear" w:color="000000" w:fill="FF3300"/>
            <w:vAlign w:val="center"/>
            <w:hideMark/>
          </w:tcPr>
          <w:p w14:paraId="2A667F8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393849D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F74D1F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7FA7879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590948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428994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348C2B2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0" w:type="pct"/>
            <w:shd w:val="clear" w:color="000000" w:fill="FF3300"/>
            <w:vAlign w:val="center"/>
            <w:hideMark/>
          </w:tcPr>
          <w:p w14:paraId="0061520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0940FD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3B2F666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2479068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51FBC22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425447F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6594A2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1A7EDDA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100A834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7E5AD6F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DF5A6F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412EE2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75463B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22723E0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13C2A93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2DE2D44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71F5DF0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007A4E2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6F1558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20EA7BC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E9AC6C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</w:tr>
      <w:tr w:rsidR="002B6AEC" w:rsidRPr="002233B3" w14:paraId="4A1DDA26" w14:textId="77777777" w:rsidTr="00A048AF">
        <w:trPr>
          <w:trHeight w:val="300"/>
        </w:trPr>
        <w:tc>
          <w:tcPr>
            <w:tcW w:w="389" w:type="pct"/>
            <w:shd w:val="clear" w:color="auto" w:fill="auto"/>
            <w:vAlign w:val="center"/>
            <w:hideMark/>
          </w:tcPr>
          <w:p w14:paraId="0FDA350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Model building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413241D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3A Complexity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401584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14913A9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282ACF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0A3188D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95AB00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71F471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5F8368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E515AD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217F7D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C8B392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41DB09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020D70A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8A73C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2BDCE6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6A3BCF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3294A25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B24212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4185DD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5D59D7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F0677D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630EB0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DB5E0B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57A662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3AED83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5AA7AC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835A77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D668BB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20C00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17ACC8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F04C46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4EEDB0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7A55D6C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39EB4FF6" w14:textId="77777777" w:rsidTr="00A048AF">
        <w:trPr>
          <w:trHeight w:val="720"/>
        </w:trPr>
        <w:tc>
          <w:tcPr>
            <w:tcW w:w="389" w:type="pct"/>
            <w:shd w:val="clear" w:color="auto" w:fill="auto"/>
            <w:vAlign w:val="center"/>
            <w:hideMark/>
          </w:tcPr>
          <w:p w14:paraId="7646CAD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14E01DD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3B Treatment of bias and noise in response variables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74E611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3933BB4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0A36A4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6831127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3D9D3B1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3EFAFA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D316CA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C22599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CD32F8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CD205D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036AF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2CF3889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5CAD21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0EB2ED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970266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5E7DF76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18967C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F5E7DE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710ED7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F73EE2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D84909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1AC71D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F98DFD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6CEEEB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BA8357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7F17505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C71480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60E4560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2C6556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7DC7A6C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F5660B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FC8EAF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2CC39E7B" w14:textId="77777777" w:rsidTr="00A048AF">
        <w:trPr>
          <w:trHeight w:val="480"/>
        </w:trPr>
        <w:tc>
          <w:tcPr>
            <w:tcW w:w="389" w:type="pct"/>
            <w:shd w:val="clear" w:color="auto" w:fill="auto"/>
            <w:vAlign w:val="center"/>
            <w:hideMark/>
          </w:tcPr>
          <w:p w14:paraId="136773B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02CF548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3C Treatment of collinearity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66E9999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2AB680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66845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594BDD7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4E7CC77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3FD363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4168E5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060553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AB1C0C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03D42B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9348DB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102C8FC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8947BE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1362A9C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B192FF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2051A7F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7A5800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32D697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03369F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F753F5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00BA3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998D0E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6934CC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6BF4E5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D1BFBF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59DC53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0A489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33486D9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7CA1496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28A689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2DC015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D2B2F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634DA063" w14:textId="77777777" w:rsidTr="00A048AF">
        <w:trPr>
          <w:trHeight w:val="720"/>
        </w:trPr>
        <w:tc>
          <w:tcPr>
            <w:tcW w:w="389" w:type="pct"/>
            <w:shd w:val="clear" w:color="auto" w:fill="auto"/>
            <w:vAlign w:val="center"/>
            <w:hideMark/>
          </w:tcPr>
          <w:p w14:paraId="67A39CF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0ACA7A9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3D Dealing with modelling and parameter uncertainty</w:t>
            </w:r>
          </w:p>
        </w:tc>
        <w:tc>
          <w:tcPr>
            <w:tcW w:w="113" w:type="pct"/>
            <w:shd w:val="clear" w:color="000000" w:fill="FF3300"/>
            <w:vAlign w:val="center"/>
            <w:hideMark/>
          </w:tcPr>
          <w:p w14:paraId="14CEB7A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596904C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2CE8D7C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2" w:type="pct"/>
            <w:shd w:val="clear" w:color="000000" w:fill="FF3300"/>
            <w:vAlign w:val="center"/>
            <w:hideMark/>
          </w:tcPr>
          <w:p w14:paraId="7BA9C6F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0" w:type="pct"/>
            <w:shd w:val="clear" w:color="000000" w:fill="FF3300"/>
            <w:vAlign w:val="center"/>
            <w:hideMark/>
          </w:tcPr>
          <w:p w14:paraId="3B424F3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79E4C8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8EB69E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A499EE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5561C64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230175A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0A0A6C6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0" w:type="pct"/>
            <w:shd w:val="clear" w:color="000000" w:fill="FF3300"/>
            <w:vAlign w:val="center"/>
            <w:hideMark/>
          </w:tcPr>
          <w:p w14:paraId="4CEE10E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640C159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3EA4EBE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57FA5FD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21" w:type="pct"/>
            <w:shd w:val="clear" w:color="000000" w:fill="FF3300"/>
            <w:vAlign w:val="center"/>
            <w:hideMark/>
          </w:tcPr>
          <w:p w14:paraId="3B3BCF6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008FF4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2DABCB9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2AE927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6E36859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3300"/>
            <w:vAlign w:val="center"/>
            <w:hideMark/>
          </w:tcPr>
          <w:p w14:paraId="3CAFA83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9D52A9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1D07A5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75F2230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653607E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4D9EC4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74A44F3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1743D9F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3300"/>
            <w:vAlign w:val="center"/>
            <w:hideMark/>
          </w:tcPr>
          <w:p w14:paraId="210EDC9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2303A6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F3C92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1D3BED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6690B582" w14:textId="77777777" w:rsidTr="00A048AF">
        <w:trPr>
          <w:trHeight w:val="480"/>
        </w:trPr>
        <w:tc>
          <w:tcPr>
            <w:tcW w:w="389" w:type="pct"/>
            <w:shd w:val="clear" w:color="auto" w:fill="auto"/>
            <w:vAlign w:val="center"/>
            <w:hideMark/>
          </w:tcPr>
          <w:p w14:paraId="340EE5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Model evaluation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3A773EC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4A Evaluation of model assumptions</w:t>
            </w:r>
          </w:p>
        </w:tc>
        <w:tc>
          <w:tcPr>
            <w:tcW w:w="113" w:type="pct"/>
            <w:shd w:val="clear" w:color="000000" w:fill="FFFF00"/>
            <w:vAlign w:val="center"/>
            <w:hideMark/>
          </w:tcPr>
          <w:p w14:paraId="0BB0449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0443343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136C4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2" w:type="pct"/>
            <w:shd w:val="clear" w:color="000000" w:fill="FFFF00"/>
            <w:vAlign w:val="center"/>
            <w:hideMark/>
          </w:tcPr>
          <w:p w14:paraId="4D23D82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7327DF3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BABA1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25E339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2ECF34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673DCE1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9177C3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2505A84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0" w:type="pct"/>
            <w:shd w:val="clear" w:color="000000" w:fill="FFFF00"/>
            <w:vAlign w:val="center"/>
            <w:hideMark/>
          </w:tcPr>
          <w:p w14:paraId="65161C5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C49057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3862E53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4FF6F8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1666690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71D738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8AC2B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014860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E67AAB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A0E04D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56DC0FA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535092C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551C408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37E4392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4971A3A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79F00C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19ED88F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48AD42A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39E3CED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7383392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0C34F46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  <w:tr w:rsidR="002B6AEC" w:rsidRPr="002233B3" w14:paraId="7253D5C2" w14:textId="77777777" w:rsidTr="00A048AF">
        <w:trPr>
          <w:trHeight w:val="480"/>
        </w:trPr>
        <w:tc>
          <w:tcPr>
            <w:tcW w:w="389" w:type="pct"/>
            <w:shd w:val="clear" w:color="auto" w:fill="auto"/>
            <w:vAlign w:val="center"/>
            <w:hideMark/>
          </w:tcPr>
          <w:p w14:paraId="58902ED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2E62D10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4B Evaluation of model outputs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1FFA570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61E9A50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5B6DA0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17BB60C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0A7C730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355D15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6E4D1C3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F3F945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652A8FE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2CDFFAB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7A14D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722F312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77DB6E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CDEA0F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3D331C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282867C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122B6C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BCBD16F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52E459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B2FDF5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698A6D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66FF66"/>
            <w:vAlign w:val="center"/>
            <w:hideMark/>
          </w:tcPr>
          <w:p w14:paraId="694628F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9C5700"/>
                <w:spacing w:val="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39EDD9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40A8548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4BFBB5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1A832C4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546B60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74C1E549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D860AF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A5EAF4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D76BD3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F4698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</w:tr>
      <w:tr w:rsidR="002B6AEC" w:rsidRPr="002233B3" w14:paraId="6AA7AC29" w14:textId="77777777" w:rsidTr="00A048AF">
        <w:trPr>
          <w:trHeight w:val="480"/>
        </w:trPr>
        <w:tc>
          <w:tcPr>
            <w:tcW w:w="389" w:type="pct"/>
            <w:shd w:val="clear" w:color="auto" w:fill="auto"/>
            <w:vAlign w:val="center"/>
            <w:hideMark/>
          </w:tcPr>
          <w:p w14:paraId="153C6D1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4A31B75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4C Measures of model performance</w:t>
            </w:r>
          </w:p>
        </w:tc>
        <w:tc>
          <w:tcPr>
            <w:tcW w:w="113" w:type="pct"/>
            <w:shd w:val="clear" w:color="000000" w:fill="FF9933"/>
            <w:vAlign w:val="center"/>
            <w:hideMark/>
          </w:tcPr>
          <w:p w14:paraId="70534FF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4730460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1FC099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2" w:type="pct"/>
            <w:shd w:val="clear" w:color="000000" w:fill="FF9933"/>
            <w:vAlign w:val="center"/>
            <w:hideMark/>
          </w:tcPr>
          <w:p w14:paraId="5D078C9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05A85372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595FBCE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5E9DAF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780FF8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AD6DB4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FA7A79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2DD4E91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0" w:type="pct"/>
            <w:shd w:val="clear" w:color="000000" w:fill="FF9933"/>
            <w:vAlign w:val="center"/>
            <w:hideMark/>
          </w:tcPr>
          <w:p w14:paraId="5BFE77F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C4CEE16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3E56940A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1A7A198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5931237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D2B19A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0984BC3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443576ED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52203FF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3A4370E0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484E226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9933"/>
            <w:vAlign w:val="center"/>
            <w:hideMark/>
          </w:tcPr>
          <w:p w14:paraId="788AD23C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21" w:type="pct"/>
            <w:shd w:val="clear" w:color="000000" w:fill="FF9933"/>
            <w:vAlign w:val="center"/>
            <w:hideMark/>
          </w:tcPr>
          <w:p w14:paraId="00B03B9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03E9CF38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BBF4AE5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34A9175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1" w:type="pct"/>
            <w:shd w:val="clear" w:color="000000" w:fill="FFFF00"/>
            <w:vAlign w:val="center"/>
            <w:hideMark/>
          </w:tcPr>
          <w:p w14:paraId="55F0CDD4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8" w:type="pct"/>
            <w:shd w:val="clear" w:color="000000" w:fill="FF9933"/>
            <w:vAlign w:val="center"/>
            <w:hideMark/>
          </w:tcPr>
          <w:p w14:paraId="12150F7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spacing w:val="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118" w:type="pct"/>
            <w:shd w:val="clear" w:color="000000" w:fill="FFFF00"/>
            <w:vAlign w:val="center"/>
            <w:hideMark/>
          </w:tcPr>
          <w:p w14:paraId="4CFF0CB7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6F97A311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19" w:type="pct"/>
            <w:shd w:val="clear" w:color="000000" w:fill="FFFF00"/>
            <w:vAlign w:val="center"/>
            <w:hideMark/>
          </w:tcPr>
          <w:p w14:paraId="2757B42B" w14:textId="77777777" w:rsidR="002B6AEC" w:rsidRPr="002233B3" w:rsidRDefault="002B6AEC" w:rsidP="00A048AF">
            <w:pPr>
              <w:spacing w:before="0"/>
              <w:jc w:val="left"/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</w:pPr>
            <w:r w:rsidRPr="002233B3">
              <w:rPr>
                <w:rFonts w:ascii="Calibri" w:hAnsi="Calibri" w:cs="Calibri"/>
                <w:color w:val="A5A5A5"/>
                <w:spacing w:val="0"/>
                <w:sz w:val="16"/>
                <w:szCs w:val="16"/>
                <w:lang w:eastAsia="en-GB"/>
              </w:rPr>
              <w:t>S</w:t>
            </w:r>
          </w:p>
        </w:tc>
      </w:tr>
    </w:tbl>
    <w:p w14:paraId="0452C628" w14:textId="77777777" w:rsidR="00AC3C40" w:rsidRDefault="00AC3C40" w:rsidP="00D61C25"/>
    <w:sectPr w:rsidR="00AC3C40" w:rsidSect="002B6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98DCA22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C"/>
    <w:rsid w:val="00094B80"/>
    <w:rsid w:val="001D5A75"/>
    <w:rsid w:val="0021350B"/>
    <w:rsid w:val="002B6AEC"/>
    <w:rsid w:val="003F2615"/>
    <w:rsid w:val="00750CE8"/>
    <w:rsid w:val="00824A78"/>
    <w:rsid w:val="00867B0F"/>
    <w:rsid w:val="00AC3C40"/>
    <w:rsid w:val="00D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11CB"/>
  <w15:chartTrackingRefBased/>
  <w15:docId w15:val="{4DB1CA6C-FDC2-4A74-9A20-50496E26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EC"/>
    <w:pPr>
      <w:spacing w:before="120" w:after="0" w:line="240" w:lineRule="auto"/>
      <w:jc w:val="both"/>
    </w:pPr>
    <w:rPr>
      <w:rFonts w:ascii="Times New Roman" w:hAnsi="Times New Roman" w:cs="Times New Roman"/>
      <w:color w:val="000000"/>
      <w:spacing w:val="-3"/>
      <w:sz w:val="24"/>
      <w:szCs w:val="24"/>
      <w:lang w:eastAsia="en-NZ"/>
    </w:rPr>
  </w:style>
  <w:style w:type="paragraph" w:styleId="Heading1">
    <w:name w:val="heading 1"/>
    <w:aliases w:val="Heading 1-Frontiers"/>
    <w:basedOn w:val="ListParagraph"/>
    <w:next w:val="Normal"/>
    <w:link w:val="Heading1Char"/>
    <w:uiPriority w:val="2"/>
    <w:qFormat/>
    <w:rsid w:val="00094B80"/>
    <w:pPr>
      <w:numPr>
        <w:numId w:val="4"/>
      </w:numPr>
      <w:spacing w:before="240" w:after="240" w:line="240" w:lineRule="auto"/>
      <w:contextualSpacing w:val="0"/>
      <w:jc w:val="left"/>
      <w:outlineLvl w:val="0"/>
    </w:pPr>
    <w:rPr>
      <w:rFonts w:eastAsia="Cambria"/>
      <w:b/>
      <w:color w:val="auto"/>
      <w:spacing w:val="0"/>
      <w:szCs w:val="24"/>
      <w:lang w:val="en-US"/>
    </w:rPr>
  </w:style>
  <w:style w:type="paragraph" w:styleId="Heading2">
    <w:name w:val="heading 2"/>
    <w:aliases w:val="Heading 2-Frontiers"/>
    <w:basedOn w:val="Heading1"/>
    <w:next w:val="Normal"/>
    <w:link w:val="Heading2Char"/>
    <w:uiPriority w:val="2"/>
    <w:qFormat/>
    <w:rsid w:val="00094B80"/>
    <w:pPr>
      <w:numPr>
        <w:ilvl w:val="1"/>
      </w:numPr>
      <w:spacing w:after="200"/>
      <w:outlineLvl w:val="1"/>
    </w:pPr>
  </w:style>
  <w:style w:type="paragraph" w:styleId="Heading3">
    <w:name w:val="heading 3"/>
    <w:aliases w:val="Heading 3-Frontiers"/>
    <w:basedOn w:val="Normal"/>
    <w:next w:val="Normal"/>
    <w:link w:val="Heading3Char"/>
    <w:uiPriority w:val="2"/>
    <w:qFormat/>
    <w:rsid w:val="00094B80"/>
    <w:pPr>
      <w:keepNext/>
      <w:keepLines/>
      <w:numPr>
        <w:ilvl w:val="2"/>
        <w:numId w:val="4"/>
      </w:numPr>
      <w:spacing w:before="40" w:after="120"/>
      <w:jc w:val="left"/>
      <w:outlineLvl w:val="2"/>
    </w:pPr>
    <w:rPr>
      <w:rFonts w:eastAsiaTheme="majorEastAsia" w:cstheme="majorBidi"/>
      <w:b/>
      <w:color w:val="auto"/>
      <w:spacing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-Frontiers Char"/>
    <w:basedOn w:val="DefaultParagraphFont"/>
    <w:link w:val="Heading2"/>
    <w:uiPriority w:val="2"/>
    <w:rsid w:val="00094B80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1Char">
    <w:name w:val="Heading 1 Char"/>
    <w:aliases w:val="Heading 1-Frontiers Char"/>
    <w:basedOn w:val="DefaultParagraphFont"/>
    <w:link w:val="Heading1"/>
    <w:uiPriority w:val="2"/>
    <w:rsid w:val="00094B80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4B80"/>
    <w:pPr>
      <w:spacing w:line="360" w:lineRule="auto"/>
      <w:ind w:left="720"/>
      <w:contextualSpacing/>
    </w:pPr>
    <w:rPr>
      <w:szCs w:val="22"/>
      <w:lang w:eastAsia="en-US"/>
    </w:rPr>
  </w:style>
  <w:style w:type="character" w:customStyle="1" w:styleId="Heading3Char">
    <w:name w:val="Heading 3 Char"/>
    <w:aliases w:val="Heading 3-Frontiers Char"/>
    <w:basedOn w:val="DefaultParagraphFont"/>
    <w:link w:val="Heading3"/>
    <w:uiPriority w:val="2"/>
    <w:rsid w:val="00094B80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2B6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Bowden</dc:creator>
  <cp:keywords/>
  <dc:description/>
  <cp:lastModifiedBy>David Bowden</cp:lastModifiedBy>
  <cp:revision>2</cp:revision>
  <dcterms:created xsi:type="dcterms:W3CDTF">2021-02-01T22:22:00Z</dcterms:created>
  <dcterms:modified xsi:type="dcterms:W3CDTF">2021-03-16T21:08:00Z</dcterms:modified>
</cp:coreProperties>
</file>