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39" w:rsidRDefault="00BE616C" w:rsidP="00414855">
      <w:pPr>
        <w:pStyle w:val="SupplementaryMaterial"/>
        <w:rPr>
          <w:i w:val="0"/>
        </w:rPr>
      </w:pPr>
      <w:r w:rsidRPr="00BE616C">
        <w:rPr>
          <w:i w:val="0"/>
        </w:rPr>
        <w:t>Supplementary Material</w:t>
      </w:r>
    </w:p>
    <w:p w:rsidR="00414855" w:rsidRDefault="00414855" w:rsidP="00365259">
      <w:pPr>
        <w:pStyle w:val="3"/>
        <w:numPr>
          <w:ilvl w:val="0"/>
          <w:numId w:val="2"/>
        </w:numPr>
        <w:rPr>
          <w:rFonts w:ascii="Arial" w:hAnsi="Arial" w:cs="Arial"/>
          <w:kern w:val="0"/>
          <w:sz w:val="20"/>
          <w:szCs w:val="20"/>
        </w:rPr>
      </w:pPr>
      <w:r w:rsidRPr="00414855">
        <w:rPr>
          <w:rFonts w:ascii="Arial" w:hAnsi="Arial" w:cs="Arial"/>
          <w:kern w:val="0"/>
          <w:sz w:val="20"/>
          <w:szCs w:val="20"/>
        </w:rPr>
        <w:t>Grade and treatment strategy</w:t>
      </w:r>
    </w:p>
    <w:p w:rsidR="0014028C" w:rsidRPr="0014028C" w:rsidRDefault="0014028C" w:rsidP="00980A30">
      <w:pPr>
        <w:ind w:firstLine="420"/>
        <w:rPr>
          <w:rFonts w:hint="eastAsia"/>
        </w:rPr>
      </w:pPr>
      <w:r w:rsidRPr="0014028C">
        <w:t xml:space="preserve">Based on the overall survival analysis, we also considered the impact of different disease </w:t>
      </w:r>
      <w:r>
        <w:rPr>
          <w:rFonts w:hint="eastAsia"/>
        </w:rPr>
        <w:t>grade</w:t>
      </w:r>
      <w:r>
        <w:t xml:space="preserve"> </w:t>
      </w:r>
      <w:r w:rsidRPr="0014028C">
        <w:t>and treatment strategies</w:t>
      </w:r>
      <w:r w:rsidR="00FC1E24">
        <w:rPr>
          <w:rFonts w:hint="eastAsia"/>
        </w:rPr>
        <w:t>.</w:t>
      </w:r>
      <w:r w:rsidR="0080050E">
        <w:t xml:space="preserve"> </w:t>
      </w:r>
      <w:r w:rsidR="007A44C0" w:rsidRPr="007A44C0">
        <w:t xml:space="preserve">The distribution of </w:t>
      </w:r>
      <w:r w:rsidR="007A44C0" w:rsidRPr="007A44C0">
        <w:t>radiation therapy</w:t>
      </w:r>
      <w:r w:rsidR="007A44C0" w:rsidRPr="007A44C0">
        <w:t xml:space="preserve"> and disease </w:t>
      </w:r>
      <w:r w:rsidR="007A44C0">
        <w:t>grade</w:t>
      </w:r>
      <w:r w:rsidR="007A44C0" w:rsidRPr="007A44C0">
        <w:t xml:space="preserve"> among the different groups is illustrated in Figure 1</w:t>
      </w:r>
      <w:r w:rsidR="00104CF1">
        <w:t>.</w:t>
      </w:r>
      <w:r w:rsidR="006D6ADC">
        <w:t xml:space="preserve"> </w:t>
      </w:r>
      <w:r w:rsidR="006D6ADC" w:rsidRPr="006D6ADC">
        <w:t>For each group, the results of the statistical tests are presented in supplement 1</w:t>
      </w:r>
      <w:r w:rsidR="00D633F3">
        <w:rPr>
          <w:rFonts w:hint="eastAsia"/>
        </w:rPr>
        <w:t>.</w:t>
      </w:r>
      <w:r w:rsidR="00D633F3">
        <w:t xml:space="preserve"> </w:t>
      </w:r>
      <w:r w:rsidR="00D633F3" w:rsidRPr="00D633F3">
        <w:t xml:space="preserve">As well, in supplement 1, the clinical information of </w:t>
      </w:r>
      <w:r w:rsidR="00D633F3">
        <w:t xml:space="preserve">all </w:t>
      </w:r>
      <w:r w:rsidR="00D633F3" w:rsidRPr="00D633F3">
        <w:t xml:space="preserve">sample </w:t>
      </w:r>
      <w:r w:rsidR="00D633F3">
        <w:t>of LGG</w:t>
      </w:r>
      <w:r w:rsidR="00D633F3" w:rsidRPr="00D633F3">
        <w:t xml:space="preserve"> in TCGA has been included.</w:t>
      </w:r>
    </w:p>
    <w:p w:rsidR="00477AAD" w:rsidRDefault="00E57FB3">
      <w:r w:rsidRPr="00E57FB3">
        <w:rPr>
          <w:noProof/>
        </w:rPr>
        <w:drawing>
          <wp:inline distT="0" distB="0" distL="0" distR="0">
            <wp:extent cx="5274310" cy="3426265"/>
            <wp:effectExtent l="0" t="0" r="2540" b="3175"/>
            <wp:docPr id="2" name="图片 2" descr="C:\Users\starkT\Desktop\Pan-cancer control analysis reveals potential drug target of MYCN regulatory network\配图\疾病分期分型\grade&amp;radia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rkT\Desktop\Pan-cancer control analysis reveals potential drug target of MYCN regulatory network\配图\疾病分期分型\grade&amp;radiation.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426265"/>
                    </a:xfrm>
                    <a:prstGeom prst="rect">
                      <a:avLst/>
                    </a:prstGeom>
                    <a:noFill/>
                    <a:ln>
                      <a:noFill/>
                    </a:ln>
                  </pic:spPr>
                </pic:pic>
              </a:graphicData>
            </a:graphic>
          </wp:inline>
        </w:drawing>
      </w:r>
    </w:p>
    <w:p w:rsidR="004E6F87" w:rsidRDefault="00BE616C" w:rsidP="00BE616C">
      <w:pPr>
        <w:rPr>
          <w:rFonts w:hint="eastAsia"/>
          <w:sz w:val="18"/>
          <w:szCs w:val="24"/>
        </w:rPr>
      </w:pPr>
      <w:r w:rsidRPr="0001436A">
        <w:rPr>
          <w:rFonts w:cs="Times New Roman"/>
          <w:b/>
          <w:szCs w:val="24"/>
        </w:rPr>
        <w:t xml:space="preserve">Supplementary </w:t>
      </w:r>
      <w:r w:rsidRPr="00FF5716">
        <w:rPr>
          <w:rFonts w:cs="Times New Roman"/>
          <w:b/>
          <w:szCs w:val="24"/>
        </w:rPr>
        <w:t xml:space="preserve">Figure </w:t>
      </w:r>
      <w:r w:rsidRPr="00FF5716">
        <w:rPr>
          <w:rFonts w:cs="Times New Roman"/>
          <w:b/>
          <w:szCs w:val="24"/>
        </w:rPr>
        <w:t>1</w:t>
      </w:r>
      <w:r w:rsidRPr="00FF5716">
        <w:rPr>
          <w:rFonts w:cs="Times New Roman"/>
          <w:b/>
          <w:szCs w:val="24"/>
        </w:rPr>
        <w:t xml:space="preserve">: </w:t>
      </w:r>
      <w:r w:rsidR="003A3972" w:rsidRPr="00FF5716">
        <w:rPr>
          <w:sz w:val="18"/>
          <w:szCs w:val="24"/>
        </w:rPr>
        <w:t xml:space="preserve">Disease </w:t>
      </w:r>
      <w:r w:rsidR="003A3972" w:rsidRPr="00FF5716">
        <w:rPr>
          <w:sz w:val="18"/>
          <w:szCs w:val="24"/>
        </w:rPr>
        <w:t xml:space="preserve">grade </w:t>
      </w:r>
      <w:r w:rsidR="003A3972" w:rsidRPr="00FF5716">
        <w:rPr>
          <w:sz w:val="18"/>
          <w:szCs w:val="24"/>
        </w:rPr>
        <w:t>and treatment strategy in the sample</w:t>
      </w:r>
      <w:r w:rsidR="00BA4FB1">
        <w:rPr>
          <w:rFonts w:hint="eastAsia"/>
          <w:sz w:val="18"/>
          <w:szCs w:val="24"/>
        </w:rPr>
        <w:t>.</w:t>
      </w:r>
      <w:r w:rsidR="00BA4FB1">
        <w:rPr>
          <w:sz w:val="18"/>
          <w:szCs w:val="24"/>
        </w:rPr>
        <w:t xml:space="preserve"> (a)</w:t>
      </w:r>
      <w:r w:rsidR="00BA4FB1" w:rsidRPr="00BA4FB1">
        <w:rPr>
          <w:sz w:val="18"/>
        </w:rPr>
        <w:t xml:space="preserve"> </w:t>
      </w:r>
      <w:r w:rsidR="00BA4FB1" w:rsidRPr="00BA4FB1">
        <w:rPr>
          <w:sz w:val="18"/>
        </w:rPr>
        <w:t xml:space="preserve">Percentage of </w:t>
      </w:r>
      <w:r w:rsidR="00BA4FB1">
        <w:rPr>
          <w:sz w:val="18"/>
          <w:szCs w:val="24"/>
        </w:rPr>
        <w:t>radiation therapy</w:t>
      </w:r>
      <w:r w:rsidR="00BA4FB1" w:rsidRPr="00BA4FB1">
        <w:rPr>
          <w:sz w:val="18"/>
        </w:rPr>
        <w:t xml:space="preserve"> in different groups</w:t>
      </w:r>
      <w:r w:rsidR="00575024">
        <w:rPr>
          <w:sz w:val="18"/>
        </w:rPr>
        <w:t>;</w:t>
      </w:r>
      <w:r w:rsidR="00BA4FB1">
        <w:rPr>
          <w:sz w:val="18"/>
        </w:rPr>
        <w:t xml:space="preserve"> </w:t>
      </w:r>
      <w:r w:rsidR="00BA4FB1">
        <w:rPr>
          <w:rFonts w:hint="eastAsia"/>
          <w:sz w:val="18"/>
          <w:szCs w:val="24"/>
        </w:rPr>
        <w:t>(</w:t>
      </w:r>
      <w:r w:rsidR="00BA4FB1">
        <w:rPr>
          <w:sz w:val="18"/>
          <w:szCs w:val="24"/>
        </w:rPr>
        <w:t xml:space="preserve">b) </w:t>
      </w:r>
      <w:r w:rsidR="00BA4FB1" w:rsidRPr="00BA4FB1">
        <w:rPr>
          <w:sz w:val="18"/>
          <w:szCs w:val="24"/>
        </w:rPr>
        <w:t>Percentage of disease grade in different groups</w:t>
      </w:r>
      <w:r w:rsidR="00BA4FB1">
        <w:rPr>
          <w:rFonts w:hint="eastAsia"/>
          <w:sz w:val="18"/>
          <w:szCs w:val="24"/>
        </w:rPr>
        <w:t>.</w:t>
      </w:r>
    </w:p>
    <w:p w:rsidR="008F0430" w:rsidRDefault="00653772" w:rsidP="00975ECE">
      <w:pPr>
        <w:pStyle w:val="4"/>
        <w:numPr>
          <w:ilvl w:val="0"/>
          <w:numId w:val="2"/>
        </w:numPr>
        <w:rPr>
          <w:rFonts w:ascii="Arial" w:hAnsi="Arial" w:cs="Arial"/>
          <w:kern w:val="0"/>
          <w:sz w:val="20"/>
          <w:szCs w:val="20"/>
        </w:rPr>
      </w:pPr>
      <w:r>
        <w:rPr>
          <w:rFonts w:ascii="Arial" w:hAnsi="Arial" w:cs="Arial"/>
          <w:kern w:val="0"/>
          <w:sz w:val="20"/>
          <w:szCs w:val="20"/>
        </w:rPr>
        <w:t>MYCN in N</w:t>
      </w:r>
      <w:r w:rsidRPr="00653772">
        <w:rPr>
          <w:rFonts w:ascii="Arial" w:hAnsi="Arial" w:cs="Arial"/>
          <w:kern w:val="0"/>
          <w:sz w:val="20"/>
          <w:szCs w:val="20"/>
        </w:rPr>
        <w:t>euroblastoma</w:t>
      </w:r>
    </w:p>
    <w:p w:rsidR="00E8057E" w:rsidRPr="00E8057E" w:rsidRDefault="00E8057E" w:rsidP="00845FD5">
      <w:pPr>
        <w:ind w:firstLine="420"/>
        <w:rPr>
          <w:rFonts w:hint="eastAsia"/>
        </w:rPr>
      </w:pPr>
      <w:r>
        <w:t>Within two y</w:t>
      </w:r>
      <w:r w:rsidR="008C28BE">
        <w:t>ears of MYCN’s discovery in neu</w:t>
      </w:r>
      <w:r>
        <w:t>roblastoma, amplification of MYCN was shown</w:t>
      </w:r>
      <w:r>
        <w:t xml:space="preserve"> </w:t>
      </w:r>
      <w:r>
        <w:t>to correlate with poor prognosis in patients</w:t>
      </w:r>
      <w:r w:rsidR="008C28BE">
        <w:t xml:space="preserve"> </w:t>
      </w:r>
      <w:r w:rsidR="008C28BE">
        <w:fldChar w:fldCharType="begin"/>
      </w:r>
      <w:r w:rsidR="008C28BE">
        <w:instrText xml:space="preserve"> ADDIN EN.CITE &lt;EndNote&gt;&lt;Cite&gt;&lt;Author&gt;Brodeur&lt;/Author&gt;&lt;RecNum&gt;116&lt;/RecNum&gt;&lt;DisplayText&gt;[1]&lt;/DisplayText&gt;&lt;record&gt;&lt;rec-number&gt;116&lt;/rec-number&gt;&lt;foreign-keys&gt;&lt;key app="EN" db-id="xzvf0t0sn5rtz6e95fc502eua9tatwvtf2z9" timestamp="1614066607"&gt;116&lt;/key&gt;&lt;/foreign-keys&gt;&lt;ref-type name="Journal Article"&gt;17&lt;/ref-type&gt;&lt;contributors&gt;&lt;authors&gt;&lt;author&gt;Brodeur, G. M.&lt;/author&gt;&lt;author&gt;Seeger, R. C.&lt;/author&gt;&lt;author&gt;Schwab, M.&lt;/author&gt;&lt;author&gt;Varmus, H. E.&lt;/author&gt;&lt;author&gt;Bishop, J. M. %J Science&lt;/author&gt;&lt;/authors&gt;&lt;/contributors&gt;&lt;titles&gt;&lt;title&gt;Amplification of N-myc in untreated human neuroblastomas correlates with advanced disease stage&lt;/title&gt;&lt;/titles&gt;&lt;volume&gt;224&lt;/volume&gt;&lt;dates&gt;&lt;/dates&gt;&lt;urls&gt;&lt;/urls&gt;&lt;/record&gt;&lt;/Cite&gt;&lt;/EndNote&gt;</w:instrText>
      </w:r>
      <w:r w:rsidR="008C28BE">
        <w:fldChar w:fldCharType="separate"/>
      </w:r>
      <w:r w:rsidR="008C28BE">
        <w:t>[1]</w:t>
      </w:r>
      <w:r w:rsidR="008C28BE">
        <w:fldChar w:fldCharType="end"/>
      </w:r>
      <w:r w:rsidR="00845FD5">
        <w:t>, a bio</w:t>
      </w:r>
      <w:r>
        <w:t>marker that is still used today to stratify risk.</w:t>
      </w:r>
      <w:r>
        <w:t xml:space="preserve"> </w:t>
      </w:r>
      <w:r>
        <w:t>Mice with targeted misexpression of MYCN</w:t>
      </w:r>
      <w:r>
        <w:t xml:space="preserve"> </w:t>
      </w:r>
      <w:r>
        <w:t>to the periphera</w:t>
      </w:r>
      <w:r w:rsidR="00484D43">
        <w:t>l neural crest via the rat tyro</w:t>
      </w:r>
      <w:r>
        <w:t>sine hydroxylase (TH)-promoter developed neu-roblastoma, establishing that misexpression of</w:t>
      </w:r>
      <w:r>
        <w:t xml:space="preserve"> </w:t>
      </w:r>
      <w:r>
        <w:t>MYCN in migrating neural crest cells can initiate this disease</w:t>
      </w:r>
      <w:r w:rsidR="008C28BE">
        <w:t xml:space="preserve"> </w:t>
      </w:r>
      <w:r w:rsidR="008C28BE">
        <w:fldChar w:fldCharType="begin"/>
      </w:r>
      <w:r w:rsidR="008C28BE">
        <w:instrText xml:space="preserve"> ADDIN EN.CITE &lt;EndNote&gt;&lt;Cite&gt;&lt;Author&gt;Weiss&lt;/Author&gt;&lt;Year&gt;2014&lt;/Year&gt;&lt;RecNum&gt;117&lt;/RecNum&gt;&lt;DisplayText&gt;[2]&lt;/DisplayText&gt;&lt;record&gt;&lt;rec-number&gt;117&lt;/rec-number&gt;&lt;foreign-keys&gt;&lt;key app="EN" db-id="xzvf0t0sn5rtz6e95fc502eua9tatwvtf2z9" timestamp="1614066755"&gt;117&lt;/key&gt;&lt;/foreign-keys&gt;&lt;ref-type name="Journal Article"&gt;17&lt;/ref-type&gt;&lt;contributors&gt;&lt;authors&gt;&lt;author&gt;Weiss, William A.&lt;/author&gt;&lt;author&gt;Aldape, Ken&lt;/author&gt;&lt;author&gt;Mohapatra, Gayatry&lt;/author&gt;&lt;author&gt;Feuerstein, Burt G.&lt;/author&gt;&lt;author&gt;Bishop, J. Michael %J Embo Journal&lt;/author&gt;&lt;/authors&gt;&lt;/contributors&gt;&lt;titles&gt;&lt;title&gt;Targeted expression of MYCN causes neuroblastoma in transgenic mice&lt;/title&gt;&lt;/titles&gt;&lt;pages&gt;2985-2995&lt;/pages&gt;&lt;volume&gt;16&lt;/volume&gt;&lt;number&gt;11&lt;/number&gt;&lt;dates&gt;&lt;year&gt;2014&lt;/year&gt;&lt;/dates&gt;&lt;urls&gt;&lt;/urls&gt;&lt;/record&gt;&lt;/Cite&gt;&lt;/EndNote&gt;</w:instrText>
      </w:r>
      <w:r w:rsidR="008C28BE">
        <w:fldChar w:fldCharType="separate"/>
      </w:r>
      <w:r w:rsidR="008C28BE">
        <w:t>[2]</w:t>
      </w:r>
      <w:r w:rsidR="008C28BE">
        <w:fldChar w:fldCharType="end"/>
      </w:r>
      <w:r w:rsidR="00484D43">
        <w:t>. T</w:t>
      </w:r>
      <w:r>
        <w:t>umors in</w:t>
      </w:r>
      <w:r>
        <w:t xml:space="preserve"> </w:t>
      </w:r>
      <w:r>
        <w:t>these mice had a prolonged latency and showed</w:t>
      </w:r>
      <w:r>
        <w:t xml:space="preserve"> </w:t>
      </w:r>
      <w:r>
        <w:t>recurrent chromosom</w:t>
      </w:r>
      <w:r w:rsidR="00484D43">
        <w:t>al copy number abnor</w:t>
      </w:r>
      <w:r>
        <w:t>malities, suggesting that genetic mutations in</w:t>
      </w:r>
      <w:r>
        <w:t xml:space="preserve"> </w:t>
      </w:r>
      <w:r>
        <w:t>addition to misexpressed MYCN were required</w:t>
      </w:r>
      <w:r>
        <w:t xml:space="preserve"> </w:t>
      </w:r>
      <w:r>
        <w:t>to promote neuroblast transformation. This</w:t>
      </w:r>
      <w:r>
        <w:t xml:space="preserve"> </w:t>
      </w:r>
      <w:r>
        <w:t>requirement f</w:t>
      </w:r>
      <w:r w:rsidR="00484D43">
        <w:t>or additional mutations was sup</w:t>
      </w:r>
      <w:r>
        <w:t>ported by the fact that loss of tumor suppressors</w:t>
      </w:r>
      <w:r>
        <w:t xml:space="preserve"> </w:t>
      </w:r>
      <w:r>
        <w:t>neurofibromin1</w:t>
      </w:r>
      <w:r w:rsidR="00484D43">
        <w:t xml:space="preserve"> </w:t>
      </w:r>
      <w:r>
        <w:t>or</w:t>
      </w:r>
      <w:r w:rsidR="00484D43">
        <w:t xml:space="preserve"> </w:t>
      </w:r>
      <w:r>
        <w:t>retinoblastoma1 (Rb),</w:t>
      </w:r>
      <w:r>
        <w:t xml:space="preserve"> </w:t>
      </w:r>
      <w:r>
        <w:t>when</w:t>
      </w:r>
      <w:r>
        <w:t xml:space="preserve"> </w:t>
      </w:r>
      <w:r>
        <w:t>combined</w:t>
      </w:r>
      <w:r w:rsidR="00944875">
        <w:t xml:space="preserve"> </w:t>
      </w:r>
      <w:r>
        <w:t>with</w:t>
      </w:r>
      <w:r w:rsidR="00944875">
        <w:t xml:space="preserve"> </w:t>
      </w:r>
      <w:r>
        <w:t>misex</w:t>
      </w:r>
      <w:r w:rsidR="00944875">
        <w:t xml:space="preserve"> </w:t>
      </w:r>
      <w:r>
        <w:t>pression</w:t>
      </w:r>
      <w:r w:rsidR="00944875">
        <w:t xml:space="preserve"> </w:t>
      </w:r>
      <w:r>
        <w:t>of</w:t>
      </w:r>
      <w:r w:rsidR="00944875">
        <w:t xml:space="preserve"> MYCN, result</w:t>
      </w:r>
      <w:r>
        <w:t>ed in reduced latency and increased penetrance</w:t>
      </w:r>
      <w:r>
        <w:t xml:space="preserve"> </w:t>
      </w:r>
      <w:r>
        <w:t>for tumors</w:t>
      </w:r>
      <w:r w:rsidR="006A138D">
        <w:t xml:space="preserve"> </w:t>
      </w:r>
      <w:r w:rsidR="008C28BE">
        <w:fldChar w:fldCharType="begin"/>
      </w:r>
      <w:r w:rsidR="008C28BE">
        <w:instrText xml:space="preserve"> ADDIN EN.CITE &lt;EndNote&gt;&lt;Cite&gt;&lt;Author&gt;Huang&lt;/Author&gt;&lt;Year&gt;2013&lt;/Year&gt;&lt;RecNum&gt;118&lt;/RecNum&gt;&lt;DisplayText&gt;[3]&lt;/DisplayText&gt;&lt;record&gt;&lt;rec-number&gt;118&lt;/rec-number&gt;&lt;foreign-keys&gt;&lt;key app="EN" db-id="xzvf0t0sn5rtz6e95fc502eua9tatwvtf2z9" timestamp="1614067339"&gt;118&lt;/key&gt;&lt;/foreign-keys&gt;&lt;ref-type name="Journal Article"&gt;17&lt;/ref-type&gt;&lt;contributors&gt;&lt;authors&gt;&lt;author&gt;Huang, Miller&lt;/author&gt;&lt;author&gt;Weiss, William A %J Cold Spring Harbor perspectives in medicine&lt;/author&gt;&lt;/authors&gt;&lt;/contributors&gt;&lt;titles&gt;&lt;title&gt;Neuroblastoma and MYCN&lt;/title&gt;&lt;/titles&gt;&lt;pages&gt;a014415&lt;/pages&gt;&lt;volume&gt;3&lt;/volume&gt;&lt;number&gt;10&lt;/number&gt;&lt;dates&gt;&lt;year&gt;2013&lt;/year&gt;&lt;/dates&gt;&lt;isbn&gt;2157-1422&lt;/isbn&gt;&lt;urls&gt;&lt;/urls&gt;&lt;/record&gt;&lt;/Cite&gt;&lt;/EndNote&gt;</w:instrText>
      </w:r>
      <w:r w:rsidR="008C28BE">
        <w:fldChar w:fldCharType="separate"/>
      </w:r>
      <w:r w:rsidR="008C28BE">
        <w:t>[3]</w:t>
      </w:r>
      <w:r w:rsidR="008C28BE">
        <w:fldChar w:fldCharType="end"/>
      </w:r>
      <w:r>
        <w:t xml:space="preserve">. </w:t>
      </w:r>
    </w:p>
    <w:p w:rsidR="009B2F46" w:rsidRPr="00365259" w:rsidRDefault="009B2F46" w:rsidP="00975ECE">
      <w:pPr>
        <w:pStyle w:val="4"/>
        <w:numPr>
          <w:ilvl w:val="0"/>
          <w:numId w:val="2"/>
        </w:numPr>
        <w:rPr>
          <w:rFonts w:ascii="Arial" w:hAnsi="Arial" w:cs="Arial"/>
          <w:kern w:val="0"/>
          <w:sz w:val="20"/>
          <w:szCs w:val="20"/>
        </w:rPr>
      </w:pPr>
      <w:r w:rsidRPr="00365259">
        <w:rPr>
          <w:rFonts w:ascii="Arial" w:hAnsi="Arial" w:cs="Arial"/>
          <w:kern w:val="0"/>
          <w:sz w:val="20"/>
          <w:szCs w:val="20"/>
        </w:rPr>
        <w:lastRenderedPageBreak/>
        <w:t>Pharmacological EGFR inhibitors</w:t>
      </w:r>
    </w:p>
    <w:p w:rsidR="00DC0C49" w:rsidRPr="00471D6C" w:rsidRDefault="00FC011D" w:rsidP="00471D6C">
      <w:pPr>
        <w:ind w:firstLine="420"/>
        <w:rPr>
          <w:rFonts w:hint="eastAsia"/>
        </w:rPr>
      </w:pPr>
      <w:r w:rsidRPr="000F0809">
        <w:t>S</w:t>
      </w:r>
      <w:r w:rsidRPr="000F0809">
        <w:t>mall molecule TKIs</w:t>
      </w:r>
      <w:r w:rsidRPr="000F0809">
        <w:t xml:space="preserve"> is the </w:t>
      </w:r>
      <w:r w:rsidRPr="000F0809">
        <w:t>mostly</w:t>
      </w:r>
      <w:r w:rsidRPr="000F0809">
        <w:t xml:space="preserve"> p</w:t>
      </w:r>
      <w:r w:rsidRPr="000F0809">
        <w:t>harmacological inhibitors</w:t>
      </w:r>
      <w:r w:rsidR="009B2F46" w:rsidRPr="000F0809">
        <w:t>, targeting</w:t>
      </w:r>
      <w:r w:rsidR="009B2F46" w:rsidRPr="000F0809">
        <w:t xml:space="preserve"> </w:t>
      </w:r>
      <w:r w:rsidR="009B2F46" w:rsidRPr="000F0809">
        <w:t>EGFR have been extensively tested in preclinical glioma models.</w:t>
      </w:r>
      <w:r w:rsidR="009B2F46" w:rsidRPr="000F0809">
        <w:t xml:space="preserve"> </w:t>
      </w:r>
      <w:r w:rsidR="009B2F46" w:rsidRPr="000F0809">
        <w:t>Similar to their practice with other tumor entities such as lung</w:t>
      </w:r>
      <w:r w:rsidR="009B2F46" w:rsidRPr="000F0809">
        <w:t xml:space="preserve"> </w:t>
      </w:r>
      <w:r w:rsidR="009B2F46" w:rsidRPr="000F0809">
        <w:t>carcinomas, for which these drugs are well established in clinical</w:t>
      </w:r>
      <w:r w:rsidR="009B2F46" w:rsidRPr="000F0809">
        <w:t xml:space="preserve"> </w:t>
      </w:r>
      <w:r w:rsidR="009B2F46" w:rsidRPr="000F0809">
        <w:t>practice, most investigators used erlotinib or gefitinib to interfere</w:t>
      </w:r>
      <w:r w:rsidR="009B2F46" w:rsidRPr="000F0809">
        <w:t xml:space="preserve"> </w:t>
      </w:r>
      <w:r w:rsidR="009B2F46" w:rsidRPr="000F0809">
        <w:t>with EGFR signaling. The EGFR-blocking activity of erlotinib and</w:t>
      </w:r>
      <w:r w:rsidR="009B2F46" w:rsidRPr="000F0809">
        <w:t xml:space="preserve"> </w:t>
      </w:r>
      <w:r w:rsidR="009B2F46" w:rsidRPr="000F0809">
        <w:t>gefitinib largely depends on the presence of mutations in exons</w:t>
      </w:r>
      <w:r w:rsidR="009B2F46" w:rsidRPr="000F0809">
        <w:t xml:space="preserve"> </w:t>
      </w:r>
      <w:r w:rsidR="009B2F46" w:rsidRPr="000F0809">
        <w:t>19 and 21 of the TK domain. These mutations are commonly</w:t>
      </w:r>
      <w:r w:rsidR="009B2F46" w:rsidRPr="000F0809">
        <w:t xml:space="preserve"> </w:t>
      </w:r>
      <w:r w:rsidR="009B2F46" w:rsidRPr="000F0809">
        <w:t>found in lung cancer and other tumor entities and have led</w:t>
      </w:r>
      <w:r w:rsidR="009B2F46" w:rsidRPr="000F0809">
        <w:t xml:space="preserve"> </w:t>
      </w:r>
      <w:r w:rsidR="009B2F46" w:rsidRPr="000F0809">
        <w:t>to the approval of several EGFR inh</w:t>
      </w:r>
      <w:r w:rsidR="00365259" w:rsidRPr="000F0809">
        <w:t>ibitors. However, these “sensi</w:t>
      </w:r>
      <w:r w:rsidR="009B2F46" w:rsidRPr="000F0809">
        <w:t>tizing” mutations are virtually absent in glioblastomas, which</w:t>
      </w:r>
      <w:r w:rsidR="009B2F46" w:rsidRPr="000F0809">
        <w:t xml:space="preserve"> </w:t>
      </w:r>
      <w:r w:rsidR="009B2F46" w:rsidRPr="000F0809">
        <w:t>may partially explain the lack of activity of standard TKIs in this</w:t>
      </w:r>
      <w:r w:rsidR="009B2F46" w:rsidRPr="000F0809">
        <w:t xml:space="preserve"> </w:t>
      </w:r>
      <w:r w:rsidR="008F0430" w:rsidRPr="000F0809">
        <w:t xml:space="preserve">disease </w:t>
      </w:r>
      <w:r w:rsidR="002F6804" w:rsidRPr="000F0809">
        <w:fldChar w:fldCharType="begin">
          <w:fldData xml:space="preserve">PEVuZE5vdGU+PENpdGU+PEF1dGhvcj5Sb3RoPC9BdXRob3I+PFllYXI+MjAxNDwvWWVhcj48UmVj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</w:fldData>
        </w:fldChar>
      </w:r>
      <w:r w:rsidR="008C28BE">
        <w:instrText xml:space="preserve"> ADDIN EN.CITE </w:instrText>
      </w:r>
      <w:r w:rsidR="008C28BE">
        <w:fldChar w:fldCharType="begin">
          <w:fldData xml:space="preserve">PEVuZE5vdGU+PENpdGU+PEF1dGhvcj5Sb3RoPC9BdXRob3I+PFllYXI+MjAxNDwvWWVhcj48UmVj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</w:fldData>
        </w:fldChar>
      </w:r>
      <w:r w:rsidR="008C28BE">
        <w:instrText xml:space="preserve"> ADDIN EN.CITE.DATA </w:instrText>
      </w:r>
      <w:r w:rsidR="008C28BE">
        <w:fldChar w:fldCharType="end"/>
      </w:r>
      <w:r w:rsidR="002F6804" w:rsidRPr="000F0809">
        <w:fldChar w:fldCharType="separate"/>
      </w:r>
      <w:r w:rsidR="008C28BE">
        <w:rPr>
          <w:noProof/>
        </w:rPr>
        <w:t>[4-8]</w:t>
      </w:r>
      <w:r w:rsidR="002F6804" w:rsidRPr="000F0809">
        <w:fldChar w:fldCharType="end"/>
      </w:r>
      <w:r w:rsidR="002F6804" w:rsidRPr="000F0809">
        <w:t>.</w:t>
      </w:r>
    </w:p>
    <w:p w:rsidR="00DC0C49" w:rsidRPr="00365259" w:rsidRDefault="00DC0C49" w:rsidP="00975ECE">
      <w:pPr>
        <w:pStyle w:val="4"/>
        <w:numPr>
          <w:ilvl w:val="0"/>
          <w:numId w:val="2"/>
        </w:numPr>
        <w:rPr>
          <w:rFonts w:ascii="Arial" w:hAnsi="Arial" w:cs="Arial"/>
          <w:kern w:val="0"/>
          <w:sz w:val="20"/>
          <w:szCs w:val="20"/>
        </w:rPr>
      </w:pPr>
      <w:r w:rsidRPr="00365259">
        <w:rPr>
          <w:rFonts w:ascii="Arial" w:hAnsi="Arial" w:cs="Arial"/>
          <w:kern w:val="0"/>
          <w:sz w:val="20"/>
          <w:szCs w:val="20"/>
        </w:rPr>
        <w:t>Antibodies against EGFR</w:t>
      </w:r>
    </w:p>
    <w:p w:rsidR="0008184D" w:rsidRPr="00286669" w:rsidRDefault="00DC0C49" w:rsidP="00286669">
      <w:pPr>
        <w:ind w:firstLine="420"/>
        <w:rPr>
          <w:rFonts w:hint="eastAsia"/>
        </w:rPr>
      </w:pPr>
      <w:r w:rsidRPr="000F0809">
        <w:t>Antibodies directed against EGFR—with cetuximab, nimotuzumab, and panitumumab as the most prominent candidates—were also investigated for their antiglioma activity in vitro andin vivo. Antibodies may exert their effect by preventing the binding</w:t>
      </w:r>
      <w:r w:rsidRPr="000F0809">
        <w:t xml:space="preserve"> </w:t>
      </w:r>
      <w:r w:rsidRPr="000F0809">
        <w:t>of EGFR ligands to the receptor. Furthermore, antibody binding</w:t>
      </w:r>
      <w:r w:rsidRPr="000F0809">
        <w:t xml:space="preserve"> </w:t>
      </w:r>
      <w:r w:rsidRPr="000F0809">
        <w:t>may result in receptor in</w:t>
      </w:r>
      <w:r w:rsidR="00CA330A" w:rsidRPr="000F0809">
        <w:t>ternalization and degradation</w:t>
      </w:r>
      <w:r w:rsidR="00CA330A" w:rsidRPr="000F0809">
        <w:fldChar w:fldCharType="begin"/>
      </w:r>
      <w:r w:rsidR="008C28BE">
        <w:instrText xml:space="preserve"> ADDIN EN.CITE &lt;EndNote&gt;&lt;Cite&gt;&lt;Year&gt;2013&lt;/Year&gt;&lt;RecNum&gt;106&lt;/RecNum&gt;&lt;DisplayText&gt;[9]&lt;/DisplayText&gt;&lt;record&gt;&lt;rec-number&gt;106&lt;/rec-number&gt;&lt;foreign-keys&gt;&lt;key app="EN" db-id="xzvf0t0sn5rtz6e95fc502eua9tatwvtf2z9" timestamp="1613988851"&gt;106&lt;/key&gt;&lt;/foreign-keys&gt;&lt;ref-type name="Journal Article"&gt;17&lt;/ref-type&gt;&lt;contributors&gt;&lt;/contributors&gt;&lt;titles&gt;&lt;title&gt;The Somatic Genomic Landscape of Glioblastoma %J Cell&lt;/title&gt;&lt;/titles&gt;&lt;dates&gt;&lt;year&gt;2013&lt;/year&gt;&lt;/dates&gt;&lt;urls&gt;&lt;/urls&gt;&lt;/record&gt;&lt;/Cite&gt;&lt;/EndNote&gt;</w:instrText>
      </w:r>
      <w:r w:rsidR="00CA330A" w:rsidRPr="000F0809">
        <w:fldChar w:fldCharType="separate"/>
      </w:r>
      <w:r w:rsidR="008C28BE">
        <w:rPr>
          <w:noProof/>
        </w:rPr>
        <w:t>[9]</w:t>
      </w:r>
      <w:r w:rsidR="00CA330A" w:rsidRPr="000F0809">
        <w:fldChar w:fldCharType="end"/>
      </w:r>
      <w:r w:rsidR="00CA330A" w:rsidRPr="000F0809">
        <w:t xml:space="preserve">. </w:t>
      </w:r>
      <w:r w:rsidRPr="000F0809">
        <w:t>Although antibodies to EGFR have been approved for other cancer</w:t>
      </w:r>
      <w:r w:rsidRPr="000F0809">
        <w:t xml:space="preserve"> </w:t>
      </w:r>
      <w:r w:rsidRPr="000F0809">
        <w:t>types, such as cetuximab for the treatment of Kirsten rat sarcoma</w:t>
      </w:r>
      <w:r w:rsidRPr="000F0809">
        <w:t xml:space="preserve"> </w:t>
      </w:r>
      <w:r w:rsidRPr="000F0809">
        <w:t>viral oncogene homolog wild-type colon cancer, their use against</w:t>
      </w:r>
      <w:r w:rsidRPr="000F0809">
        <w:t xml:space="preserve"> </w:t>
      </w:r>
      <w:r w:rsidRPr="000F0809">
        <w:t>intracranial neoplasms such as</w:t>
      </w:r>
      <w:r w:rsidR="008F0430">
        <w:t xml:space="preserve"> glioblastoma represents a chal</w:t>
      </w:r>
      <w:r w:rsidRPr="000F0809">
        <w:t>lenge due to the presence of the blood– brain barrier, which</w:t>
      </w:r>
      <w:r w:rsidRPr="000F0809">
        <w:t xml:space="preserve"> </w:t>
      </w:r>
      <w:r w:rsidRPr="000F0809">
        <w:t>may preclude the penetration of the antibody to all parts of the</w:t>
      </w:r>
      <w:r w:rsidRPr="000F0809">
        <w:t xml:space="preserve"> </w:t>
      </w:r>
      <w:r w:rsidRPr="000F0809">
        <w:t>tumor. However, small molecule EGFR inhibitors such as erlotinib</w:t>
      </w:r>
      <w:r w:rsidRPr="000F0809">
        <w:t xml:space="preserve"> </w:t>
      </w:r>
      <w:r w:rsidRPr="000F0809">
        <w:t>and gefitinib also did not markedly inhibit EGFR phosphorylation</w:t>
      </w:r>
      <w:r w:rsidRPr="000F0809">
        <w:t xml:space="preserve"> </w:t>
      </w:r>
      <w:r w:rsidR="00CA330A" w:rsidRPr="000F0809">
        <w:t>in vivo</w:t>
      </w:r>
      <w:r w:rsidR="00CA330A" w:rsidRPr="000F0809">
        <w:fldChar w:fldCharType="begin"/>
      </w:r>
      <w:r w:rsidR="008C28BE">
        <w:instrText xml:space="preserve"> ADDIN EN.CITE &lt;EndNote&gt;&lt;Cite&gt;&lt;Author&gt;Weiner&lt;/Author&gt;&lt;RecNum&gt;107&lt;/RecNum&gt;&lt;DisplayText&gt;[10]&lt;/DisplayText&gt;&lt;record&gt;&lt;rec-number&gt;107&lt;/rec-number&gt;&lt;foreign-keys&gt;&lt;key app="EN" db-id="xzvf0t0sn5rtz6e95fc502eua9tatwvtf2z9" timestamp="1613988959"&gt;107&lt;/key&gt;&lt;/foreign-keys&gt;&lt;ref-type name="Journal Article"&gt;17&lt;/ref-type&gt;&lt;contributors&gt;&lt;authors&gt;&lt;author&gt;Weiner, Louis M.&lt;/author&gt;&lt;author&gt;Surana, Rishi&lt;/author&gt;&lt;author&gt;Wang, Shangzi %J Nature Reviews Immunology&lt;/author&gt;&lt;/authors&gt;&lt;/contributors&gt;&lt;titles&gt;&lt;title&gt;Monoclonal antibodies: versatile platforms for cancer immunotherapy&lt;/title&gt;&lt;/titles&gt;&lt;dates&gt;&lt;/dates&gt;&lt;urls&gt;&lt;/urls&gt;&lt;/record&gt;&lt;/Cite&gt;&lt;/EndNote&gt;</w:instrText>
      </w:r>
      <w:r w:rsidR="00CA330A" w:rsidRPr="000F0809">
        <w:fldChar w:fldCharType="separate"/>
      </w:r>
      <w:r w:rsidR="008C28BE">
        <w:rPr>
          <w:noProof/>
        </w:rPr>
        <w:t>[10]</w:t>
      </w:r>
      <w:r w:rsidR="00CA330A" w:rsidRPr="000F0809">
        <w:fldChar w:fldCharType="end"/>
      </w:r>
      <w:r w:rsidR="00CA330A" w:rsidRPr="000F0809">
        <w:rPr>
          <w:rFonts w:hint="eastAsia"/>
        </w:rPr>
        <w:t>.</w:t>
      </w:r>
      <w:r w:rsidR="00CA330A" w:rsidRPr="000F0809">
        <w:t xml:space="preserve"> </w:t>
      </w:r>
      <w:r w:rsidRPr="000F0809">
        <w:t>Accordingly, poor tumor perfusion or the blood – brain</w:t>
      </w:r>
      <w:r w:rsidRPr="000F0809">
        <w:t xml:space="preserve"> </w:t>
      </w:r>
      <w:r w:rsidRPr="000F0809">
        <w:t>barrier may represent an important “resistance factor” that limits</w:t>
      </w:r>
      <w:r w:rsidRPr="000F0809">
        <w:t xml:space="preserve"> </w:t>
      </w:r>
      <w:r w:rsidRPr="000F0809">
        <w:t>the activity of EGFR-targeting drugs in the brain</w:t>
      </w:r>
      <w:r w:rsidR="002F6804" w:rsidRPr="000F0809">
        <w:fldChar w:fldCharType="begin"/>
      </w:r>
      <w:r w:rsidR="008C28BE">
        <w:instrText xml:space="preserve"> ADDIN EN.CITE &lt;EndNote&gt;&lt;Cite&gt;&lt;Author&gt;Roth&lt;/Author&gt;&lt;Year&gt;2014&lt;/Year&gt;&lt;RecNum&gt;100&lt;/RecNum&gt;&lt;DisplayText&gt;[4]&lt;/DisplayText&gt;&lt;record&gt;&lt;rec-number&gt;100&lt;/rec-number&gt;&lt;foreign-keys&gt;&lt;key app="EN" db-id="xzvf0t0sn5rtz6e95fc502eua9tatwvtf2z9" timestamp="1613988028"&gt;100&lt;/key&gt;&lt;/foreign-keys&gt;&lt;ref-type name="Journal Article"&gt;17&lt;/ref-type&gt;&lt;contributors&gt;&lt;authors&gt;&lt;author&gt;Roth, P&lt;/author&gt;&lt;author&gt;Weller, M %J Neuro-oncology&lt;/author&gt;&lt;/authors&gt;&lt;/contributors&gt;&lt;titles&gt;&lt;title&gt;Challenges to targeting epidermal growth factor receptor in glioblastoma: escape mechanisms and combinatorial treatment strategies&lt;/title&gt;&lt;/titles&gt;&lt;pages&gt;viii14-9&lt;/pages&gt;&lt;dates&gt;&lt;year&gt;2014&lt;/year&gt;&lt;/dates&gt;&lt;accession-num&gt;25342600&lt;/accession-num&gt;&lt;label&gt;10.247&lt;/label&gt;&lt;urls&gt;&lt;/urls&gt;&lt;electronic-resource-num&gt;10.1093/neuonc/nou222&lt;/electronic-resource-num&gt;&lt;/record&gt;&lt;/Cite&gt;&lt;/EndNote&gt;</w:instrText>
      </w:r>
      <w:r w:rsidR="002F6804" w:rsidRPr="000F0809">
        <w:fldChar w:fldCharType="separate"/>
      </w:r>
      <w:r w:rsidR="008C28BE">
        <w:rPr>
          <w:noProof/>
        </w:rPr>
        <w:t>[4]</w:t>
      </w:r>
      <w:r w:rsidR="002F6804" w:rsidRPr="000F0809">
        <w:fldChar w:fldCharType="end"/>
      </w:r>
      <w:r w:rsidR="002F6804" w:rsidRPr="000F0809">
        <w:t>.</w:t>
      </w:r>
    </w:p>
    <w:p w:rsidR="002F6804" w:rsidRPr="0008184D" w:rsidRDefault="0008184D" w:rsidP="0008184D">
      <w:pPr>
        <w:pStyle w:val="2"/>
        <w:rPr>
          <w:rFonts w:ascii="Arial" w:eastAsiaTheme="minorEastAsia" w:hAnsi="Arial" w:cs="Arial" w:hint="eastAsia"/>
          <w:kern w:val="0"/>
          <w:sz w:val="20"/>
          <w:szCs w:val="20"/>
        </w:rPr>
      </w:pPr>
      <w:r>
        <w:rPr>
          <w:rFonts w:ascii="Arial" w:eastAsiaTheme="minorEastAsia" w:hAnsi="Arial" w:cs="Arial"/>
          <w:kern w:val="0"/>
          <w:sz w:val="20"/>
          <w:szCs w:val="20"/>
        </w:rPr>
        <w:t>Reference</w:t>
      </w:r>
    </w:p>
    <w:p w:rsidR="008C28BE" w:rsidRPr="008C28BE" w:rsidRDefault="002F6804" w:rsidP="008C28BE">
      <w:pPr>
        <w:pStyle w:val="EndNoteBibliography"/>
      </w:pPr>
      <w:r>
        <w:rPr>
          <w:sz w:val="18"/>
          <w:szCs w:val="24"/>
        </w:rPr>
        <w:fldChar w:fldCharType="begin"/>
      </w:r>
      <w:r>
        <w:rPr>
          <w:sz w:val="18"/>
          <w:szCs w:val="24"/>
        </w:rPr>
        <w:instrText xml:space="preserve"> ADDIN EN.REFLIST </w:instrText>
      </w:r>
      <w:r>
        <w:rPr>
          <w:sz w:val="18"/>
          <w:szCs w:val="24"/>
        </w:rPr>
        <w:fldChar w:fldCharType="separate"/>
      </w:r>
      <w:r w:rsidR="008C28BE" w:rsidRPr="008C28BE">
        <w:t>[1] Brodeur, G. M., Seeger, R. C., Schwab, M., Varmus, H. E. and Bishop, J. M. J. S. Amplification of N-myc in untreated human neuroblastomas correlates with advanced disease stage, 224 (</w:t>
      </w:r>
    </w:p>
    <w:p w:rsidR="008C28BE" w:rsidRPr="008C28BE" w:rsidRDefault="008C28BE" w:rsidP="008C28BE">
      <w:pPr>
        <w:pStyle w:val="EndNoteBibliography"/>
      </w:pPr>
      <w:r w:rsidRPr="008C28BE">
        <w:t>[2] Weiss, W. A., Aldape, K., Mohapatra, G., Feuerstein, B. G. and Bishop, J. M. J. E. J. Targeted expression of MYCN causes neuroblastoma in transgenic mice, 16, 11 (2014), 2985-2995.</w:t>
      </w:r>
    </w:p>
    <w:p w:rsidR="008C28BE" w:rsidRPr="008C28BE" w:rsidRDefault="008C28BE" w:rsidP="008C28BE">
      <w:pPr>
        <w:pStyle w:val="EndNoteBibliography"/>
      </w:pPr>
      <w:r w:rsidRPr="008C28BE">
        <w:t>[3] Huang, M. and Weiss, W. A. J. C. S. H. p. i. m. Neuroblastoma and MYCN, 3, 10 (2013), a014415.</w:t>
      </w:r>
    </w:p>
    <w:p w:rsidR="008C28BE" w:rsidRPr="008C28BE" w:rsidRDefault="008C28BE" w:rsidP="008C28BE">
      <w:pPr>
        <w:pStyle w:val="EndNoteBibliography"/>
      </w:pPr>
      <w:r w:rsidRPr="008C28BE">
        <w:t>[4] Roth, P. and Weller, M. J. N.-o. Challenges to targeting epidermal growth factor receptor in glioblastoma: escape mechanisms and combinatorial treatment strategies (2014), viii14-19.</w:t>
      </w:r>
    </w:p>
    <w:p w:rsidR="008C28BE" w:rsidRPr="008C28BE" w:rsidRDefault="008C28BE" w:rsidP="008C28BE">
      <w:pPr>
        <w:pStyle w:val="EndNoteBibliography"/>
      </w:pPr>
      <w:r w:rsidRPr="008C28BE">
        <w:t>[5] Munoz, J. L., Rodriguez-Cruz, V., Greco, S. J., Ramkissoon, S. H., Ligon, K. L., et al. Temozolomide resistance in glioblastoma cells occurs partly through epidermal growth factor receptor-mediated induction of connexin 43, 5, 3 (2014), e1145.</w:t>
      </w:r>
    </w:p>
    <w:p w:rsidR="008C28BE" w:rsidRPr="008C28BE" w:rsidRDefault="008C28BE" w:rsidP="008C28BE">
      <w:pPr>
        <w:pStyle w:val="EndNoteBibliography"/>
      </w:pPr>
      <w:r w:rsidRPr="008C28BE">
        <w:t>[6] Marie, Y., Carpentier, A. F., Omuro, A. M. P., Sanson, M., Thillet, J., et al. EGFR tyrosine kinase domain mutations in human gliomas, 64, 8 (2005), 1444-1445.</w:t>
      </w:r>
    </w:p>
    <w:p w:rsidR="008C28BE" w:rsidRPr="008C28BE" w:rsidRDefault="008C28BE" w:rsidP="008C28BE">
      <w:pPr>
        <w:pStyle w:val="EndNoteBibliography"/>
        <w:rPr>
          <w:rFonts w:hint="eastAsia"/>
        </w:rPr>
      </w:pPr>
      <w:r w:rsidRPr="008C28BE">
        <w:rPr>
          <w:rFonts w:hint="eastAsia"/>
        </w:rPr>
        <w:t xml:space="preserve">[7] Mellinghoff, I. K., Wang, M. Y., Vivanco, I., Haas-Kogan, D. A. and Mischel, P. S. J. </w:t>
      </w:r>
      <w:r w:rsidRPr="008C28BE">
        <w:rPr>
          <w:rFonts w:hint="eastAsia"/>
        </w:rPr>
        <w:t>新</w:t>
      </w:r>
      <w:r w:rsidRPr="008C28BE">
        <w:rPr>
          <w:rFonts w:hint="eastAsia"/>
        </w:rPr>
        <w:t>. Molecular determinants of the response of glioblastomas to EGFR kinase inhibitors, 353, 19 (2005), 2012-2024.</w:t>
      </w:r>
    </w:p>
    <w:p w:rsidR="008C28BE" w:rsidRPr="008C28BE" w:rsidRDefault="008C28BE" w:rsidP="008C28BE">
      <w:pPr>
        <w:pStyle w:val="EndNoteBibliography"/>
      </w:pPr>
      <w:r w:rsidRPr="008C28BE">
        <w:lastRenderedPageBreak/>
        <w:t>[8] Mischel, P. S., Iwanami, A., Reardon, D. A., Grommes, C., Gilbert, R. D., et al. Differential Sensitivity of Glioma- versus Lung Cancer–Specific EGFR Mutations to EGFR Kinase Inhibitors, 2, 5 (2012), 458-471.</w:t>
      </w:r>
    </w:p>
    <w:p w:rsidR="008C28BE" w:rsidRPr="008C28BE" w:rsidRDefault="008C28BE" w:rsidP="008C28BE">
      <w:pPr>
        <w:pStyle w:val="EndNoteBibliography"/>
      </w:pPr>
      <w:r w:rsidRPr="008C28BE">
        <w:t>[9] The Somatic Genomic Landscape of Glioblastoma %J Cell (2013).</w:t>
      </w:r>
    </w:p>
    <w:p w:rsidR="008C28BE" w:rsidRPr="008C28BE" w:rsidRDefault="008C28BE" w:rsidP="008C28BE">
      <w:pPr>
        <w:pStyle w:val="EndNoteBibliography"/>
      </w:pPr>
      <w:r w:rsidRPr="008C28BE">
        <w:t>[10] Weiner, L. M., Surana, R. and Wang, S. J. N. R. I. Monoclonal antibodies: versatile plat</w:t>
      </w:r>
      <w:r w:rsidR="009D076D">
        <w:t>forms for cancer immunotherapy</w:t>
      </w:r>
    </w:p>
    <w:p w:rsidR="00DC0C49" w:rsidRDefault="002F6804" w:rsidP="00DC0C49">
      <w:pPr>
        <w:rPr>
          <w:rFonts w:hint="eastAsia"/>
          <w:sz w:val="18"/>
          <w:szCs w:val="24"/>
        </w:rPr>
      </w:pPr>
      <w:r>
        <w:rPr>
          <w:sz w:val="18"/>
          <w:szCs w:val="24"/>
        </w:rPr>
        <w:fldChar w:fldCharType="end"/>
      </w:r>
      <w:bookmarkStart w:id="0" w:name="_GoBack"/>
      <w:bookmarkEnd w:id="0"/>
    </w:p>
    <w:sectPr w:rsidR="00DC0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AD" w:rsidRDefault="00BF03AD" w:rsidP="00BE616C">
      <w:r>
        <w:separator/>
      </w:r>
    </w:p>
  </w:endnote>
  <w:endnote w:type="continuationSeparator" w:id="0">
    <w:p w:rsidR="00BF03AD" w:rsidRDefault="00BF03AD" w:rsidP="00BE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AD" w:rsidRDefault="00BF03AD" w:rsidP="00BE616C">
      <w:r>
        <w:separator/>
      </w:r>
    </w:p>
  </w:footnote>
  <w:footnote w:type="continuationSeparator" w:id="0">
    <w:p w:rsidR="00BF03AD" w:rsidRDefault="00BF03AD" w:rsidP="00BE6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3687"/>
    <w:multiLevelType w:val="hybridMultilevel"/>
    <w:tmpl w:val="7C4CF75E"/>
    <w:lvl w:ilvl="0" w:tplc="24A0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A1DA6"/>
    <w:multiLevelType w:val="multilevel"/>
    <w:tmpl w:val="153ABB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soc Comp Mach Proc(ACM) 1&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vf0t0sn5rtz6e95fc502eua9tatwvtf2z9&quot;&gt;mycn&lt;record-ids&gt;&lt;item&gt;100&lt;/item&gt;&lt;item&gt;101&lt;/item&gt;&lt;item&gt;102&lt;/item&gt;&lt;item&gt;103&lt;/item&gt;&lt;item&gt;104&lt;/item&gt;&lt;item&gt;106&lt;/item&gt;&lt;item&gt;107&lt;/item&gt;&lt;item&gt;116&lt;/item&gt;&lt;item&gt;117&lt;/item&gt;&lt;item&gt;118&lt;/item&gt;&lt;/record-ids&gt;&lt;/item&gt;&lt;/Libraries&gt;"/>
  </w:docVars>
  <w:rsids>
    <w:rsidRoot w:val="00C85E89"/>
    <w:rsid w:val="00016739"/>
    <w:rsid w:val="0008184D"/>
    <w:rsid w:val="000F0809"/>
    <w:rsid w:val="00104CF1"/>
    <w:rsid w:val="0014028C"/>
    <w:rsid w:val="001A21A5"/>
    <w:rsid w:val="0025164B"/>
    <w:rsid w:val="00286669"/>
    <w:rsid w:val="00296F75"/>
    <w:rsid w:val="002B1BCD"/>
    <w:rsid w:val="002F6804"/>
    <w:rsid w:val="00365259"/>
    <w:rsid w:val="003A3972"/>
    <w:rsid w:val="00414855"/>
    <w:rsid w:val="004604F9"/>
    <w:rsid w:val="00471D6C"/>
    <w:rsid w:val="00481442"/>
    <w:rsid w:val="00484D43"/>
    <w:rsid w:val="004E6F87"/>
    <w:rsid w:val="00530D9C"/>
    <w:rsid w:val="00575024"/>
    <w:rsid w:val="0058336B"/>
    <w:rsid w:val="00653772"/>
    <w:rsid w:val="006A138D"/>
    <w:rsid w:val="006D6ADC"/>
    <w:rsid w:val="00743D65"/>
    <w:rsid w:val="00776B20"/>
    <w:rsid w:val="007A44C0"/>
    <w:rsid w:val="0080050E"/>
    <w:rsid w:val="00823106"/>
    <w:rsid w:val="008434C6"/>
    <w:rsid w:val="00845FD5"/>
    <w:rsid w:val="008C28BE"/>
    <w:rsid w:val="008F0430"/>
    <w:rsid w:val="00944875"/>
    <w:rsid w:val="00975ECE"/>
    <w:rsid w:val="00980A30"/>
    <w:rsid w:val="009B2F46"/>
    <w:rsid w:val="009B6DE8"/>
    <w:rsid w:val="009D076D"/>
    <w:rsid w:val="00A35CCC"/>
    <w:rsid w:val="00A60019"/>
    <w:rsid w:val="00AE30C6"/>
    <w:rsid w:val="00AF4B1C"/>
    <w:rsid w:val="00B449E6"/>
    <w:rsid w:val="00BA4FB1"/>
    <w:rsid w:val="00BE616C"/>
    <w:rsid w:val="00BF03AD"/>
    <w:rsid w:val="00C82FC8"/>
    <w:rsid w:val="00C85E89"/>
    <w:rsid w:val="00C91BAD"/>
    <w:rsid w:val="00CA330A"/>
    <w:rsid w:val="00CE0BE9"/>
    <w:rsid w:val="00CE7EC9"/>
    <w:rsid w:val="00D00242"/>
    <w:rsid w:val="00D073AA"/>
    <w:rsid w:val="00D633F3"/>
    <w:rsid w:val="00DC0C49"/>
    <w:rsid w:val="00E54A83"/>
    <w:rsid w:val="00E57FB3"/>
    <w:rsid w:val="00E8057E"/>
    <w:rsid w:val="00F800C5"/>
    <w:rsid w:val="00FC011D"/>
    <w:rsid w:val="00FC1E24"/>
    <w:rsid w:val="00FF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C42040-1F71-4DE6-B320-505341B8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0818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1485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652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16C"/>
    <w:rPr>
      <w:sz w:val="18"/>
      <w:szCs w:val="18"/>
    </w:rPr>
  </w:style>
  <w:style w:type="paragraph" w:styleId="a4">
    <w:name w:val="footer"/>
    <w:basedOn w:val="a"/>
    <w:link w:val="Char0"/>
    <w:uiPriority w:val="99"/>
    <w:unhideWhenUsed/>
    <w:rsid w:val="00BE616C"/>
    <w:pPr>
      <w:tabs>
        <w:tab w:val="center" w:pos="4153"/>
        <w:tab w:val="right" w:pos="8306"/>
      </w:tabs>
      <w:snapToGrid w:val="0"/>
      <w:jc w:val="left"/>
    </w:pPr>
    <w:rPr>
      <w:sz w:val="18"/>
      <w:szCs w:val="18"/>
    </w:rPr>
  </w:style>
  <w:style w:type="character" w:customStyle="1" w:styleId="Char0">
    <w:name w:val="页脚 Char"/>
    <w:basedOn w:val="a0"/>
    <w:link w:val="a4"/>
    <w:uiPriority w:val="99"/>
    <w:rsid w:val="00BE616C"/>
    <w:rPr>
      <w:sz w:val="18"/>
      <w:szCs w:val="18"/>
    </w:rPr>
  </w:style>
  <w:style w:type="paragraph" w:customStyle="1" w:styleId="SupplementaryMaterial">
    <w:name w:val="Supplementary Material"/>
    <w:basedOn w:val="a5"/>
    <w:next w:val="a5"/>
    <w:qFormat/>
    <w:rsid w:val="00BE616C"/>
    <w:pPr>
      <w:widowControl/>
      <w:suppressLineNumbers/>
      <w:spacing w:after="120"/>
      <w:outlineLvl w:val="9"/>
    </w:pPr>
    <w:rPr>
      <w:rFonts w:ascii="Times New Roman" w:eastAsiaTheme="minorEastAsia" w:hAnsi="Times New Roman" w:cs="Times New Roman"/>
      <w:bCs w:val="0"/>
      <w:i/>
      <w:kern w:val="0"/>
      <w:lang w:eastAsia="en-US"/>
    </w:rPr>
  </w:style>
  <w:style w:type="paragraph" w:styleId="a5">
    <w:name w:val="Title"/>
    <w:basedOn w:val="a"/>
    <w:next w:val="a"/>
    <w:link w:val="Char1"/>
    <w:uiPriority w:val="10"/>
    <w:qFormat/>
    <w:rsid w:val="00BE616C"/>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BE616C"/>
    <w:rPr>
      <w:rFonts w:asciiTheme="majorHAnsi" w:eastAsia="宋体" w:hAnsiTheme="majorHAnsi" w:cstheme="majorBidi"/>
      <w:b/>
      <w:bCs/>
      <w:sz w:val="32"/>
      <w:szCs w:val="32"/>
    </w:rPr>
  </w:style>
  <w:style w:type="character" w:customStyle="1" w:styleId="3Char">
    <w:name w:val="标题 3 Char"/>
    <w:basedOn w:val="a0"/>
    <w:link w:val="3"/>
    <w:uiPriority w:val="9"/>
    <w:qFormat/>
    <w:rsid w:val="00414855"/>
    <w:rPr>
      <w:b/>
      <w:bCs/>
      <w:sz w:val="32"/>
      <w:szCs w:val="32"/>
    </w:rPr>
  </w:style>
  <w:style w:type="paragraph" w:customStyle="1" w:styleId="EndNoteBibliographyTitle">
    <w:name w:val="EndNote Bibliography Title"/>
    <w:basedOn w:val="a"/>
    <w:link w:val="EndNoteBibliographyTitleChar"/>
    <w:rsid w:val="002F6804"/>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2F6804"/>
    <w:rPr>
      <w:rFonts w:ascii="Calibri" w:hAnsi="Calibri" w:cs="Calibri"/>
      <w:noProof/>
      <w:sz w:val="20"/>
    </w:rPr>
  </w:style>
  <w:style w:type="paragraph" w:customStyle="1" w:styleId="EndNoteBibliography">
    <w:name w:val="EndNote Bibliography"/>
    <w:basedOn w:val="a"/>
    <w:link w:val="EndNoteBibliographyChar"/>
    <w:rsid w:val="002F6804"/>
    <w:rPr>
      <w:rFonts w:ascii="Calibri" w:hAnsi="Calibri" w:cs="Calibri"/>
      <w:noProof/>
      <w:sz w:val="20"/>
    </w:rPr>
  </w:style>
  <w:style w:type="character" w:customStyle="1" w:styleId="EndNoteBibliographyChar">
    <w:name w:val="EndNote Bibliography Char"/>
    <w:basedOn w:val="a0"/>
    <w:link w:val="EndNoteBibliography"/>
    <w:rsid w:val="002F6804"/>
    <w:rPr>
      <w:rFonts w:ascii="Calibri" w:hAnsi="Calibri" w:cs="Calibri"/>
      <w:noProof/>
      <w:sz w:val="20"/>
    </w:rPr>
  </w:style>
  <w:style w:type="character" w:customStyle="1" w:styleId="2Char">
    <w:name w:val="标题 2 Char"/>
    <w:basedOn w:val="a0"/>
    <w:link w:val="2"/>
    <w:uiPriority w:val="9"/>
    <w:qFormat/>
    <w:rsid w:val="0008184D"/>
    <w:rPr>
      <w:rFonts w:asciiTheme="majorHAnsi" w:eastAsiaTheme="majorEastAsia" w:hAnsiTheme="majorHAnsi" w:cstheme="majorBidi"/>
      <w:b/>
      <w:bCs/>
      <w:sz w:val="32"/>
      <w:szCs w:val="32"/>
    </w:rPr>
  </w:style>
  <w:style w:type="paragraph" w:styleId="a6">
    <w:name w:val="List Paragraph"/>
    <w:basedOn w:val="a"/>
    <w:uiPriority w:val="34"/>
    <w:qFormat/>
    <w:rsid w:val="00365259"/>
    <w:pPr>
      <w:ind w:firstLineChars="200" w:firstLine="420"/>
    </w:pPr>
  </w:style>
  <w:style w:type="character" w:customStyle="1" w:styleId="4Char">
    <w:name w:val="标题 4 Char"/>
    <w:basedOn w:val="a0"/>
    <w:link w:val="4"/>
    <w:uiPriority w:val="9"/>
    <w:rsid w:val="0036525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3</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stark</dc:creator>
  <cp:keywords/>
  <dc:description/>
  <cp:lastModifiedBy>T stark</cp:lastModifiedBy>
  <cp:revision>63</cp:revision>
  <dcterms:created xsi:type="dcterms:W3CDTF">2021-02-21T12:50:00Z</dcterms:created>
  <dcterms:modified xsi:type="dcterms:W3CDTF">2021-02-23T08:12:00Z</dcterms:modified>
</cp:coreProperties>
</file>