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3408D18" w:rsidR="00654E8F" w:rsidRDefault="00654E8F" w:rsidP="0001436A">
      <w:pPr>
        <w:pStyle w:val="SupplementaryMaterial"/>
      </w:pPr>
      <w:r w:rsidRPr="001549D3">
        <w:t>Supplementary Material</w:t>
      </w:r>
      <w:r w:rsidR="0095458C">
        <w:t xml:space="preserve"> S1</w:t>
      </w:r>
    </w:p>
    <w:p w14:paraId="0CE88F0C" w14:textId="77777777" w:rsidR="0095458C" w:rsidRPr="00914F9C" w:rsidRDefault="0095458C" w:rsidP="0095458C">
      <w:pPr>
        <w:jc w:val="center"/>
        <w:rPr>
          <w:rFonts w:cs="Times New Roman"/>
          <w:b/>
          <w:sz w:val="32"/>
          <w:szCs w:val="32"/>
          <w:lang w:val="en-GB"/>
        </w:rPr>
      </w:pPr>
      <w:r w:rsidRPr="0044226A">
        <w:rPr>
          <w:rFonts w:cs="Times New Roman"/>
          <w:b/>
          <w:sz w:val="32"/>
          <w:szCs w:val="32"/>
          <w:lang w:val="en-GB"/>
        </w:rPr>
        <w:t>Po</w:t>
      </w:r>
      <w:r w:rsidRPr="00914F9C">
        <w:rPr>
          <w:rFonts w:cs="Times New Roman"/>
          <w:b/>
          <w:sz w:val="32"/>
          <w:szCs w:val="32"/>
          <w:lang w:val="en-GB"/>
        </w:rPr>
        <w:t xml:space="preserve">pulation pharmacokinetic model of iohexol in dog to </w:t>
      </w:r>
      <w:r w:rsidRPr="005D18C7">
        <w:rPr>
          <w:rFonts w:cs="Times New Roman"/>
          <w:b/>
          <w:sz w:val="32"/>
          <w:szCs w:val="32"/>
          <w:lang w:val="en-GB"/>
        </w:rPr>
        <w:t>estimate glomerular filtration rate and optimize sampling time</w:t>
      </w:r>
    </w:p>
    <w:p w14:paraId="50C482A5" w14:textId="586EC15D" w:rsidR="0095458C" w:rsidRPr="0095458C" w:rsidRDefault="0095458C" w:rsidP="0095458C">
      <w:pPr>
        <w:spacing w:after="0"/>
        <w:rPr>
          <w:rFonts w:cs="Times New Roman"/>
          <w:b/>
          <w:szCs w:val="24"/>
          <w:lang w:val="it-IT"/>
        </w:rPr>
      </w:pPr>
      <w:r w:rsidRPr="0095458C">
        <w:rPr>
          <w:rFonts w:cs="Times New Roman"/>
          <w:b/>
          <w:szCs w:val="24"/>
          <w:lang w:val="it-IT"/>
        </w:rPr>
        <w:t>Sarah Baklouti, Didier Concordet, Vitaliano Borromeo, Paola Pocar, Paola Scarpa</w:t>
      </w:r>
      <w:r>
        <w:rPr>
          <w:rFonts w:cs="Times New Roman"/>
          <w:b/>
          <w:szCs w:val="24"/>
          <w:vertAlign w:val="superscript"/>
          <w:lang w:val="it-IT"/>
        </w:rPr>
        <w:t>,</w:t>
      </w:r>
      <w:r w:rsidRPr="0095458C">
        <w:rPr>
          <w:rFonts w:cs="Times New Roman"/>
          <w:b/>
          <w:szCs w:val="24"/>
          <w:lang w:val="it-IT"/>
        </w:rPr>
        <w:t xml:space="preserve"> Petra Cagnardi</w:t>
      </w:r>
      <w:r w:rsidRPr="0095458C">
        <w:rPr>
          <w:rFonts w:cs="Times New Roman"/>
          <w:b/>
          <w:szCs w:val="24"/>
          <w:vertAlign w:val="superscript"/>
          <w:lang w:val="it-IT"/>
        </w:rPr>
        <w:t>*</w:t>
      </w:r>
      <w:r w:rsidRPr="0095458C">
        <w:rPr>
          <w:rFonts w:cs="Times New Roman"/>
          <w:b/>
          <w:szCs w:val="24"/>
          <w:lang w:val="it-IT"/>
        </w:rPr>
        <w:t>.</w:t>
      </w:r>
    </w:p>
    <w:p w14:paraId="774C9261" w14:textId="2CEBF47D" w:rsidR="0095458C" w:rsidRPr="0095458C" w:rsidRDefault="0095458C" w:rsidP="0095458C">
      <w:pPr>
        <w:spacing w:after="0"/>
        <w:jc w:val="both"/>
        <w:rPr>
          <w:rFonts w:cs="Times New Roman"/>
          <w:szCs w:val="24"/>
          <w:lang w:val="it-IT"/>
        </w:rPr>
      </w:pPr>
      <w:r w:rsidRPr="0095458C">
        <w:rPr>
          <w:rFonts w:cs="Times New Roman"/>
          <w:b/>
          <w:szCs w:val="24"/>
          <w:lang w:val="it-IT"/>
        </w:rPr>
        <w:t xml:space="preserve">*Correspondence: </w:t>
      </w:r>
      <w:r w:rsidRPr="0095458C">
        <w:rPr>
          <w:rFonts w:cs="Times New Roman"/>
          <w:szCs w:val="24"/>
          <w:lang w:val="it-IT"/>
        </w:rPr>
        <w:t>Petra Cagnardi: petra.cagnardi@unimi.it</w:t>
      </w:r>
    </w:p>
    <w:p w14:paraId="0E71D4C6" w14:textId="77777777" w:rsidR="0095458C" w:rsidRPr="0095458C" w:rsidRDefault="0095458C" w:rsidP="0095458C">
      <w:pPr>
        <w:pStyle w:val="Titolo"/>
        <w:rPr>
          <w:lang w:val="it-IT"/>
        </w:rPr>
      </w:pPr>
    </w:p>
    <w:p w14:paraId="4D97477A" w14:textId="77777777" w:rsidR="0095458C" w:rsidRDefault="0095458C" w:rsidP="0095458C">
      <w:pPr>
        <w:pStyle w:val="Titolo1"/>
        <w:numPr>
          <w:ilvl w:val="0"/>
          <w:numId w:val="0"/>
        </w:numPr>
        <w:ind w:left="567" w:hanging="567"/>
      </w:pPr>
      <w:r>
        <w:t>Materials and Method</w:t>
      </w:r>
    </w:p>
    <w:p w14:paraId="3F9DFCBF" w14:textId="1FFDDAD1" w:rsidR="0095458C" w:rsidRDefault="0095458C" w:rsidP="0095458C">
      <w:pPr>
        <w:pStyle w:val="Titolo1"/>
        <w:numPr>
          <w:ilvl w:val="0"/>
          <w:numId w:val="0"/>
        </w:numPr>
        <w:ind w:left="567" w:hanging="567"/>
      </w:pPr>
      <w:r w:rsidRPr="00994A3D">
        <w:t xml:space="preserve">Supplementary </w:t>
      </w:r>
      <w:r>
        <w:t xml:space="preserve">Material on </w:t>
      </w:r>
      <w:r w:rsidRPr="0095458C">
        <w:t>sampling protocol, iohexol analytical method and GFR estimation</w:t>
      </w:r>
      <w:r>
        <w:t xml:space="preserve"> as reported in the previous paper by Pocar et al. 2019 </w:t>
      </w:r>
    </w:p>
    <w:p w14:paraId="6CF02F8B" w14:textId="77777777" w:rsidR="00C32B5F" w:rsidRPr="00E4047C" w:rsidRDefault="00C32B5F" w:rsidP="00C32B5F">
      <w:pPr>
        <w:spacing w:after="120"/>
        <w:jc w:val="both"/>
        <w:rPr>
          <w:rFonts w:eastAsia="Times New Roman" w:cs="Times New Roman"/>
          <w:b/>
          <w:szCs w:val="24"/>
          <w:lang w:val="en-GB" w:eastAsia="en-GB"/>
        </w:rPr>
      </w:pPr>
      <w:r w:rsidRPr="00E4047C">
        <w:rPr>
          <w:rFonts w:eastAsia="Times New Roman" w:cs="Times New Roman"/>
          <w:b/>
          <w:szCs w:val="24"/>
          <w:lang w:val="en-GB" w:eastAsia="en-GB"/>
        </w:rPr>
        <w:t>Iohexol injection and blood sampling</w:t>
      </w:r>
    </w:p>
    <w:p w14:paraId="555CD08B" w14:textId="2495490B" w:rsidR="00C32B5F" w:rsidRPr="00E4047C" w:rsidRDefault="00C32B5F" w:rsidP="00C32B5F">
      <w:pPr>
        <w:spacing w:after="120"/>
        <w:jc w:val="both"/>
        <w:rPr>
          <w:rFonts w:eastAsia="Times New Roman" w:cs="Times New Roman"/>
          <w:szCs w:val="24"/>
          <w:lang w:val="en-GB" w:eastAsia="en-GB"/>
        </w:rPr>
      </w:pPr>
      <w:r w:rsidRPr="00E4047C">
        <w:rPr>
          <w:rFonts w:eastAsia="Times New Roman" w:cs="Times New Roman"/>
          <w:szCs w:val="24"/>
          <w:lang w:val="en-GB" w:eastAsia="en-GB"/>
        </w:rPr>
        <w:t>The</w:t>
      </w:r>
      <w:r>
        <w:rPr>
          <w:rFonts w:eastAsia="Times New Roman" w:cs="Times New Roman"/>
          <w:szCs w:val="24"/>
          <w:lang w:val="en-GB" w:eastAsia="en-GB"/>
        </w:rPr>
        <w:t xml:space="preserve"> </w:t>
      </w:r>
      <w:r w:rsidRPr="00E4047C">
        <w:rPr>
          <w:rFonts w:eastAsia="Times New Roman" w:cs="Times New Roman"/>
          <w:szCs w:val="24"/>
          <w:lang w:val="en-GB" w:eastAsia="en-GB"/>
        </w:rPr>
        <w:t xml:space="preserve">protocol was based on </w:t>
      </w:r>
      <w:r>
        <w:rPr>
          <w:rFonts w:eastAsia="Times New Roman" w:cs="Times New Roman"/>
          <w:szCs w:val="24"/>
          <w:lang w:val="en-GB" w:eastAsia="en-GB"/>
        </w:rPr>
        <w:t xml:space="preserve">an already reported study by </w:t>
      </w:r>
      <w:r w:rsidRPr="00E4047C">
        <w:rPr>
          <w:rFonts w:eastAsia="Times New Roman" w:cs="Times New Roman"/>
          <w:szCs w:val="24"/>
          <w:lang w:val="en-GB" w:eastAsia="en-GB"/>
        </w:rPr>
        <w:t xml:space="preserve">Lippi et al. </w:t>
      </w:r>
      <w:r>
        <w:rPr>
          <w:rFonts w:eastAsia="Times New Roman" w:cs="Times New Roman"/>
          <w:szCs w:val="24"/>
          <w:lang w:val="en-GB" w:eastAsia="en-GB"/>
        </w:rPr>
        <w:t>(2008)</w:t>
      </w:r>
      <w:r w:rsidRPr="00E4047C">
        <w:rPr>
          <w:rFonts w:eastAsia="Times New Roman" w:cs="Times New Roman"/>
          <w:szCs w:val="24"/>
          <w:lang w:val="en-GB" w:eastAsia="en-GB"/>
        </w:rPr>
        <w:t xml:space="preserve"> with some modifications. Briefly, food was withheld from each dog for at least 12 hours before the procedure. Dogs were allowed free access to water throughout the study. Dogs were weighed and indwelling catheters were placed in the right and left cephalic veins. A commercially available iohexol formulation (Omnipaque®, Nycomed Amersham Sorin, Milan, Italy) was used. The nominal dose of iohexol was 64.7 mg/kg, and the exact dose was determined from the difference between the weights of the syringe before and after the injection. Iohexol was injected as a 60-s IV bolus into the catheter in the left cephalic vein. Two mL of blood were directly sampled from the right cephalic vein, transferred to a heparinized tube, and centrifuged at 2000×g for 15 min</w:t>
      </w:r>
      <w:r w:rsidR="006D460B">
        <w:rPr>
          <w:rFonts w:eastAsia="Times New Roman" w:cs="Times New Roman"/>
          <w:szCs w:val="24"/>
          <w:lang w:val="en-GB" w:eastAsia="en-GB"/>
        </w:rPr>
        <w:t>. P</w:t>
      </w:r>
      <w:bookmarkStart w:id="0" w:name="_GoBack"/>
      <w:bookmarkEnd w:id="0"/>
      <w:r w:rsidRPr="00E4047C">
        <w:rPr>
          <w:rFonts w:eastAsia="Times New Roman" w:cs="Times New Roman"/>
          <w:szCs w:val="24"/>
          <w:lang w:val="en-GB" w:eastAsia="en-GB"/>
        </w:rPr>
        <w:t>lasma was stored at −30°C until use. Samples were taken 5, 15, 60, 90, and 180 min after injection of the marker.</w:t>
      </w:r>
    </w:p>
    <w:p w14:paraId="64B957CF" w14:textId="77777777" w:rsidR="00C32B5F" w:rsidRPr="00E4047C" w:rsidRDefault="00C32B5F" w:rsidP="00C32B5F">
      <w:pPr>
        <w:spacing w:after="120"/>
        <w:jc w:val="both"/>
        <w:rPr>
          <w:rFonts w:eastAsia="Times New Roman" w:cs="Times New Roman"/>
          <w:szCs w:val="24"/>
          <w:lang w:val="en-GB" w:eastAsia="en-GB"/>
        </w:rPr>
      </w:pPr>
    </w:p>
    <w:p w14:paraId="356A8EF2" w14:textId="77777777" w:rsidR="00C32B5F" w:rsidRPr="00E4047C" w:rsidRDefault="00C32B5F" w:rsidP="00C32B5F">
      <w:pPr>
        <w:spacing w:after="120"/>
        <w:jc w:val="both"/>
        <w:rPr>
          <w:rFonts w:eastAsia="Times New Roman" w:cs="Times New Roman"/>
          <w:b/>
          <w:szCs w:val="24"/>
          <w:lang w:val="en-GB" w:eastAsia="en-GB"/>
        </w:rPr>
      </w:pPr>
      <w:r w:rsidRPr="00E4047C">
        <w:rPr>
          <w:rFonts w:eastAsia="Times New Roman" w:cs="Times New Roman"/>
          <w:b/>
          <w:szCs w:val="24"/>
          <w:lang w:val="en-GB" w:eastAsia="en-GB"/>
        </w:rPr>
        <w:t>Iohexol HPLC measurements</w:t>
      </w:r>
    </w:p>
    <w:p w14:paraId="53FA9F39" w14:textId="6CFCFC06" w:rsidR="00C32B5F" w:rsidRPr="00E4047C" w:rsidRDefault="00C32B5F" w:rsidP="00C32B5F">
      <w:pPr>
        <w:spacing w:after="120"/>
        <w:jc w:val="both"/>
        <w:rPr>
          <w:rFonts w:eastAsia="Times New Roman" w:cs="Times New Roman"/>
          <w:szCs w:val="24"/>
          <w:lang w:eastAsia="en-GB"/>
        </w:rPr>
      </w:pPr>
      <w:r w:rsidRPr="00E4047C">
        <w:rPr>
          <w:rFonts w:eastAsia="Times New Roman" w:cs="Times New Roman"/>
          <w:szCs w:val="24"/>
          <w:lang w:val="en-GB" w:eastAsia="en-GB"/>
        </w:rPr>
        <w:t xml:space="preserve">Iohexol was determined using a Waters 626 HPLC system with a 996 photodiode array detector (Waters, Milford, MA, USA) (1 spectrum/s; wavelength 200-320 nm, extracting the chromatogram at 254 nm). Iohexol was separated in a Simmetry100 </w:t>
      </w:r>
      <w:r w:rsidRPr="00E4047C">
        <w:rPr>
          <w:rFonts w:eastAsia="Times New Roman" w:cs="Times New Roman"/>
          <w:szCs w:val="24"/>
          <w:lang w:eastAsia="en-GB"/>
        </w:rPr>
        <w:t xml:space="preserve">C18 column, 3.5 </w:t>
      </w:r>
      <w:r w:rsidRPr="00E4047C">
        <w:rPr>
          <w:rFonts w:eastAsia="Times New Roman" w:cs="Times New Roman"/>
          <w:szCs w:val="24"/>
          <w:lang w:val="en-GB" w:eastAsia="en-GB"/>
        </w:rPr>
        <w:t>μ</w:t>
      </w:r>
      <w:r w:rsidRPr="00E4047C">
        <w:rPr>
          <w:rFonts w:eastAsia="Times New Roman" w:cs="Times New Roman"/>
          <w:szCs w:val="24"/>
          <w:lang w:eastAsia="en-GB"/>
        </w:rPr>
        <w:t>m, 2.1 x 150 mm (Waters) using a mixture of CH</w:t>
      </w:r>
      <w:r w:rsidRPr="00E4047C">
        <w:rPr>
          <w:rFonts w:eastAsia="Times New Roman" w:cs="Times New Roman"/>
          <w:szCs w:val="24"/>
          <w:vertAlign w:val="subscript"/>
          <w:lang w:eastAsia="en-GB"/>
        </w:rPr>
        <w:t>3</w:t>
      </w:r>
      <w:r w:rsidRPr="00E4047C">
        <w:rPr>
          <w:rFonts w:eastAsia="Times New Roman" w:cs="Times New Roman"/>
          <w:szCs w:val="24"/>
          <w:lang w:eastAsia="en-GB"/>
        </w:rPr>
        <w:t xml:space="preserve">CN and 0.1% ortophosphoric acid in water (3:97, v/v) at a flow rate of 0.3 mL/min. During separation the column was held at 30°C. Standard iohexol (Omnipaque® 350, 755 mg/mL iohexol) was added to untreated dog plasma to obtain the following standard solutions: 5, 20, 50, 200 and 500 </w:t>
      </w:r>
      <w:r w:rsidRPr="00E4047C">
        <w:rPr>
          <w:rFonts w:eastAsia="Times New Roman" w:cs="Times New Roman"/>
          <w:szCs w:val="24"/>
          <w:lang w:val="it-IT" w:eastAsia="en-GB"/>
        </w:rPr>
        <w:t>μ</w:t>
      </w:r>
      <w:r w:rsidRPr="00E4047C">
        <w:rPr>
          <w:rFonts w:eastAsia="Times New Roman" w:cs="Times New Roman"/>
          <w:szCs w:val="24"/>
          <w:lang w:eastAsia="en-GB"/>
        </w:rPr>
        <w:t xml:space="preserve">g iohexol/mL. Plasma samples were deproteinized with 5% perchloric acid (1:1, v/v), centrifuged at 11000 g for 10 min at 5°C and 10 µL of supernatants were injected into the HPLC column. Data was processed using Millennium software (Waters). The peak areas of both iohexol isomers were used to calculate the iohexol concentrations and plasma clearance. </w:t>
      </w:r>
      <w:r>
        <w:rPr>
          <w:rFonts w:eastAsia="Times New Roman" w:cs="Times New Roman"/>
          <w:szCs w:val="24"/>
          <w:lang w:eastAsia="en-GB"/>
        </w:rPr>
        <w:t>The method was intra</w:t>
      </w:r>
      <w:r w:rsidR="004C6ECF">
        <w:rPr>
          <w:rFonts w:eastAsia="Times New Roman" w:cs="Times New Roman"/>
          <w:szCs w:val="24"/>
          <w:lang w:eastAsia="en-GB"/>
        </w:rPr>
        <w:t>-</w:t>
      </w:r>
      <w:r>
        <w:rPr>
          <w:rFonts w:eastAsia="Times New Roman" w:cs="Times New Roman"/>
          <w:szCs w:val="24"/>
          <w:lang w:eastAsia="en-GB"/>
        </w:rPr>
        <w:t xml:space="preserve">laboratory validated. </w:t>
      </w:r>
      <w:r w:rsidRPr="003F16FE">
        <w:rPr>
          <w:rFonts w:cs="Times New Roman"/>
          <w:szCs w:val="24"/>
        </w:rPr>
        <w:t xml:space="preserve">The specificity of the method was tested by analysing plasma samples before the iohexol injection. No interfering peaks were observed at the elution times as iohexol isomers. The limit of quantification was 1.80 μg/mL and the assay was linear over the concentration range of 5-500 </w:t>
      </w:r>
      <w:r w:rsidRPr="003F16FE">
        <w:rPr>
          <w:rFonts w:cs="Times New Roman"/>
          <w:szCs w:val="24"/>
        </w:rPr>
        <w:lastRenderedPageBreak/>
        <w:t>μg/mL, with an average regression coefficient of 0.99 (n=22). For all calibration curves, the y-intercepts were virtually zero, indicating the absence of endogenous interferences. Precision, expressed as inter-day coefficient of variation (CV %), ranged from 4.4% to 7.8 % and the intra-day CV% from 3.2% to 5.9%. Accuracy ranged from 92% to 116%.</w:t>
      </w:r>
      <w:r>
        <w:rPr>
          <w:rFonts w:cs="Times New Roman"/>
          <w:szCs w:val="24"/>
        </w:rPr>
        <w:t xml:space="preserve"> F</w:t>
      </w:r>
      <w:r w:rsidRPr="003F16FE">
        <w:rPr>
          <w:rFonts w:cs="Times New Roman"/>
          <w:szCs w:val="24"/>
        </w:rPr>
        <w:t>or the quantification of iohexol in plasma the combined peak area</w:t>
      </w:r>
      <w:r>
        <w:rPr>
          <w:rFonts w:cs="Times New Roman"/>
          <w:szCs w:val="24"/>
        </w:rPr>
        <w:t>s</w:t>
      </w:r>
      <w:r w:rsidRPr="003F16FE">
        <w:rPr>
          <w:rFonts w:cs="Times New Roman"/>
          <w:szCs w:val="24"/>
        </w:rPr>
        <w:t xml:space="preserve"> of the two isomers</w:t>
      </w:r>
      <w:r w:rsidRPr="00875410">
        <w:rPr>
          <w:rFonts w:cs="Times New Roman"/>
          <w:szCs w:val="24"/>
        </w:rPr>
        <w:t xml:space="preserve"> </w:t>
      </w:r>
      <w:r>
        <w:rPr>
          <w:rFonts w:cs="Times New Roman"/>
          <w:szCs w:val="24"/>
        </w:rPr>
        <w:t>(exo- and endo-iohexol) were</w:t>
      </w:r>
      <w:r w:rsidRPr="003F16FE">
        <w:rPr>
          <w:rFonts w:cs="Times New Roman"/>
          <w:szCs w:val="24"/>
        </w:rPr>
        <w:t xml:space="preserve"> used.</w:t>
      </w:r>
      <w:r>
        <w:rPr>
          <w:rFonts w:cs="Times New Roman"/>
          <w:szCs w:val="24"/>
        </w:rPr>
        <w:t xml:space="preserve"> </w:t>
      </w:r>
    </w:p>
    <w:p w14:paraId="50BB2838" w14:textId="77777777" w:rsidR="00C32B5F" w:rsidRPr="00E4047C" w:rsidRDefault="00C32B5F" w:rsidP="00C32B5F">
      <w:pPr>
        <w:spacing w:after="120"/>
        <w:jc w:val="both"/>
        <w:rPr>
          <w:rFonts w:eastAsia="Times New Roman" w:cs="Times New Roman"/>
          <w:b/>
          <w:szCs w:val="24"/>
          <w:lang w:val="en-GB" w:eastAsia="en-GB"/>
        </w:rPr>
      </w:pPr>
    </w:p>
    <w:p w14:paraId="3702D65E" w14:textId="138CC67F" w:rsidR="00C32B5F" w:rsidRPr="00E4047C" w:rsidRDefault="00C32B5F" w:rsidP="00C32B5F">
      <w:pPr>
        <w:spacing w:after="120"/>
        <w:jc w:val="both"/>
        <w:rPr>
          <w:rFonts w:eastAsia="Times New Roman" w:cs="Times New Roman"/>
          <w:b/>
          <w:szCs w:val="24"/>
          <w:lang w:val="en-GB" w:eastAsia="en-GB"/>
        </w:rPr>
      </w:pPr>
      <w:bookmarkStart w:id="1" w:name="_Hlk3729026"/>
      <w:r w:rsidRPr="00E4047C">
        <w:rPr>
          <w:rFonts w:eastAsia="Times New Roman" w:cs="Times New Roman"/>
          <w:b/>
          <w:szCs w:val="24"/>
          <w:lang w:val="en-GB" w:eastAsia="en-GB"/>
        </w:rPr>
        <w:t xml:space="preserve">Calculation of </w:t>
      </w:r>
      <w:r w:rsidR="00115558">
        <w:rPr>
          <w:rFonts w:eastAsia="Times New Roman" w:cs="Times New Roman"/>
          <w:b/>
          <w:szCs w:val="24"/>
          <w:lang w:val="en-GB" w:eastAsia="en-GB"/>
        </w:rPr>
        <w:t>glomerular filtration rate (</w:t>
      </w:r>
      <w:r w:rsidRPr="00E4047C">
        <w:rPr>
          <w:rFonts w:eastAsia="Times New Roman" w:cs="Times New Roman"/>
          <w:b/>
          <w:szCs w:val="24"/>
          <w:lang w:val="en-GB" w:eastAsia="en-GB"/>
        </w:rPr>
        <w:t>GFR</w:t>
      </w:r>
      <w:bookmarkEnd w:id="1"/>
      <w:r w:rsidR="00115558">
        <w:rPr>
          <w:rFonts w:eastAsia="Times New Roman" w:cs="Times New Roman"/>
          <w:b/>
          <w:szCs w:val="24"/>
          <w:lang w:val="en-GB" w:eastAsia="en-GB"/>
        </w:rPr>
        <w:t>)</w:t>
      </w:r>
    </w:p>
    <w:p w14:paraId="02E6AED1" w14:textId="77777777" w:rsidR="00C32B5F" w:rsidRPr="00E4047C" w:rsidRDefault="00C32B5F" w:rsidP="00C32B5F">
      <w:pPr>
        <w:spacing w:after="120"/>
        <w:jc w:val="both"/>
        <w:rPr>
          <w:rFonts w:eastAsia="Times New Roman" w:cs="Times New Roman"/>
          <w:szCs w:val="24"/>
          <w:lang w:val="en-GB" w:eastAsia="en-GB"/>
        </w:rPr>
      </w:pPr>
      <w:r w:rsidRPr="00E4047C">
        <w:rPr>
          <w:rFonts w:eastAsia="Times New Roman" w:cs="Times New Roman"/>
          <w:szCs w:val="24"/>
          <w:lang w:val="en-GB" w:eastAsia="en-GB"/>
        </w:rPr>
        <w:t xml:space="preserve">GFR was determined by calculating the rate of iohexol clearance using Phoenix </w:t>
      </w:r>
      <w:r w:rsidRPr="00E4047C">
        <w:rPr>
          <w:rFonts w:eastAsia="Times New Roman" w:cs="Times New Roman"/>
          <w:i/>
          <w:iCs/>
          <w:szCs w:val="24"/>
          <w:lang w:val="en-GB" w:eastAsia="en-GB"/>
        </w:rPr>
        <w:t>WinNonlin</w:t>
      </w:r>
      <w:r w:rsidRPr="00E4047C">
        <w:rPr>
          <w:rFonts w:eastAsia="Times New Roman" w:cs="Times New Roman"/>
          <w:szCs w:val="24"/>
          <w:lang w:val="en-GB" w:eastAsia="en-GB"/>
        </w:rPr>
        <w:t>® software (version 8.0 - Certara L.P., St. Louis, MO, USA). Plasma clearance was determined with the following formula</w:t>
      </w:r>
    </w:p>
    <w:p w14:paraId="66CD3328" w14:textId="77777777" w:rsidR="00C32B5F" w:rsidRPr="00E4047C" w:rsidRDefault="00C32B5F" w:rsidP="00C32B5F">
      <w:pPr>
        <w:spacing w:after="120"/>
        <w:jc w:val="both"/>
        <w:rPr>
          <w:rFonts w:eastAsia="Times New Roman" w:cs="Times New Roman"/>
          <w:szCs w:val="24"/>
          <w:lang w:val="en-GB" w:eastAsia="en-GB"/>
        </w:rPr>
      </w:pPr>
      <m:oMathPara>
        <m:oMath>
          <m:r>
            <w:rPr>
              <w:rFonts w:ascii="Cambria Math" w:eastAsia="Times New Roman" w:hAnsi="Cambria Math" w:cs="Times New Roman"/>
              <w:szCs w:val="24"/>
              <w:lang w:val="en-GB" w:eastAsia="en-GB"/>
            </w:rPr>
            <m:t>Clearance=dose of iohexol injected/AUC</m:t>
          </m:r>
        </m:oMath>
      </m:oMathPara>
    </w:p>
    <w:p w14:paraId="69307E51" w14:textId="77777777" w:rsidR="00C32B5F" w:rsidRPr="00E4047C" w:rsidRDefault="00C32B5F" w:rsidP="00C32B5F">
      <w:pPr>
        <w:spacing w:after="120"/>
        <w:jc w:val="both"/>
        <w:rPr>
          <w:rFonts w:eastAsia="Times New Roman" w:cs="Times New Roman"/>
          <w:szCs w:val="24"/>
          <w:lang w:val="en-GB" w:eastAsia="en-GB"/>
        </w:rPr>
      </w:pPr>
      <w:r w:rsidRPr="00E4047C">
        <w:rPr>
          <w:rFonts w:eastAsia="Times New Roman" w:cs="Times New Roman"/>
          <w:szCs w:val="24"/>
          <w:lang w:val="en-GB" w:eastAsia="en-GB"/>
        </w:rPr>
        <w:t>where AUC is the area under the curve calculated from plasma iohexol disappearance curves after an iv bolus.</w:t>
      </w:r>
    </w:p>
    <w:p w14:paraId="046AD2C7" w14:textId="7C1B37E1" w:rsidR="00C32B5F" w:rsidRPr="00E4047C" w:rsidRDefault="00C32B5F" w:rsidP="00C32B5F">
      <w:pPr>
        <w:spacing w:after="120"/>
        <w:jc w:val="both"/>
        <w:rPr>
          <w:rFonts w:eastAsia="Times New Roman" w:cs="Times New Roman"/>
          <w:szCs w:val="24"/>
          <w:lang w:val="en-GB" w:eastAsia="en-GB"/>
        </w:rPr>
      </w:pPr>
      <w:r w:rsidRPr="00E4047C">
        <w:rPr>
          <w:rFonts w:eastAsia="Times New Roman" w:cs="Times New Roman"/>
          <w:szCs w:val="24"/>
          <w:lang w:val="en-GB" w:eastAsia="en-GB"/>
        </w:rPr>
        <w:t>GFR values were calculated by plotting the iohexol concentration against the sampling time for five samples (5, 15, 60, 90, and 180 min after iohexol) and AUC was calculated by the trapezoidal method with a non-compartmental pharmacokinetic model (linear log trapezoidal with extrapolation to inﬁnity). Clearance (mL/min) was normalized to body weight (BW) to obtain GFR, which was expressed as mL/min/kg.</w:t>
      </w:r>
    </w:p>
    <w:p w14:paraId="1124DE9C" w14:textId="77777777" w:rsidR="00C32B5F" w:rsidRPr="004B44FB" w:rsidRDefault="00C32B5F" w:rsidP="00C32B5F">
      <w:pPr>
        <w:rPr>
          <w:lang w:val="en-GB"/>
        </w:rPr>
      </w:pPr>
    </w:p>
    <w:p w14:paraId="209105E7" w14:textId="4715A351" w:rsidR="00C32B5F" w:rsidRPr="00C32B5F" w:rsidRDefault="00C32B5F" w:rsidP="00C32B5F">
      <w:pPr>
        <w:rPr>
          <w:rFonts w:eastAsia="Times New Roman" w:cs="Times New Roman"/>
          <w:b/>
          <w:szCs w:val="24"/>
          <w:lang w:val="en-GB" w:eastAsia="en-GB"/>
        </w:rPr>
      </w:pPr>
      <w:r w:rsidRPr="00C32B5F">
        <w:rPr>
          <w:rFonts w:eastAsia="Times New Roman" w:cs="Times New Roman"/>
          <w:b/>
          <w:szCs w:val="24"/>
          <w:lang w:val="en-GB" w:eastAsia="en-GB"/>
        </w:rPr>
        <w:t>References</w:t>
      </w:r>
      <w:r w:rsidRPr="00C32B5F">
        <w:rPr>
          <w:rFonts w:eastAsia="Times New Roman" w:cs="Times New Roman"/>
          <w:b/>
          <w:szCs w:val="24"/>
          <w:lang w:val="en-GB" w:eastAsia="en-GB"/>
        </w:rPr>
        <w:fldChar w:fldCharType="begin"/>
      </w:r>
      <w:r w:rsidRPr="00C32B5F">
        <w:rPr>
          <w:rFonts w:eastAsia="Times New Roman" w:cs="Times New Roman"/>
          <w:b/>
          <w:szCs w:val="24"/>
          <w:lang w:val="en-GB" w:eastAsia="en-GB"/>
        </w:rPr>
        <w:instrText xml:space="preserve"> ADDIN EN.REFLIST </w:instrText>
      </w:r>
      <w:r w:rsidRPr="00C32B5F">
        <w:rPr>
          <w:rFonts w:eastAsia="Times New Roman" w:cs="Times New Roman"/>
          <w:b/>
          <w:szCs w:val="24"/>
          <w:lang w:val="en-GB" w:eastAsia="en-GB"/>
        </w:rPr>
        <w:fldChar w:fldCharType="separate"/>
      </w:r>
    </w:p>
    <w:p w14:paraId="769C3A98" w14:textId="77777777" w:rsidR="00C32B5F" w:rsidRPr="00C32B5F" w:rsidRDefault="00C32B5F" w:rsidP="00E706BE">
      <w:pPr>
        <w:pStyle w:val="EndNoteBibliography"/>
        <w:ind w:left="720" w:hanging="720"/>
        <w:jc w:val="both"/>
        <w:rPr>
          <w:rFonts w:ascii="Times New Roman" w:eastAsia="Times New Roman" w:hAnsi="Times New Roman" w:cs="Times New Roman"/>
          <w:noProof w:val="0"/>
          <w:sz w:val="24"/>
          <w:szCs w:val="24"/>
          <w:lang w:val="en-GB" w:eastAsia="en-GB"/>
        </w:rPr>
      </w:pPr>
      <w:r w:rsidRPr="00C32B5F">
        <w:rPr>
          <w:rFonts w:ascii="Times New Roman" w:eastAsia="Times New Roman" w:hAnsi="Times New Roman" w:cs="Times New Roman"/>
          <w:noProof w:val="0"/>
          <w:sz w:val="24"/>
          <w:szCs w:val="24"/>
          <w:lang w:val="en-GB" w:eastAsia="en-GB"/>
        </w:rPr>
        <w:t>Lippi I., V. Meucci, G. Guidi, G. Soldani (2008) Glomerular filtration rate evaluation in the dog throughout the plasmatic clearance of iohexol: simplified methods. Veterinaria; 22: 53-60.</w:t>
      </w:r>
    </w:p>
    <w:p w14:paraId="63D7C2B0" w14:textId="45BADE59" w:rsidR="00994A3D" w:rsidRPr="001549D3" w:rsidRDefault="00C32B5F" w:rsidP="00C32B5F">
      <w:pPr>
        <w:jc w:val="both"/>
      </w:pPr>
      <w:r w:rsidRPr="00C32B5F">
        <w:rPr>
          <w:rFonts w:eastAsia="Times New Roman" w:cs="Times New Roman"/>
          <w:szCs w:val="24"/>
          <w:lang w:val="en-GB" w:eastAsia="en-GB"/>
        </w:rPr>
        <w:fldChar w:fldCharType="end"/>
      </w:r>
    </w:p>
    <w:p w14:paraId="6754D378" w14:textId="77777777" w:rsidR="00994A3D" w:rsidRPr="001549D3" w:rsidRDefault="00994A3D" w:rsidP="00994A3D">
      <w:pPr>
        <w:keepNext/>
        <w:rPr>
          <w:rFonts w:cs="Times New Roman"/>
          <w:szCs w:val="24"/>
        </w:rPr>
      </w:pPr>
    </w:p>
    <w:p w14:paraId="3C419443" w14:textId="77777777" w:rsidR="00994A3D" w:rsidRPr="001549D3" w:rsidRDefault="00994A3D" w:rsidP="00994A3D">
      <w:pPr>
        <w:keepNext/>
        <w:jc w:val="center"/>
        <w:rPr>
          <w:rFonts w:cs="Times New Roman"/>
          <w:szCs w:val="24"/>
        </w:rPr>
      </w:pPr>
      <w:r w:rsidRPr="001549D3">
        <w:rPr>
          <w:b/>
          <w:noProof/>
          <w:lang w:val="en-GB" w:eastAsia="en-GB"/>
        </w:rPr>
        <w:drawing>
          <wp:inline distT="0" distB="0" distL="0" distR="0" wp14:anchorId="08F40240" wp14:editId="140715D0">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sectPr w:rsidR="00994A3D"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48BC6EDA"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10B14">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48BC6EDA"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10B14">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3B7AB7E0"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32B5F">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3B7AB7E0"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32B5F">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wMTE3NjWyNDc2NDVQ0lEKTi0uzszPAykwqgUAES1QOSwAAAA="/>
  </w:docVars>
  <w:rsids>
    <w:rsidRoot w:val="00ED20B5"/>
    <w:rsid w:val="0001436A"/>
    <w:rsid w:val="00034304"/>
    <w:rsid w:val="00035434"/>
    <w:rsid w:val="00052A14"/>
    <w:rsid w:val="00077D53"/>
    <w:rsid w:val="00105FD9"/>
    <w:rsid w:val="00115558"/>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4C6ECF"/>
    <w:rsid w:val="00517A89"/>
    <w:rsid w:val="005250F2"/>
    <w:rsid w:val="00593EEA"/>
    <w:rsid w:val="005A5EEE"/>
    <w:rsid w:val="006375C7"/>
    <w:rsid w:val="00654E8F"/>
    <w:rsid w:val="00660D05"/>
    <w:rsid w:val="006820B1"/>
    <w:rsid w:val="006B7D14"/>
    <w:rsid w:val="006D460B"/>
    <w:rsid w:val="00701727"/>
    <w:rsid w:val="0070566C"/>
    <w:rsid w:val="00714C50"/>
    <w:rsid w:val="00725A7D"/>
    <w:rsid w:val="00730A89"/>
    <w:rsid w:val="007501BE"/>
    <w:rsid w:val="00790BB3"/>
    <w:rsid w:val="007C206C"/>
    <w:rsid w:val="00817DD6"/>
    <w:rsid w:val="0083759F"/>
    <w:rsid w:val="00885156"/>
    <w:rsid w:val="009151AA"/>
    <w:rsid w:val="0093429D"/>
    <w:rsid w:val="009419AD"/>
    <w:rsid w:val="00943573"/>
    <w:rsid w:val="0095458C"/>
    <w:rsid w:val="00964134"/>
    <w:rsid w:val="00970F7D"/>
    <w:rsid w:val="00994A3D"/>
    <w:rsid w:val="009C2B12"/>
    <w:rsid w:val="00A174D9"/>
    <w:rsid w:val="00AA4D24"/>
    <w:rsid w:val="00AB6715"/>
    <w:rsid w:val="00B1671E"/>
    <w:rsid w:val="00B25EB8"/>
    <w:rsid w:val="00B37F4D"/>
    <w:rsid w:val="00C10B14"/>
    <w:rsid w:val="00C32B5F"/>
    <w:rsid w:val="00C52A7B"/>
    <w:rsid w:val="00C56BAF"/>
    <w:rsid w:val="00C679AA"/>
    <w:rsid w:val="00C75972"/>
    <w:rsid w:val="00CD066B"/>
    <w:rsid w:val="00CE4FEE"/>
    <w:rsid w:val="00D060CF"/>
    <w:rsid w:val="00DB59C3"/>
    <w:rsid w:val="00DC259A"/>
    <w:rsid w:val="00DE23E8"/>
    <w:rsid w:val="00E52377"/>
    <w:rsid w:val="00E537AD"/>
    <w:rsid w:val="00E64E17"/>
    <w:rsid w:val="00E706BE"/>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 w:type="paragraph" w:customStyle="1" w:styleId="EndNoteBibliography">
    <w:name w:val="EndNote Bibliography"/>
    <w:basedOn w:val="Normale"/>
    <w:link w:val="EndNoteBibliographyCarattere"/>
    <w:rsid w:val="00C32B5F"/>
    <w:pPr>
      <w:spacing w:before="0" w:after="200"/>
    </w:pPr>
    <w:rPr>
      <w:rFonts w:ascii="Calibri" w:hAnsi="Calibri" w:cs="Calibri"/>
      <w:noProof/>
      <w:sz w:val="22"/>
    </w:rPr>
  </w:style>
  <w:style w:type="character" w:customStyle="1" w:styleId="EndNoteBibliographyCarattere">
    <w:name w:val="EndNote Bibliography Carattere"/>
    <w:basedOn w:val="Carpredefinitoparagrafo"/>
    <w:link w:val="EndNoteBibliography"/>
    <w:rsid w:val="00C32B5F"/>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E82DCD1CEC8F4449A1B3564535404B3" ma:contentTypeVersion="10" ma:contentTypeDescription="Creare un nuovo documento." ma:contentTypeScope="" ma:versionID="a8d68e32279bfd3a0888eab7029ee8ab">
  <xsd:schema xmlns:xsd="http://www.w3.org/2001/XMLSchema" xmlns:xs="http://www.w3.org/2001/XMLSchema" xmlns:p="http://schemas.microsoft.com/office/2006/metadata/properties" xmlns:ns3="896a2f27-53d6-416c-9e0c-1043745702cb" targetNamespace="http://schemas.microsoft.com/office/2006/metadata/properties" ma:root="true" ma:fieldsID="bfd21bf755de85938be868b2478cf57d" ns3:_="">
    <xsd:import namespace="896a2f27-53d6-416c-9e0c-1043745702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a2f27-53d6-416c-9e0c-104374570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08319F-90CB-4FDF-A6F4-6E4399B13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a2f27-53d6-416c-9e0c-104374570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D02EE-BADD-487A-937D-F4599020D339}">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896a2f27-53d6-416c-9e0c-1043745702cb"/>
    <ds:schemaRef ds:uri="http://purl.org/dc/terms/"/>
  </ds:schemaRefs>
</ds:datastoreItem>
</file>

<file path=customXml/itemProps3.xml><?xml version="1.0" encoding="utf-8"?>
<ds:datastoreItem xmlns:ds="http://schemas.openxmlformats.org/officeDocument/2006/customXml" ds:itemID="{13B112CF-1B55-4C54-BBD2-1181F247FF08}">
  <ds:schemaRefs>
    <ds:schemaRef ds:uri="http://schemas.microsoft.com/sharepoint/v3/contenttype/forms"/>
  </ds:schemaRefs>
</ds:datastoreItem>
</file>

<file path=customXml/itemProps4.xml><?xml version="1.0" encoding="utf-8"?>
<ds:datastoreItem xmlns:ds="http://schemas.openxmlformats.org/officeDocument/2006/customXml" ds:itemID="{DF97882B-D9B3-437F-ACC8-C1C0D7B6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211</TotalTime>
  <Pages>2</Pages>
  <Words>638</Words>
  <Characters>3643</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Petra Pico' Cagnardi</cp:lastModifiedBy>
  <cp:revision>7</cp:revision>
  <cp:lastPrinted>2013-10-03T12:51:00Z</cp:lastPrinted>
  <dcterms:created xsi:type="dcterms:W3CDTF">2021-02-17T15:17:00Z</dcterms:created>
  <dcterms:modified xsi:type="dcterms:W3CDTF">2021-02-18T11:05:00Z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0x0101006E82DCD1CEC8F4449A1B3564535404B3</vt:lpwstr>
  </property>
</Properties>
</file>