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5BCA850" w14:textId="2F3FDCC3" w:rsidR="00E90B37" w:rsidRDefault="00994A3D" w:rsidP="00E90B37">
      <w:pPr>
        <w:pStyle w:val="Heading2"/>
      </w:pPr>
      <w:r w:rsidRPr="0001436A">
        <w:t>Supplementary</w:t>
      </w:r>
      <w:r w:rsidRPr="001549D3">
        <w:t xml:space="preserve"> Figures</w:t>
      </w:r>
    </w:p>
    <w:p w14:paraId="4004EBCC" w14:textId="4D62B7E8" w:rsidR="006D4834" w:rsidRPr="006D4834" w:rsidRDefault="006D4834" w:rsidP="006D4834">
      <w:r>
        <w:rPr>
          <w:noProof/>
        </w:rPr>
        <w:drawing>
          <wp:inline distT="0" distB="0" distL="0" distR="0" wp14:anchorId="5F362C86" wp14:editId="6FB42EA6">
            <wp:extent cx="6208395" cy="4988560"/>
            <wp:effectExtent l="0" t="0" r="1905" b="254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98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64E2C" w14:textId="17D6CB7A" w:rsidR="00E90B37" w:rsidRDefault="00E90B37" w:rsidP="00E90B37">
      <w:pPr>
        <w:spacing w:line="480" w:lineRule="auto"/>
        <w:ind w:right="425"/>
        <w:rPr>
          <w:rFonts w:eastAsia="Palatino Linotype"/>
        </w:rPr>
      </w:pPr>
      <w:r w:rsidRPr="00EB18E2">
        <w:rPr>
          <w:rFonts w:eastAsia="Palatino Linotype"/>
          <w:b/>
          <w:bCs/>
        </w:rPr>
        <w:t>Supplementary Figure 1.</w:t>
      </w:r>
      <w:r>
        <w:rPr>
          <w:rFonts w:eastAsia="Palatino Linotype"/>
        </w:rPr>
        <w:t xml:space="preserve"> Overview of study participant age and body mass index (BMI) distributions and groupwise comparisons</w:t>
      </w:r>
      <w:r w:rsidRPr="00D03540">
        <w:rPr>
          <w:rFonts w:eastAsia="Palatino Linotype"/>
        </w:rPr>
        <w:t xml:space="preserve"> </w:t>
      </w:r>
      <w:r>
        <w:rPr>
          <w:rFonts w:eastAsia="Palatino Linotype"/>
        </w:rPr>
        <w:t>in individuals with ASD (</w:t>
      </w:r>
      <w:r>
        <w:rPr>
          <w:rFonts w:eastAsia="Palatino Linotype"/>
          <w:i/>
          <w:iCs/>
        </w:rPr>
        <w:t xml:space="preserve">n </w:t>
      </w:r>
      <w:r>
        <w:rPr>
          <w:rFonts w:eastAsia="Palatino Linotype"/>
        </w:rPr>
        <w:t>= 45) and healthy controls (</w:t>
      </w:r>
      <w:r>
        <w:rPr>
          <w:rFonts w:eastAsia="Palatino Linotype"/>
          <w:i/>
          <w:iCs/>
        </w:rPr>
        <w:t xml:space="preserve">n </w:t>
      </w:r>
      <w:r>
        <w:rPr>
          <w:rFonts w:eastAsia="Palatino Linotype"/>
        </w:rPr>
        <w:t>= 41). (A) Age distribution in all subjects, colored by group. (B) Mean age is significantly higher in individuals with ASD when compared to healthy controls via Wilcoxon rank-sum test (</w:t>
      </w:r>
      <w:r>
        <w:rPr>
          <w:rFonts w:eastAsia="Palatino Linotype"/>
          <w:i/>
          <w:iCs/>
        </w:rPr>
        <w:t xml:space="preserve">P </w:t>
      </w:r>
      <w:r>
        <w:rPr>
          <w:rFonts w:eastAsia="Palatino Linotype"/>
        </w:rPr>
        <w:t xml:space="preserve">&lt; 0.05). (C) BMI distribution in all subjects, colored by group. (D) Mean BMI is significantly </w:t>
      </w:r>
      <w:r>
        <w:rPr>
          <w:rFonts w:eastAsia="Palatino Linotype"/>
        </w:rPr>
        <w:lastRenderedPageBreak/>
        <w:t>higher in individuals with ASD when compared to healthy controls via Wilcoxon rank-sum test (</w:t>
      </w:r>
      <w:r>
        <w:rPr>
          <w:rFonts w:eastAsia="Palatino Linotype"/>
          <w:i/>
          <w:iCs/>
        </w:rPr>
        <w:t xml:space="preserve">P </w:t>
      </w:r>
      <w:r>
        <w:rPr>
          <w:rFonts w:eastAsia="Palatino Linotype"/>
        </w:rPr>
        <w:t>&lt; 0.01).</w:t>
      </w:r>
    </w:p>
    <w:p w14:paraId="2648BD0C" w14:textId="0F3CA7E5" w:rsidR="006D4834" w:rsidRDefault="006D4834" w:rsidP="00530B7B">
      <w:pPr>
        <w:spacing w:line="480" w:lineRule="auto"/>
        <w:ind w:right="425"/>
        <w:jc w:val="center"/>
        <w:rPr>
          <w:rFonts w:eastAsia="Palatino Linotype"/>
        </w:rPr>
      </w:pPr>
      <w:r>
        <w:rPr>
          <w:rFonts w:eastAsia="Palatino Linotype"/>
          <w:noProof/>
        </w:rPr>
        <w:drawing>
          <wp:inline distT="0" distB="0" distL="0" distR="0" wp14:anchorId="2501B451" wp14:editId="05AC97B1">
            <wp:extent cx="4364992" cy="5897880"/>
            <wp:effectExtent l="0" t="0" r="3810" b="0"/>
            <wp:docPr id="4" name="Picture 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937" cy="590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1C786" w14:textId="5D4C3BC4" w:rsidR="00E90B37" w:rsidRDefault="00E90B37" w:rsidP="00E90B37">
      <w:pPr>
        <w:spacing w:line="480" w:lineRule="auto"/>
        <w:ind w:right="425"/>
        <w:rPr>
          <w:rFonts w:eastAsia="Palatino Linotype"/>
        </w:rPr>
      </w:pPr>
      <w:r w:rsidRPr="001B250B">
        <w:rPr>
          <w:rFonts w:eastAsia="Palatino Linotype"/>
          <w:b/>
          <w:bCs/>
        </w:rPr>
        <w:t xml:space="preserve">Supplementary Figure 2. </w:t>
      </w:r>
      <w:r>
        <w:rPr>
          <w:rFonts w:eastAsia="Palatino Linotype"/>
        </w:rPr>
        <w:t>Associations between plasma cytokine concentrations and body mass index (BMI). (A) Spearman’s rank correlation shows that BMI is positively associated with plasma IL-1β levels in all subjects (</w:t>
      </w:r>
      <w:r>
        <w:rPr>
          <w:rFonts w:eastAsia="Palatino Linotype"/>
          <w:i/>
          <w:iCs/>
        </w:rPr>
        <w:t xml:space="preserve">P </w:t>
      </w:r>
      <w:r>
        <w:rPr>
          <w:rFonts w:eastAsia="Palatino Linotype"/>
        </w:rPr>
        <w:t xml:space="preserve">&lt; 0.05). (B) Groupwise assessment of correlations reveals </w:t>
      </w:r>
      <w:r>
        <w:rPr>
          <w:rFonts w:eastAsia="Palatino Linotype"/>
        </w:rPr>
        <w:lastRenderedPageBreak/>
        <w:t>that the correlation between BMI and IL-1β are not statistically significant in healthy controls with borderline significance in ASD group (</w:t>
      </w:r>
      <w:r>
        <w:rPr>
          <w:rFonts w:eastAsia="Palatino Linotype"/>
          <w:i/>
          <w:iCs/>
        </w:rPr>
        <w:t>P =</w:t>
      </w:r>
      <w:r>
        <w:rPr>
          <w:rFonts w:eastAsia="Palatino Linotype"/>
        </w:rPr>
        <w:t xml:space="preserve"> 0.057).</w:t>
      </w:r>
    </w:p>
    <w:p w14:paraId="509DA7AB" w14:textId="7E988977" w:rsidR="006D4834" w:rsidRDefault="006D4834" w:rsidP="00E90B37">
      <w:pPr>
        <w:spacing w:line="480" w:lineRule="auto"/>
        <w:ind w:right="425"/>
        <w:rPr>
          <w:rFonts w:eastAsia="Palatino Linotype"/>
        </w:rPr>
      </w:pPr>
      <w:r>
        <w:rPr>
          <w:rFonts w:eastAsia="Palatino Linotype"/>
          <w:noProof/>
        </w:rPr>
        <w:drawing>
          <wp:inline distT="0" distB="0" distL="0" distR="0" wp14:anchorId="3CDE866D" wp14:editId="65D26CCC">
            <wp:extent cx="6208395" cy="5432425"/>
            <wp:effectExtent l="0" t="0" r="1905" b="3175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03BD8" w14:textId="77777777" w:rsidR="00E90B37" w:rsidRPr="00F65B60" w:rsidRDefault="00E90B37" w:rsidP="00E90B37">
      <w:pPr>
        <w:spacing w:line="480" w:lineRule="auto"/>
        <w:ind w:right="425"/>
        <w:rPr>
          <w:rFonts w:eastAsia="Palatino Linotype"/>
        </w:rPr>
      </w:pPr>
      <w:r w:rsidRPr="00A11E47">
        <w:rPr>
          <w:rFonts w:eastAsia="Palatino Linotype"/>
          <w:b/>
          <w:bCs/>
        </w:rPr>
        <w:t>Supplementary Figure 3.</w:t>
      </w:r>
      <w:r>
        <w:rPr>
          <w:rFonts w:eastAsia="Palatino Linotype"/>
        </w:rPr>
        <w:t xml:space="preserve"> Logistic regression reveals that identified </w:t>
      </w:r>
      <w:proofErr w:type="spellStart"/>
      <w:r>
        <w:rPr>
          <w:rFonts w:eastAsia="Palatino Linotype"/>
        </w:rPr>
        <w:t>dysbiotic</w:t>
      </w:r>
      <w:proofErr w:type="spellEnd"/>
      <w:r>
        <w:rPr>
          <w:rFonts w:eastAsia="Palatino Linotype"/>
        </w:rPr>
        <w:t xml:space="preserve"> microbiota can classify CARS ASD severity. Using all identified </w:t>
      </w:r>
      <w:proofErr w:type="spellStart"/>
      <w:r>
        <w:rPr>
          <w:rFonts w:eastAsia="Palatino Linotype"/>
        </w:rPr>
        <w:t>dysbiotic</w:t>
      </w:r>
      <w:proofErr w:type="spellEnd"/>
      <w:r>
        <w:rPr>
          <w:rFonts w:eastAsia="Palatino Linotype"/>
        </w:rPr>
        <w:t xml:space="preserve"> microbiota relative abundance to predict ASD severity based on CARS severity categories (</w:t>
      </w:r>
      <w:r>
        <w:rPr>
          <w:rFonts w:eastAsia="Palatino Linotype"/>
          <w:i/>
          <w:iCs/>
        </w:rPr>
        <w:t>mild-to-moderate</w:t>
      </w:r>
      <w:r>
        <w:rPr>
          <w:rFonts w:eastAsia="Palatino Linotype"/>
        </w:rPr>
        <w:t xml:space="preserve"> and </w:t>
      </w:r>
      <w:r>
        <w:rPr>
          <w:rFonts w:eastAsia="Palatino Linotype"/>
          <w:i/>
          <w:iCs/>
        </w:rPr>
        <w:t>severe</w:t>
      </w:r>
      <w:r>
        <w:rPr>
          <w:rFonts w:eastAsia="Palatino Linotype"/>
        </w:rPr>
        <w:t xml:space="preserve">, treating </w:t>
      </w:r>
      <w:r>
        <w:rPr>
          <w:rFonts w:eastAsia="Palatino Linotype"/>
          <w:i/>
          <w:iCs/>
        </w:rPr>
        <w:t>severe</w:t>
      </w:r>
      <w:r>
        <w:rPr>
          <w:rFonts w:eastAsia="Palatino Linotype"/>
        </w:rPr>
        <w:t xml:space="preserve"> as a case and </w:t>
      </w:r>
      <w:r>
        <w:rPr>
          <w:rFonts w:eastAsia="Palatino Linotype"/>
          <w:i/>
          <w:iCs/>
        </w:rPr>
        <w:t xml:space="preserve">mild-to-moderate </w:t>
      </w:r>
      <w:r>
        <w:rPr>
          <w:rFonts w:eastAsia="Palatino Linotype"/>
        </w:rPr>
        <w:t>as control) resulted in an AUC of 0.804 (95% CI: 0.653-0.918). Confidence interval of the AUC is determined based on 200 bootstrapping iterations.</w:t>
      </w:r>
    </w:p>
    <w:p w14:paraId="7B65BC41" w14:textId="4F55F25E" w:rsidR="00DE23E8" w:rsidRDefault="006D4834" w:rsidP="006D4834">
      <w:pPr>
        <w:pStyle w:val="Heading2"/>
      </w:pPr>
      <w:r w:rsidRPr="0001436A">
        <w:lastRenderedPageBreak/>
        <w:t>Supplementary</w:t>
      </w:r>
      <w:r w:rsidRPr="001549D3">
        <w:t xml:space="preserve"> </w:t>
      </w:r>
      <w:r>
        <w:t>Tables</w:t>
      </w:r>
    </w:p>
    <w:p w14:paraId="54AB0A73" w14:textId="77777777" w:rsidR="006D4834" w:rsidRPr="00AB6BC2" w:rsidRDefault="006D4834" w:rsidP="006D4834">
      <w:pPr>
        <w:pStyle w:val="Tabletitle"/>
        <w:spacing w:line="480" w:lineRule="auto"/>
        <w:rPr>
          <w:lang w:val="en-US"/>
        </w:rPr>
      </w:pPr>
      <w:r w:rsidRPr="00B2672A">
        <w:rPr>
          <w:b/>
          <w:bCs/>
          <w:lang w:val="en-US"/>
        </w:rPr>
        <w:t>Supplementary Table 1.</w:t>
      </w:r>
      <w:r w:rsidRPr="00B2672A">
        <w:rPr>
          <w:lang w:val="en-US"/>
        </w:rPr>
        <w:t xml:space="preserve"> Summary of </w:t>
      </w:r>
      <w:r>
        <w:rPr>
          <w:lang w:val="en-US"/>
        </w:rPr>
        <w:t>CARS severity</w:t>
      </w:r>
      <w:r w:rsidRPr="00B2672A">
        <w:rPr>
          <w:lang w:val="en-US"/>
        </w:rPr>
        <w:t xml:space="preserve"> logistic regression model indices used in ROC analysis.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170"/>
        <w:gridCol w:w="1620"/>
        <w:gridCol w:w="900"/>
        <w:gridCol w:w="900"/>
      </w:tblGrid>
      <w:tr w:rsidR="006D4834" w:rsidRPr="00AB6BC2" w14:paraId="0BD7C59E" w14:textId="77777777" w:rsidTr="00743A08"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BCC029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Taxa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24AB54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AB6BC2">
              <w:rPr>
                <w:b/>
                <w:bCs/>
                <w:sz w:val="20"/>
                <w:szCs w:val="20"/>
                <w:lang w:val="en-US"/>
              </w:rPr>
              <w:t>Estimate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DCD8577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AB6BC2">
              <w:rPr>
                <w:b/>
                <w:bCs/>
                <w:sz w:val="20"/>
                <w:szCs w:val="20"/>
                <w:lang w:val="en-US"/>
              </w:rPr>
              <w:t>Standard Error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85F8CD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AB6BC2">
              <w:rPr>
                <w:b/>
                <w:bCs/>
                <w:i/>
                <w:iCs/>
                <w:sz w:val="20"/>
                <w:szCs w:val="20"/>
                <w:lang w:val="en-US"/>
              </w:rPr>
              <w:t>z</w:t>
            </w:r>
            <w:r w:rsidRPr="00AB6BC2">
              <w:rPr>
                <w:b/>
                <w:bCs/>
                <w:sz w:val="20"/>
                <w:szCs w:val="20"/>
                <w:lang w:val="en-US"/>
              </w:rPr>
              <w:t>-value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A6B0C1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AB6BC2">
              <w:rPr>
                <w:b/>
                <w:bCs/>
                <w:i/>
                <w:iCs/>
                <w:sz w:val="20"/>
                <w:szCs w:val="20"/>
                <w:lang w:val="en-US"/>
              </w:rPr>
              <w:t>P</w:t>
            </w:r>
            <w:r w:rsidRPr="00AB6BC2">
              <w:rPr>
                <w:b/>
                <w:bCs/>
                <w:sz w:val="20"/>
                <w:szCs w:val="20"/>
                <w:lang w:val="en-US"/>
              </w:rPr>
              <w:t>-value</w:t>
            </w:r>
          </w:p>
        </w:tc>
      </w:tr>
      <w:tr w:rsidR="006D4834" w:rsidRPr="00AB6BC2" w14:paraId="004DF7A8" w14:textId="77777777" w:rsidTr="00743A08">
        <w:trPr>
          <w:trHeight w:val="219"/>
        </w:trPr>
        <w:tc>
          <w:tcPr>
            <w:tcW w:w="1620" w:type="dxa"/>
            <w:shd w:val="clear" w:color="auto" w:fill="auto"/>
            <w:vAlign w:val="center"/>
            <w:hideMark/>
          </w:tcPr>
          <w:p w14:paraId="6FC4E848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AB6BC2">
              <w:rPr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0100099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5.278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14:paraId="30F3E3E5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3.131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177A9AD7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1.686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5592EAFE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0.0919</w:t>
            </w:r>
          </w:p>
        </w:tc>
      </w:tr>
      <w:tr w:rsidR="006D4834" w:rsidRPr="00AB6BC2" w14:paraId="4E0F65CC" w14:textId="77777777" w:rsidTr="00743A08">
        <w:tc>
          <w:tcPr>
            <w:tcW w:w="1620" w:type="dxa"/>
            <w:shd w:val="clear" w:color="auto" w:fill="auto"/>
            <w:vAlign w:val="center"/>
            <w:hideMark/>
          </w:tcPr>
          <w:p w14:paraId="4A22924A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AB6BC2">
              <w:rPr>
                <w:sz w:val="20"/>
                <w:szCs w:val="20"/>
              </w:rPr>
              <w:t>Lachnospiraceae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B530BCF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-8.088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14:paraId="2BF8CDC8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20.733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02FB335F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-0.390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79EE8273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0.6965</w:t>
            </w:r>
          </w:p>
        </w:tc>
      </w:tr>
      <w:tr w:rsidR="006D4834" w:rsidRPr="00AB6BC2" w14:paraId="11FF0291" w14:textId="77777777" w:rsidTr="00743A08">
        <w:tc>
          <w:tcPr>
            <w:tcW w:w="1620" w:type="dxa"/>
            <w:shd w:val="clear" w:color="auto" w:fill="auto"/>
            <w:vAlign w:val="center"/>
            <w:hideMark/>
          </w:tcPr>
          <w:p w14:paraId="3FC122CB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AB6BC2">
              <w:rPr>
                <w:i/>
                <w:iCs/>
                <w:sz w:val="20"/>
                <w:szCs w:val="20"/>
              </w:rPr>
              <w:t>Clostridium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F609DDC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5.072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14:paraId="6894F223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470.856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351A143D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0.011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448734BD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0.9914</w:t>
            </w:r>
          </w:p>
        </w:tc>
      </w:tr>
      <w:tr w:rsidR="006D4834" w:rsidRPr="00AB6BC2" w14:paraId="4222C243" w14:textId="77777777" w:rsidTr="00743A08">
        <w:trPr>
          <w:trHeight w:val="20"/>
        </w:trPr>
        <w:tc>
          <w:tcPr>
            <w:tcW w:w="1620" w:type="dxa"/>
            <w:shd w:val="clear" w:color="auto" w:fill="auto"/>
            <w:vAlign w:val="center"/>
            <w:hideMark/>
          </w:tcPr>
          <w:p w14:paraId="7F122839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AB6BC2">
              <w:rPr>
                <w:i/>
                <w:iCs/>
                <w:sz w:val="20"/>
                <w:szCs w:val="20"/>
              </w:rPr>
              <w:t>Desulfovibrio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69E11B5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366.888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14:paraId="291A4876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382.338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705AAC82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0.960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6198E8AB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0.3373</w:t>
            </w:r>
          </w:p>
        </w:tc>
      </w:tr>
      <w:tr w:rsidR="006D4834" w:rsidRPr="00AB6BC2" w14:paraId="17F0DA0A" w14:textId="77777777" w:rsidTr="00743A08">
        <w:tc>
          <w:tcPr>
            <w:tcW w:w="1620" w:type="dxa"/>
            <w:shd w:val="clear" w:color="auto" w:fill="auto"/>
            <w:vAlign w:val="center"/>
            <w:hideMark/>
          </w:tcPr>
          <w:p w14:paraId="4A834B85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AB6BC2">
              <w:rPr>
                <w:i/>
                <w:iCs/>
                <w:sz w:val="20"/>
                <w:szCs w:val="20"/>
              </w:rPr>
              <w:t>Streptococcus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9F51C96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122.921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14:paraId="3B567637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81.473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7F020002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1.509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0AC73960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0.1314</w:t>
            </w:r>
          </w:p>
        </w:tc>
      </w:tr>
      <w:tr w:rsidR="006D4834" w:rsidRPr="00AB6BC2" w14:paraId="4135224F" w14:textId="77777777" w:rsidTr="00743A08">
        <w:tc>
          <w:tcPr>
            <w:tcW w:w="1620" w:type="dxa"/>
            <w:shd w:val="clear" w:color="auto" w:fill="auto"/>
            <w:vAlign w:val="center"/>
            <w:hideMark/>
          </w:tcPr>
          <w:p w14:paraId="0DE97406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AB6BC2">
              <w:rPr>
                <w:i/>
                <w:iCs/>
                <w:sz w:val="20"/>
                <w:szCs w:val="20"/>
              </w:rPr>
              <w:t>Neisseria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014BB1B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-13257.180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14:paraId="465AEC1A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7940.707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29206D80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-1.670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5C1588FC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0.0950</w:t>
            </w:r>
          </w:p>
        </w:tc>
      </w:tr>
      <w:tr w:rsidR="006D4834" w:rsidRPr="00AB6BC2" w14:paraId="6419BA88" w14:textId="77777777" w:rsidTr="00743A08">
        <w:tc>
          <w:tcPr>
            <w:tcW w:w="1620" w:type="dxa"/>
            <w:shd w:val="clear" w:color="auto" w:fill="auto"/>
            <w:vAlign w:val="center"/>
            <w:hideMark/>
          </w:tcPr>
          <w:p w14:paraId="2E7206B8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AB6BC2">
              <w:rPr>
                <w:i/>
                <w:iCs/>
                <w:sz w:val="20"/>
                <w:szCs w:val="20"/>
              </w:rPr>
              <w:t>Bacillus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7788866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3656.716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14:paraId="16159CCE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1884.956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562D45F4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1.940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21E1878C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0.0524</w:t>
            </w:r>
          </w:p>
        </w:tc>
      </w:tr>
      <w:tr w:rsidR="006D4834" w:rsidRPr="00AB6BC2" w14:paraId="5BE6041E" w14:textId="77777777" w:rsidTr="00743A08">
        <w:tc>
          <w:tcPr>
            <w:tcW w:w="1620" w:type="dxa"/>
            <w:shd w:val="clear" w:color="auto" w:fill="auto"/>
            <w:vAlign w:val="center"/>
            <w:hideMark/>
          </w:tcPr>
          <w:p w14:paraId="4A15E7D8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AB6BC2">
              <w:rPr>
                <w:i/>
                <w:iCs/>
                <w:sz w:val="20"/>
                <w:szCs w:val="20"/>
              </w:rPr>
              <w:t>Streptomyces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56C2DA6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1697.280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14:paraId="62200D86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1860.408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02B3ADD1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0.912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421FE020" w14:textId="77777777" w:rsidR="006D4834" w:rsidRPr="00AB6BC2" w:rsidRDefault="006D4834" w:rsidP="00743A08">
            <w:pPr>
              <w:pStyle w:val="Tabletitle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AB6BC2">
              <w:rPr>
                <w:sz w:val="20"/>
                <w:szCs w:val="20"/>
              </w:rPr>
              <w:t>0.3616</w:t>
            </w:r>
          </w:p>
        </w:tc>
      </w:tr>
    </w:tbl>
    <w:p w14:paraId="23001179" w14:textId="77777777" w:rsidR="006D4834" w:rsidRPr="001549D3" w:rsidRDefault="006D4834" w:rsidP="006D4834">
      <w:pPr>
        <w:spacing w:before="240"/>
      </w:pPr>
    </w:p>
    <w:sectPr w:rsidR="006D4834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560BC6" w14:textId="77777777" w:rsidR="00F4073A" w:rsidRDefault="00F4073A" w:rsidP="00117666">
      <w:pPr>
        <w:spacing w:after="0"/>
      </w:pPr>
      <w:r>
        <w:separator/>
      </w:r>
    </w:p>
  </w:endnote>
  <w:endnote w:type="continuationSeparator" w:id="0">
    <w:p w14:paraId="38CB6B80" w14:textId="77777777" w:rsidR="00F4073A" w:rsidRDefault="00F4073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57F105" w14:textId="77777777" w:rsidR="00F4073A" w:rsidRDefault="00F4073A" w:rsidP="00117666">
      <w:pPr>
        <w:spacing w:after="0"/>
      </w:pPr>
      <w:r>
        <w:separator/>
      </w:r>
    </w:p>
  </w:footnote>
  <w:footnote w:type="continuationSeparator" w:id="0">
    <w:p w14:paraId="677D98EA" w14:textId="77777777" w:rsidR="00F4073A" w:rsidRDefault="00F4073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 w15:restartNumberingAfterBreak="0">
    <w:nsid w:val="6C1C30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32E9A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748E1"/>
    <w:rsid w:val="004947A6"/>
    <w:rsid w:val="004961FF"/>
    <w:rsid w:val="00517A89"/>
    <w:rsid w:val="005250F2"/>
    <w:rsid w:val="00530B7B"/>
    <w:rsid w:val="00593EEA"/>
    <w:rsid w:val="005A5EEE"/>
    <w:rsid w:val="006375C7"/>
    <w:rsid w:val="00654E8F"/>
    <w:rsid w:val="00660D05"/>
    <w:rsid w:val="006820B1"/>
    <w:rsid w:val="006B7D14"/>
    <w:rsid w:val="006D483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B3C67"/>
    <w:rsid w:val="009151AA"/>
    <w:rsid w:val="0093429D"/>
    <w:rsid w:val="00943573"/>
    <w:rsid w:val="00964134"/>
    <w:rsid w:val="00970F7D"/>
    <w:rsid w:val="00994A3D"/>
    <w:rsid w:val="009C2B12"/>
    <w:rsid w:val="00A174D9"/>
    <w:rsid w:val="00A4530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90B37"/>
    <w:rsid w:val="00EA3D3C"/>
    <w:rsid w:val="00EC090A"/>
    <w:rsid w:val="00ED20B5"/>
    <w:rsid w:val="00F4073A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Tabletitle">
    <w:name w:val="Table title"/>
    <w:basedOn w:val="Normal"/>
    <w:next w:val="Normal"/>
    <w:qFormat/>
    <w:rsid w:val="00E90B37"/>
    <w:pPr>
      <w:spacing w:before="240" w:after="0" w:line="360" w:lineRule="auto"/>
    </w:pPr>
    <w:rPr>
      <w:rFonts w:eastAsia="Times New Roman" w:cs="Times New Roman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4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Liu, Kevin</cp:lastModifiedBy>
  <cp:revision>4</cp:revision>
  <cp:lastPrinted>2013-10-03T12:51:00Z</cp:lastPrinted>
  <dcterms:created xsi:type="dcterms:W3CDTF">2021-01-20T13:36:00Z</dcterms:created>
  <dcterms:modified xsi:type="dcterms:W3CDTF">2021-01-20T13:41:00Z</dcterms:modified>
</cp:coreProperties>
</file>