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63D7C2B0" w14:textId="77777777" w:rsidR="00994A3D" w:rsidRPr="001549D3" w:rsidRDefault="00994A3D" w:rsidP="00D33973">
      <w:pPr>
        <w:pStyle w:val="Heading1"/>
      </w:pPr>
      <w:r w:rsidRPr="0001436A">
        <w:t>Supplementary</w:t>
      </w:r>
      <w:r w:rsidRPr="001549D3">
        <w:t xml:space="preserve"> Figures</w:t>
      </w:r>
    </w:p>
    <w:p w14:paraId="6754D378" w14:textId="77777777" w:rsidR="00994A3D" w:rsidRPr="001549D3" w:rsidRDefault="00994A3D" w:rsidP="00994A3D">
      <w:pPr>
        <w:keepNext/>
        <w:rPr>
          <w:rFonts w:cs="Times New Roman"/>
          <w:szCs w:val="24"/>
        </w:rPr>
      </w:pPr>
    </w:p>
    <w:p w14:paraId="7E87E62B" w14:textId="77777777" w:rsidR="00C337EB" w:rsidRDefault="00C337EB" w:rsidP="00D33973">
      <w:pPr>
        <w:jc w:val="center"/>
      </w:pPr>
      <w:r>
        <w:rPr>
          <w:noProof/>
        </w:rPr>
        <w:drawing>
          <wp:inline distT="0" distB="0" distL="0" distR="0" wp14:anchorId="38515C21" wp14:editId="244830DC">
            <wp:extent cx="5744561" cy="430720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4561" cy="4307204"/>
                    </a:xfrm>
                    <a:prstGeom prst="rect">
                      <a:avLst/>
                    </a:prstGeom>
                  </pic:spPr>
                </pic:pic>
              </a:graphicData>
            </a:graphic>
          </wp:inline>
        </w:drawing>
      </w:r>
    </w:p>
    <w:p w14:paraId="3E95F110" w14:textId="77777777" w:rsidR="00C337EB" w:rsidRPr="00C337EB" w:rsidRDefault="00C337EB" w:rsidP="00C337EB">
      <w:pPr>
        <w:pStyle w:val="Caption"/>
        <w:rPr>
          <w:b w:val="0"/>
        </w:rPr>
      </w:pPr>
      <w:bookmarkStart w:id="1" w:name="_Ref45611948"/>
      <w:bookmarkStart w:id="2" w:name="_Ref24632112"/>
      <w:r w:rsidRPr="00C337EB">
        <w:t xml:space="preserve">Supplementary figure </w:t>
      </w:r>
      <w:r w:rsidRPr="00C337EB">
        <w:rPr>
          <w:noProof/>
        </w:rPr>
        <w:t>1</w:t>
      </w:r>
      <w:bookmarkEnd w:id="1"/>
      <w:r w:rsidRPr="00C337EB">
        <w:t>.</w:t>
      </w:r>
      <w:bookmarkEnd w:id="2"/>
      <w:r w:rsidRPr="00C337EB">
        <w:rPr>
          <w:b w:val="0"/>
        </w:rPr>
        <w:t xml:space="preserve"> Overview of amplicon sequence variants (ASVs) obtained from rhizospheric soil samples, after processing the data with DADA2. The sequenced samples are ranked by total ASV counts. The bar </w:t>
      </w:r>
      <w:proofErr w:type="spellStart"/>
      <w:r w:rsidRPr="00C337EB">
        <w:rPr>
          <w:b w:val="0"/>
        </w:rPr>
        <w:t>colours</w:t>
      </w:r>
      <w:proofErr w:type="spellEnd"/>
      <w:r w:rsidRPr="00C337EB">
        <w:rPr>
          <w:b w:val="0"/>
        </w:rPr>
        <w:t xml:space="preserve"> indicate separate Illumina </w:t>
      </w:r>
      <w:proofErr w:type="spellStart"/>
      <w:r w:rsidRPr="00C337EB">
        <w:rPr>
          <w:b w:val="0"/>
        </w:rPr>
        <w:t>Miseq</w:t>
      </w:r>
      <w:proofErr w:type="spellEnd"/>
      <w:r w:rsidRPr="00C337EB">
        <w:rPr>
          <w:b w:val="0"/>
        </w:rPr>
        <w:t xml:space="preserve"> runs: purple bars are from run 1 (samples 1-20); yellow bars are from run 2 (samples 21-69). This figure shows all sequenced samples before and after enrichment (128 total); the cut-off for insufficient sequencing depth (&lt; 5000 ASV counts) is indicated by a dashed line.</w:t>
      </w:r>
    </w:p>
    <w:p w14:paraId="194DCCF4" w14:textId="77777777" w:rsidR="00C337EB" w:rsidRPr="00E74C07" w:rsidRDefault="00C337EB" w:rsidP="00C337EB"/>
    <w:p w14:paraId="58BC73D2" w14:textId="77777777" w:rsidR="00C337EB" w:rsidRPr="00E74C07" w:rsidRDefault="00C337EB" w:rsidP="00C337EB"/>
    <w:p w14:paraId="50B42E8F" w14:textId="77777777" w:rsidR="00C337EB" w:rsidRDefault="00C337EB" w:rsidP="00C337EB">
      <w:pPr>
        <w:jc w:val="center"/>
      </w:pPr>
      <w:bookmarkStart w:id="3" w:name="_Hlk31718786"/>
      <w:r>
        <w:rPr>
          <w:noProof/>
        </w:rPr>
        <w:lastRenderedPageBreak/>
        <w:drawing>
          <wp:inline distT="0" distB="0" distL="0" distR="0" wp14:anchorId="00873DB8" wp14:editId="4CEB5819">
            <wp:extent cx="5238750" cy="60651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7050" cy="6074793"/>
                    </a:xfrm>
                    <a:prstGeom prst="rect">
                      <a:avLst/>
                    </a:prstGeom>
                  </pic:spPr>
                </pic:pic>
              </a:graphicData>
            </a:graphic>
          </wp:inline>
        </w:drawing>
      </w:r>
    </w:p>
    <w:p w14:paraId="2B6AF3AD" w14:textId="77777777" w:rsidR="00C337EB" w:rsidRPr="00C337EB" w:rsidRDefault="00C337EB" w:rsidP="00C337EB">
      <w:pPr>
        <w:pStyle w:val="Caption"/>
        <w:rPr>
          <w:b w:val="0"/>
        </w:rPr>
      </w:pPr>
      <w:bookmarkStart w:id="4" w:name="_Ref25741381"/>
      <w:r>
        <w:t xml:space="preserve">Supplementary figure </w:t>
      </w:r>
      <w:r>
        <w:rPr>
          <w:noProof/>
        </w:rPr>
        <w:t>2</w:t>
      </w:r>
      <w:bookmarkEnd w:id="4"/>
      <w:r>
        <w:t>.</w:t>
      </w:r>
      <w:r w:rsidRPr="00C337EB">
        <w:rPr>
          <w:b w:val="0"/>
        </w:rPr>
        <w:t xml:space="preserve"> Phylogeny and ASV (amplicon sequence variant) </w:t>
      </w:r>
      <w:proofErr w:type="gramStart"/>
      <w:r w:rsidRPr="00C337EB">
        <w:rPr>
          <w:b w:val="0"/>
        </w:rPr>
        <w:t>counts</w:t>
      </w:r>
      <w:proofErr w:type="gramEnd"/>
      <w:r w:rsidRPr="00C337EB">
        <w:rPr>
          <w:b w:val="0"/>
        </w:rPr>
        <w:t xml:space="preserve"> in positive controls used in metabarcoding of rhizospheric soil. In </w:t>
      </w:r>
      <w:r w:rsidRPr="00C337EB">
        <w:t>A</w:t>
      </w:r>
      <w:r w:rsidRPr="00C337EB">
        <w:rPr>
          <w:b w:val="0"/>
        </w:rPr>
        <w:t xml:space="preserve">, </w:t>
      </w:r>
      <w:proofErr w:type="spellStart"/>
      <w:r w:rsidRPr="00C337EB">
        <w:rPr>
          <w:b w:val="0"/>
        </w:rPr>
        <w:t>Neighbour</w:t>
      </w:r>
      <w:proofErr w:type="spellEnd"/>
      <w:r w:rsidRPr="00C337EB">
        <w:rPr>
          <w:b w:val="0"/>
        </w:rPr>
        <w:t xml:space="preserve"> joining tree of ASVs identified in the positive controls that indicate presence and relative abundance of the ASV per positive control by </w:t>
      </w:r>
      <w:proofErr w:type="spellStart"/>
      <w:r w:rsidRPr="00C337EB">
        <w:rPr>
          <w:b w:val="0"/>
        </w:rPr>
        <w:t>colour</w:t>
      </w:r>
      <w:proofErr w:type="spellEnd"/>
      <w:r w:rsidRPr="00C337EB">
        <w:rPr>
          <w:b w:val="0"/>
        </w:rPr>
        <w:t xml:space="preserve">, and the </w:t>
      </w:r>
      <w:proofErr w:type="spellStart"/>
      <w:r w:rsidRPr="00C337EB">
        <w:rPr>
          <w:b w:val="0"/>
        </w:rPr>
        <w:t>Miseq</w:t>
      </w:r>
      <w:proofErr w:type="spellEnd"/>
      <w:r w:rsidRPr="00C337EB">
        <w:rPr>
          <w:b w:val="0"/>
        </w:rPr>
        <w:t xml:space="preserve"> run the positive control was processed in by shape. The tree, represents a subsection of the </w:t>
      </w:r>
      <w:proofErr w:type="spellStart"/>
      <w:r w:rsidRPr="00C337EB">
        <w:rPr>
          <w:b w:val="0"/>
        </w:rPr>
        <w:t>Neighbour</w:t>
      </w:r>
      <w:proofErr w:type="spellEnd"/>
      <w:r w:rsidRPr="00C337EB">
        <w:rPr>
          <w:b w:val="0"/>
        </w:rPr>
        <w:t xml:space="preserve"> Joining tree fitted with a GTR+G+I model of all ASVs, rooted in the leaf with the longest path (the root is not in this subsection). In </w:t>
      </w:r>
      <w:r w:rsidRPr="00C337EB">
        <w:t>B</w:t>
      </w:r>
      <w:r w:rsidRPr="00C337EB">
        <w:rPr>
          <w:b w:val="0"/>
        </w:rPr>
        <w:t xml:space="preserve"> and </w:t>
      </w:r>
      <w:r w:rsidRPr="00C337EB">
        <w:t>C</w:t>
      </w:r>
      <w:r w:rsidRPr="00C337EB">
        <w:rPr>
          <w:b w:val="0"/>
        </w:rPr>
        <w:t>, the absolute and relative abundance of the ASVs in the positive controls are shown respectively. Each bar represents one positive control, each containing the same mixture of</w:t>
      </w:r>
      <w:r>
        <w:t xml:space="preserve"> </w:t>
      </w:r>
      <w:r w:rsidRPr="00C337EB">
        <w:rPr>
          <w:b w:val="0"/>
        </w:rPr>
        <w:t>DNA from different species with segments of each bar representing one ASV. Pos1-1 to Pos1-5 were run with samples 21-69 and Pos2-1 to 2-5 were run with samples 1-20.</w:t>
      </w:r>
    </w:p>
    <w:p w14:paraId="4112F184" w14:textId="77777777" w:rsidR="00C337EB" w:rsidRPr="00B77046" w:rsidRDefault="00C337EB" w:rsidP="00C337EB"/>
    <w:p w14:paraId="5D405774" w14:textId="30D00266" w:rsidR="005D2A40" w:rsidRDefault="005D2A40" w:rsidP="005D2A40">
      <w:pPr>
        <w:pStyle w:val="Caption"/>
      </w:pPr>
      <w:bookmarkStart w:id="5" w:name="_Ref25058833"/>
      <w:r>
        <w:rPr>
          <w:noProof/>
        </w:rPr>
        <w:lastRenderedPageBreak/>
        <w:drawing>
          <wp:inline distT="0" distB="0" distL="0" distR="0" wp14:anchorId="62F09B8D" wp14:editId="2A699D9B">
            <wp:extent cx="6202680" cy="51739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2680" cy="5173980"/>
                    </a:xfrm>
                    <a:prstGeom prst="rect">
                      <a:avLst/>
                    </a:prstGeom>
                    <a:noFill/>
                    <a:ln>
                      <a:noFill/>
                    </a:ln>
                  </pic:spPr>
                </pic:pic>
              </a:graphicData>
            </a:graphic>
          </wp:inline>
        </w:drawing>
      </w:r>
    </w:p>
    <w:p w14:paraId="4EC093B1" w14:textId="2AB78399" w:rsidR="005D2A40" w:rsidRPr="001739FF" w:rsidRDefault="005D2A40" w:rsidP="005D2A40">
      <w:pPr>
        <w:pStyle w:val="Caption"/>
      </w:pPr>
      <w:r>
        <w:t xml:space="preserve">Supplementary figure </w:t>
      </w:r>
      <w:bookmarkEnd w:id="5"/>
      <w:r>
        <w:rPr>
          <w:noProof/>
        </w:rPr>
        <w:t>3</w:t>
      </w:r>
      <w:r>
        <w:t xml:space="preserve">. </w:t>
      </w:r>
      <w:r w:rsidRPr="00C61B43">
        <w:rPr>
          <w:b w:val="0"/>
        </w:rPr>
        <w:t xml:space="preserve">Overview of the most abundant organisms in rhizospheric soil samples detected by oomycete ITS metabarcoding. Relative abundance of ASVs belonging to the five most abundant taxonomic classes (A) and the 10 most abundant genera (B) before (left) and after enrichment (right). Within a column, one segment represents a single ASV, color coded by taxonomic class/genus. In B, </w:t>
      </w:r>
      <w:r w:rsidRPr="00C61B43">
        <w:rPr>
          <w:b w:val="0"/>
          <w:i/>
        </w:rPr>
        <w:t>Globisporangium</w:t>
      </w:r>
      <w:r w:rsidRPr="00C61B43">
        <w:rPr>
          <w:b w:val="0"/>
        </w:rPr>
        <w:t xml:space="preserve">, </w:t>
      </w:r>
      <w:r w:rsidRPr="00C61B43">
        <w:rPr>
          <w:b w:val="0"/>
          <w:i/>
        </w:rPr>
        <w:t xml:space="preserve">Pythium </w:t>
      </w:r>
      <w:r w:rsidRPr="00C61B43">
        <w:rPr>
          <w:b w:val="0"/>
        </w:rPr>
        <w:t xml:space="preserve">and </w:t>
      </w:r>
      <w:r w:rsidRPr="00C61B43">
        <w:rPr>
          <w:b w:val="0"/>
          <w:i/>
        </w:rPr>
        <w:t>Phytophthora</w:t>
      </w:r>
      <w:r w:rsidRPr="00C61B43">
        <w:rPr>
          <w:b w:val="0"/>
        </w:rPr>
        <w:t xml:space="preserve"> are highlighted in </w:t>
      </w:r>
      <w:proofErr w:type="spellStart"/>
      <w:r w:rsidRPr="00C61B43">
        <w:rPr>
          <w:b w:val="0"/>
        </w:rPr>
        <w:t>bordeaux</w:t>
      </w:r>
      <w:proofErr w:type="spellEnd"/>
      <w:r w:rsidRPr="00C61B43">
        <w:rPr>
          <w:b w:val="0"/>
        </w:rPr>
        <w:t xml:space="preserve">, red and orange respectively, while </w:t>
      </w:r>
      <w:r w:rsidRPr="00C61B43">
        <w:rPr>
          <w:b w:val="0"/>
          <w:i/>
        </w:rPr>
        <w:t>Aphanomyces</w:t>
      </w:r>
      <w:r w:rsidRPr="00C61B43">
        <w:rPr>
          <w:b w:val="0"/>
        </w:rPr>
        <w:t xml:space="preserve"> and </w:t>
      </w:r>
      <w:proofErr w:type="spellStart"/>
      <w:r w:rsidRPr="00C61B43">
        <w:rPr>
          <w:b w:val="0"/>
          <w:i/>
        </w:rPr>
        <w:t>Phytiogeton</w:t>
      </w:r>
      <w:proofErr w:type="spellEnd"/>
      <w:r w:rsidRPr="00C61B43">
        <w:rPr>
          <w:b w:val="0"/>
        </w:rPr>
        <w:t xml:space="preserve"> are colored in shades of purple/dark blue.</w:t>
      </w:r>
    </w:p>
    <w:p w14:paraId="0EC81B3D" w14:textId="77777777" w:rsidR="00C337EB" w:rsidRPr="00973A04" w:rsidRDefault="00C337EB" w:rsidP="00C337EB"/>
    <w:p w14:paraId="5F098173" w14:textId="77777777" w:rsidR="005D2A40" w:rsidRDefault="005D2A40">
      <w:pPr>
        <w:spacing w:before="0" w:after="200" w:line="276" w:lineRule="auto"/>
      </w:pPr>
      <w:r>
        <w:br w:type="page"/>
      </w:r>
    </w:p>
    <w:p w14:paraId="2DC9B52C" w14:textId="0BB94E9D" w:rsidR="00C337EB" w:rsidRDefault="00C337EB" w:rsidP="00D33973">
      <w:pPr>
        <w:jc w:val="center"/>
      </w:pPr>
      <w:r>
        <w:rPr>
          <w:noProof/>
        </w:rPr>
        <w:lastRenderedPageBreak/>
        <w:drawing>
          <wp:inline distT="0" distB="0" distL="0" distR="0" wp14:anchorId="3836CFE3" wp14:editId="29D1FCED">
            <wp:extent cx="5754185" cy="328929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4185" cy="3289299"/>
                    </a:xfrm>
                    <a:prstGeom prst="rect">
                      <a:avLst/>
                    </a:prstGeom>
                  </pic:spPr>
                </pic:pic>
              </a:graphicData>
            </a:graphic>
          </wp:inline>
        </w:drawing>
      </w:r>
    </w:p>
    <w:p w14:paraId="2E3833CD" w14:textId="22E5CA17" w:rsidR="00C337EB" w:rsidRDefault="00C337EB" w:rsidP="00C337EB">
      <w:pPr>
        <w:pStyle w:val="Caption"/>
      </w:pPr>
      <w:bookmarkStart w:id="6" w:name="_Ref25676418"/>
      <w:r w:rsidRPr="00191BFB">
        <w:t>Supplementary figure</w:t>
      </w:r>
      <w:r>
        <w:t xml:space="preserve"> </w:t>
      </w:r>
      <w:bookmarkEnd w:id="6"/>
      <w:r w:rsidR="005D2A40">
        <w:rPr>
          <w:noProof/>
        </w:rPr>
        <w:t>4</w:t>
      </w:r>
      <w:r>
        <w:t xml:space="preserve">. </w:t>
      </w:r>
      <w:r w:rsidRPr="00C337EB">
        <w:rPr>
          <w:b w:val="0"/>
        </w:rPr>
        <w:t xml:space="preserve">Absolute abundance of reads belonging to plant-pathogenic (PP) oomycetes according to the FUNGuild classification and Chrysophyceae in samples before and after enrichment. </w:t>
      </w:r>
      <w:r w:rsidRPr="00C337EB">
        <w:t>A</w:t>
      </w:r>
      <w:r w:rsidRPr="00C337EB">
        <w:rPr>
          <w:b w:val="0"/>
        </w:rPr>
        <w:t xml:space="preserve"> The absolute abundance of PP per sample in red, ranked from the sample with the highest to the lowest relative abundance of PP before enrichment in the upper graph and after enrichment in the lower graph.</w:t>
      </w:r>
      <w:r w:rsidRPr="00C337EB">
        <w:t xml:space="preserve"> B</w:t>
      </w:r>
      <w:r w:rsidRPr="00C337EB">
        <w:rPr>
          <w:b w:val="0"/>
        </w:rPr>
        <w:t xml:space="preserve"> The ranked absolute abundance of Chrysophyceae (yellow) before enrichment (top) and after enrichment (bottom). The mean number of reads belonging to the different taxonomic classes is indicated in each graph.</w:t>
      </w:r>
    </w:p>
    <w:p w14:paraId="3D27F8A5" w14:textId="77777777" w:rsidR="00C337EB" w:rsidRPr="00204BD5" w:rsidRDefault="00C337EB" w:rsidP="00C337EB"/>
    <w:p w14:paraId="417A9C1F" w14:textId="77777777" w:rsidR="00C337EB" w:rsidRPr="006034E9" w:rsidRDefault="00C337EB" w:rsidP="00C337EB"/>
    <w:bookmarkEnd w:id="3"/>
    <w:p w14:paraId="7B65BC41" w14:textId="57F2683B" w:rsidR="00D33973" w:rsidRDefault="00D33973">
      <w:pPr>
        <w:spacing w:before="0" w:after="200" w:line="276" w:lineRule="auto"/>
      </w:pPr>
      <w:r>
        <w:br w:type="page"/>
      </w:r>
    </w:p>
    <w:p w14:paraId="09958138" w14:textId="21C2F788" w:rsidR="00DE23E8" w:rsidRDefault="00D33973" w:rsidP="00D33973">
      <w:pPr>
        <w:pStyle w:val="Heading1"/>
      </w:pPr>
      <w:r>
        <w:lastRenderedPageBreak/>
        <w:t>Supplementary tables</w:t>
      </w:r>
    </w:p>
    <w:p w14:paraId="1D124653" w14:textId="2BF54FAF" w:rsidR="0096194B" w:rsidRDefault="0096194B" w:rsidP="0096194B">
      <w:pPr>
        <w:pStyle w:val="Caption"/>
      </w:pPr>
      <w:r>
        <w:t xml:space="preserve">Supplementary table </w:t>
      </w:r>
      <w:r>
        <w:rPr>
          <w:noProof/>
        </w:rPr>
        <w:t>1</w:t>
      </w:r>
      <w:r>
        <w:t xml:space="preserve">. </w:t>
      </w:r>
      <w:r w:rsidRPr="0096194B">
        <w:rPr>
          <w:b w:val="0"/>
        </w:rPr>
        <w:t>Overview of all rhizospheric soil samples, whether they yielded DNA and sufficient PCR amplicons for sequencing, the read counts through the processing and associated metadata. The metadata for each numbered soil sample includes the countries from which the samples were imported, which plant species the soil was imported with and processing notes when samples were discarded. Sheet 2 contains information on the species used as positive controls and whether they were found in sequencing.</w:t>
      </w:r>
    </w:p>
    <w:p w14:paraId="61209F43" w14:textId="3AC94460" w:rsidR="0096194B" w:rsidRDefault="0096194B" w:rsidP="0096194B">
      <w:r>
        <w:t>[</w:t>
      </w:r>
      <w:r w:rsidRPr="00B642D4">
        <w:rPr>
          <w:b/>
        </w:rPr>
        <w:t>Provided in separate xlsx file</w:t>
      </w:r>
      <w:r>
        <w:t>]</w:t>
      </w:r>
    </w:p>
    <w:p w14:paraId="5650DA16" w14:textId="77777777" w:rsidR="00064E8B" w:rsidRDefault="00064E8B" w:rsidP="0096194B"/>
    <w:p w14:paraId="32900487" w14:textId="447DCEEA" w:rsidR="00064E8B" w:rsidRPr="00356907" w:rsidRDefault="00064E8B" w:rsidP="00064E8B">
      <w:r w:rsidRPr="00064E8B">
        <w:rPr>
          <w:b/>
        </w:rPr>
        <w:t xml:space="preserve">Supplementary table </w:t>
      </w:r>
      <w:r w:rsidRPr="00064E8B">
        <w:rPr>
          <w:b/>
          <w:noProof/>
        </w:rPr>
        <w:t>2</w:t>
      </w:r>
      <w:r w:rsidRPr="00064E8B">
        <w:rPr>
          <w:b/>
        </w:rPr>
        <w:t>.</w:t>
      </w:r>
      <w:r w:rsidRPr="00356907">
        <w:t xml:space="preserve"> PCR amplification primers for DNA barcoding and metabarcoding</w:t>
      </w:r>
      <w:r>
        <w:t xml:space="preserve"> targeting the ITS region</w:t>
      </w:r>
      <w:r w:rsidRPr="00356907">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2129"/>
        <w:gridCol w:w="3923"/>
        <w:gridCol w:w="2029"/>
      </w:tblGrid>
      <w:tr w:rsidR="00064E8B" w:rsidRPr="00B37FC4" w14:paraId="037B4198" w14:textId="77777777" w:rsidTr="008C7479">
        <w:trPr>
          <w:trHeight w:val="397"/>
        </w:trPr>
        <w:tc>
          <w:tcPr>
            <w:tcW w:w="0" w:type="auto"/>
            <w:tcBorders>
              <w:bottom w:val="single" w:sz="4" w:space="0" w:color="auto"/>
            </w:tcBorders>
          </w:tcPr>
          <w:p w14:paraId="5A0A7A1F" w14:textId="77777777" w:rsidR="00064E8B" w:rsidRPr="00B37FC4" w:rsidRDefault="00064E8B" w:rsidP="008C7479">
            <w:r w:rsidRPr="00B37FC4">
              <w:t>Name</w:t>
            </w:r>
          </w:p>
        </w:tc>
        <w:tc>
          <w:tcPr>
            <w:tcW w:w="0" w:type="auto"/>
            <w:tcBorders>
              <w:bottom w:val="single" w:sz="4" w:space="0" w:color="auto"/>
            </w:tcBorders>
          </w:tcPr>
          <w:p w14:paraId="5EFBD140" w14:textId="77777777" w:rsidR="00064E8B" w:rsidRPr="00B37FC4" w:rsidRDefault="00064E8B" w:rsidP="008C7479">
            <w:r w:rsidRPr="00B37FC4">
              <w:t>Function</w:t>
            </w:r>
          </w:p>
        </w:tc>
        <w:tc>
          <w:tcPr>
            <w:tcW w:w="0" w:type="auto"/>
            <w:tcBorders>
              <w:bottom w:val="single" w:sz="4" w:space="0" w:color="auto"/>
            </w:tcBorders>
          </w:tcPr>
          <w:p w14:paraId="7D9763DB" w14:textId="77777777" w:rsidR="00064E8B" w:rsidRPr="00B37FC4" w:rsidRDefault="00064E8B" w:rsidP="008C7479">
            <w:r w:rsidRPr="00B37FC4">
              <w:t>Sequence (5’-3’)</w:t>
            </w:r>
          </w:p>
        </w:tc>
        <w:tc>
          <w:tcPr>
            <w:tcW w:w="0" w:type="auto"/>
            <w:tcBorders>
              <w:bottom w:val="single" w:sz="4" w:space="0" w:color="auto"/>
            </w:tcBorders>
          </w:tcPr>
          <w:p w14:paraId="33DEC012" w14:textId="77777777" w:rsidR="00064E8B" w:rsidRPr="00B37FC4" w:rsidRDefault="00064E8B" w:rsidP="008C7479">
            <w:r w:rsidRPr="00B37FC4">
              <w:t>Source</w:t>
            </w:r>
          </w:p>
        </w:tc>
      </w:tr>
      <w:tr w:rsidR="00064E8B" w:rsidRPr="00B37FC4" w14:paraId="74014446" w14:textId="77777777" w:rsidTr="008C7479">
        <w:trPr>
          <w:trHeight w:val="397"/>
        </w:trPr>
        <w:tc>
          <w:tcPr>
            <w:tcW w:w="0" w:type="auto"/>
            <w:tcBorders>
              <w:top w:val="single" w:sz="4" w:space="0" w:color="auto"/>
            </w:tcBorders>
          </w:tcPr>
          <w:p w14:paraId="2A900989" w14:textId="77777777" w:rsidR="00064E8B" w:rsidRPr="00B37FC4" w:rsidRDefault="00064E8B" w:rsidP="008C7479">
            <w:r w:rsidRPr="00B37FC4">
              <w:t>ITS5</w:t>
            </w:r>
          </w:p>
        </w:tc>
        <w:tc>
          <w:tcPr>
            <w:tcW w:w="0" w:type="auto"/>
            <w:tcBorders>
              <w:top w:val="single" w:sz="4" w:space="0" w:color="auto"/>
            </w:tcBorders>
          </w:tcPr>
          <w:p w14:paraId="72CA91C7" w14:textId="77777777" w:rsidR="00064E8B" w:rsidRPr="00B37FC4" w:rsidRDefault="00064E8B" w:rsidP="008C7479">
            <w:proofErr w:type="spellStart"/>
            <w:r w:rsidRPr="00B37FC4">
              <w:t>Fwd</w:t>
            </w:r>
            <w:proofErr w:type="spellEnd"/>
            <w:r w:rsidRPr="00B37FC4">
              <w:t xml:space="preserve"> barcoding</w:t>
            </w:r>
          </w:p>
        </w:tc>
        <w:tc>
          <w:tcPr>
            <w:tcW w:w="0" w:type="auto"/>
            <w:tcBorders>
              <w:top w:val="single" w:sz="4" w:space="0" w:color="auto"/>
            </w:tcBorders>
          </w:tcPr>
          <w:p w14:paraId="6047644B" w14:textId="77777777" w:rsidR="00064E8B" w:rsidRPr="00B37FC4" w:rsidRDefault="00064E8B" w:rsidP="008C7479">
            <w:r w:rsidRPr="00B37FC4">
              <w:t>TCCTCCGCTTATTGATATGC</w:t>
            </w:r>
          </w:p>
        </w:tc>
        <w:tc>
          <w:tcPr>
            <w:tcW w:w="0" w:type="auto"/>
            <w:tcBorders>
              <w:top w:val="single" w:sz="4" w:space="0" w:color="auto"/>
            </w:tcBorders>
          </w:tcPr>
          <w:p w14:paraId="2DDF8BC1" w14:textId="77777777" w:rsidR="00064E8B" w:rsidRPr="00B37FC4" w:rsidRDefault="00064E8B" w:rsidP="008C7479">
            <w:r w:rsidRPr="00B37FC4">
              <w:rPr>
                <w:noProof/>
              </w:rPr>
              <w:t>White et al. (1990)</w:t>
            </w:r>
          </w:p>
        </w:tc>
      </w:tr>
      <w:tr w:rsidR="00064E8B" w:rsidRPr="00B37FC4" w14:paraId="68FE5AD4" w14:textId="77777777" w:rsidTr="008C7479">
        <w:trPr>
          <w:trHeight w:val="397"/>
        </w:trPr>
        <w:tc>
          <w:tcPr>
            <w:tcW w:w="0" w:type="auto"/>
          </w:tcPr>
          <w:p w14:paraId="6FA53779" w14:textId="77777777" w:rsidR="00064E8B" w:rsidRPr="00B37FC4" w:rsidRDefault="00064E8B" w:rsidP="008C7479">
            <w:r w:rsidRPr="002335AC">
              <w:t>ITS4</w:t>
            </w:r>
          </w:p>
        </w:tc>
        <w:tc>
          <w:tcPr>
            <w:tcW w:w="0" w:type="auto"/>
          </w:tcPr>
          <w:p w14:paraId="304E1B83" w14:textId="77777777" w:rsidR="00064E8B" w:rsidRPr="00B37FC4" w:rsidRDefault="00064E8B" w:rsidP="008C7479">
            <w:r w:rsidRPr="002335AC">
              <w:t>Rev barcoding</w:t>
            </w:r>
          </w:p>
        </w:tc>
        <w:tc>
          <w:tcPr>
            <w:tcW w:w="0" w:type="auto"/>
          </w:tcPr>
          <w:p w14:paraId="3F82427D" w14:textId="77777777" w:rsidR="00064E8B" w:rsidRPr="00B37FC4" w:rsidRDefault="00064E8B" w:rsidP="008C7479">
            <w:r w:rsidRPr="002335AC">
              <w:t>GGAAGTAAAAGTCGTAACAAGG</w:t>
            </w:r>
          </w:p>
        </w:tc>
        <w:tc>
          <w:tcPr>
            <w:tcW w:w="0" w:type="auto"/>
          </w:tcPr>
          <w:p w14:paraId="033D7D58" w14:textId="77777777" w:rsidR="00064E8B" w:rsidRPr="00B37FC4" w:rsidRDefault="00064E8B" w:rsidP="008C7479">
            <w:r w:rsidRPr="00B37FC4">
              <w:rPr>
                <w:noProof/>
              </w:rPr>
              <w:t>White et al. (1990)</w:t>
            </w:r>
          </w:p>
        </w:tc>
      </w:tr>
      <w:tr w:rsidR="00064E8B" w:rsidRPr="00B37FC4" w14:paraId="7B5C5AC8" w14:textId="77777777" w:rsidTr="008C7479">
        <w:trPr>
          <w:trHeight w:val="397"/>
        </w:trPr>
        <w:tc>
          <w:tcPr>
            <w:tcW w:w="0" w:type="auto"/>
          </w:tcPr>
          <w:p w14:paraId="00EF6A43" w14:textId="77777777" w:rsidR="00064E8B" w:rsidRPr="00B37FC4" w:rsidRDefault="00064E8B" w:rsidP="008C7479">
            <w:r w:rsidRPr="00B37FC4">
              <w:t>ITS1-O</w:t>
            </w:r>
          </w:p>
        </w:tc>
        <w:tc>
          <w:tcPr>
            <w:tcW w:w="0" w:type="auto"/>
          </w:tcPr>
          <w:p w14:paraId="7BCC3E63" w14:textId="77777777" w:rsidR="00064E8B" w:rsidRPr="00B37FC4" w:rsidRDefault="00064E8B" w:rsidP="008C7479">
            <w:proofErr w:type="spellStart"/>
            <w:r w:rsidRPr="00B37FC4">
              <w:t>Fwd</w:t>
            </w:r>
            <w:proofErr w:type="spellEnd"/>
            <w:r w:rsidRPr="00B37FC4">
              <w:t xml:space="preserve"> metabarcoding</w:t>
            </w:r>
          </w:p>
        </w:tc>
        <w:tc>
          <w:tcPr>
            <w:tcW w:w="0" w:type="auto"/>
          </w:tcPr>
          <w:p w14:paraId="6582690E" w14:textId="77777777" w:rsidR="00064E8B" w:rsidRPr="00B37FC4" w:rsidRDefault="00064E8B" w:rsidP="008C7479">
            <w:r w:rsidRPr="00B37FC4">
              <w:t>CGGAAGGATCATTACCAC</w:t>
            </w:r>
          </w:p>
        </w:tc>
        <w:tc>
          <w:tcPr>
            <w:tcW w:w="0" w:type="auto"/>
          </w:tcPr>
          <w:p w14:paraId="570524A9" w14:textId="77777777" w:rsidR="00064E8B" w:rsidRPr="00B37FC4" w:rsidRDefault="00064E8B" w:rsidP="008C7479">
            <w:r w:rsidRPr="00B37FC4">
              <w:rPr>
                <w:noProof/>
              </w:rPr>
              <w:t>Agler et al. (2016)</w:t>
            </w:r>
          </w:p>
        </w:tc>
      </w:tr>
      <w:tr w:rsidR="00064E8B" w:rsidRPr="00B37FC4" w14:paraId="57F7D8D9" w14:textId="77777777" w:rsidTr="008C7479">
        <w:trPr>
          <w:trHeight w:val="397"/>
        </w:trPr>
        <w:tc>
          <w:tcPr>
            <w:tcW w:w="0" w:type="auto"/>
          </w:tcPr>
          <w:p w14:paraId="2113A05F" w14:textId="77777777" w:rsidR="00064E8B" w:rsidRPr="00B37FC4" w:rsidRDefault="00064E8B" w:rsidP="008C7479">
            <w:r w:rsidRPr="00B37FC4">
              <w:t>5.8s-O-Rev</w:t>
            </w:r>
          </w:p>
        </w:tc>
        <w:tc>
          <w:tcPr>
            <w:tcW w:w="0" w:type="auto"/>
          </w:tcPr>
          <w:p w14:paraId="08FC1DC7" w14:textId="77777777" w:rsidR="00064E8B" w:rsidRPr="00B37FC4" w:rsidRDefault="00064E8B" w:rsidP="008C7479">
            <w:r w:rsidRPr="00B37FC4">
              <w:t>Rev metabarcoding</w:t>
            </w:r>
          </w:p>
        </w:tc>
        <w:tc>
          <w:tcPr>
            <w:tcW w:w="0" w:type="auto"/>
          </w:tcPr>
          <w:p w14:paraId="4B0F16C9" w14:textId="77777777" w:rsidR="00064E8B" w:rsidRPr="00B37FC4" w:rsidRDefault="00064E8B" w:rsidP="008C7479">
            <w:r w:rsidRPr="00B37FC4">
              <w:t>AGCCTAGACATCCACTGCTG</w:t>
            </w:r>
          </w:p>
        </w:tc>
        <w:tc>
          <w:tcPr>
            <w:tcW w:w="0" w:type="auto"/>
          </w:tcPr>
          <w:p w14:paraId="1CE9FF67" w14:textId="77777777" w:rsidR="00064E8B" w:rsidRPr="00B37FC4" w:rsidRDefault="00064E8B" w:rsidP="008C7479">
            <w:r w:rsidRPr="00B37FC4">
              <w:rPr>
                <w:noProof/>
              </w:rPr>
              <w:t>Agler et al. (2016)</w:t>
            </w:r>
          </w:p>
        </w:tc>
      </w:tr>
    </w:tbl>
    <w:p w14:paraId="7190BC93" w14:textId="77777777" w:rsidR="00064E8B" w:rsidRDefault="00064E8B" w:rsidP="0096194B">
      <w:pPr>
        <w:pStyle w:val="Caption"/>
      </w:pPr>
      <w:bookmarkStart w:id="7" w:name="_Ref45619508"/>
    </w:p>
    <w:p w14:paraId="56190962" w14:textId="70200E2B" w:rsidR="0096194B" w:rsidRDefault="0096194B" w:rsidP="0096194B">
      <w:pPr>
        <w:pStyle w:val="Caption"/>
      </w:pPr>
      <w:r w:rsidRPr="00375B95">
        <w:t>Supplementary table</w:t>
      </w:r>
      <w:r>
        <w:t xml:space="preserve"> </w:t>
      </w:r>
      <w:bookmarkEnd w:id="7"/>
      <w:r w:rsidR="00064E8B">
        <w:rPr>
          <w:noProof/>
        </w:rPr>
        <w:t>3</w:t>
      </w:r>
      <w:r>
        <w:t xml:space="preserve">. </w:t>
      </w:r>
      <w:r w:rsidRPr="0096194B">
        <w:rPr>
          <w:b w:val="0"/>
        </w:rPr>
        <w:t>Occurrence of ASVs in the samples and their full taxonomy. For each ASV, the ASV count is given for all samples. The taxonomy derived from local BLAST against the NCBI nt database is provided on seven taxonomic levels (where available): Kingdom, Phylum, Class, Order, Family, Genus, Species.</w:t>
      </w:r>
    </w:p>
    <w:p w14:paraId="1989E0A7" w14:textId="77777777" w:rsidR="0096194B" w:rsidRPr="00B642D4" w:rsidRDefault="0096194B" w:rsidP="0096194B">
      <w:r>
        <w:t>[</w:t>
      </w:r>
      <w:r w:rsidRPr="00B642D4">
        <w:rPr>
          <w:b/>
        </w:rPr>
        <w:t>Provided in separate xlsx file</w:t>
      </w:r>
      <w:r>
        <w:t>]</w:t>
      </w:r>
    </w:p>
    <w:p w14:paraId="71E7439B" w14:textId="77777777" w:rsidR="00064E8B" w:rsidRDefault="0096194B" w:rsidP="0096194B">
      <w:pPr>
        <w:pStyle w:val="Caption"/>
      </w:pPr>
      <w:r>
        <w:br/>
      </w:r>
    </w:p>
    <w:p w14:paraId="7F7A45B6" w14:textId="77777777" w:rsidR="00064E8B" w:rsidRDefault="00064E8B">
      <w:pPr>
        <w:spacing w:before="0" w:after="200" w:line="276" w:lineRule="auto"/>
        <w:rPr>
          <w:rFonts w:cs="Times New Roman"/>
          <w:b/>
          <w:bCs/>
          <w:szCs w:val="24"/>
        </w:rPr>
      </w:pPr>
      <w:r>
        <w:br w:type="page"/>
      </w:r>
    </w:p>
    <w:p w14:paraId="08969408" w14:textId="777B32E1" w:rsidR="0096194B" w:rsidRDefault="0096194B" w:rsidP="0096194B">
      <w:pPr>
        <w:pStyle w:val="Caption"/>
      </w:pPr>
      <w:r>
        <w:lastRenderedPageBreak/>
        <w:t xml:space="preserve">Supplementary table </w:t>
      </w:r>
      <w:r w:rsidR="00064E8B">
        <w:rPr>
          <w:noProof/>
        </w:rPr>
        <w:t>4</w:t>
      </w:r>
      <w:r>
        <w:t xml:space="preserve">. </w:t>
      </w:r>
      <w:r w:rsidRPr="0096194B">
        <w:rPr>
          <w:b w:val="0"/>
        </w:rPr>
        <w:t xml:space="preserve">Results of the pairwise t-tests performed for the classes shown in Figure </w:t>
      </w:r>
      <w:r w:rsidRPr="0096194B">
        <w:rPr>
          <w:b w:val="0"/>
          <w:noProof/>
        </w:rPr>
        <w:t>3</w:t>
      </w:r>
      <w:r w:rsidRPr="0096194B">
        <w:rPr>
          <w:b w:val="0"/>
        </w:rPr>
        <w:t xml:space="preserve">. For each class/group of classes, the mean relative abundance before and after enrichment are compared. Full R code used for the analysis can be found in Supplementary Material </w:t>
      </w:r>
      <w:r w:rsidRPr="0096194B">
        <w:rPr>
          <w:b w:val="0"/>
          <w:noProof/>
        </w:rPr>
        <w:t>3</w:t>
      </w:r>
      <w:r w:rsidRPr="0096194B">
        <w:rPr>
          <w:b w:val="0"/>
        </w:rPr>
        <w:t>.</w:t>
      </w:r>
    </w:p>
    <w:tbl>
      <w:tblPr>
        <w:tblStyle w:val="TableGridLight"/>
        <w:tblW w:w="9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1943"/>
        <w:gridCol w:w="1810"/>
        <w:gridCol w:w="470"/>
        <w:gridCol w:w="470"/>
        <w:gridCol w:w="996"/>
        <w:gridCol w:w="970"/>
      </w:tblGrid>
      <w:tr w:rsidR="0096194B" w:rsidRPr="007A6743" w14:paraId="120FAE3D" w14:textId="77777777" w:rsidTr="00CC49F9">
        <w:trPr>
          <w:trHeight w:val="20"/>
        </w:trPr>
        <w:tc>
          <w:tcPr>
            <w:tcW w:w="0" w:type="auto"/>
            <w:tcBorders>
              <w:bottom w:val="single" w:sz="12" w:space="0" w:color="auto"/>
            </w:tcBorders>
            <w:hideMark/>
          </w:tcPr>
          <w:p w14:paraId="13B9AD15" w14:textId="77777777" w:rsidR="0096194B" w:rsidRPr="00F43ACB" w:rsidRDefault="0096194B" w:rsidP="00CC49F9">
            <w:pPr>
              <w:rPr>
                <w:b/>
                <w:bCs/>
                <w:lang w:eastAsia="en-GB"/>
              </w:rPr>
            </w:pPr>
            <w:bookmarkStart w:id="8" w:name="_Hlk35589760"/>
            <w:r w:rsidRPr="00F43ACB">
              <w:rPr>
                <w:b/>
                <w:bCs/>
                <w:lang w:eastAsia="en-GB"/>
              </w:rPr>
              <w:t>Genera from</w:t>
            </w:r>
          </w:p>
          <w:p w14:paraId="5531BE9E" w14:textId="77777777" w:rsidR="0096194B" w:rsidRPr="00F43ACB" w:rsidRDefault="0096194B" w:rsidP="00CC49F9">
            <w:pPr>
              <w:rPr>
                <w:b/>
                <w:bCs/>
                <w:color w:val="999999"/>
                <w:lang w:eastAsia="en-GB"/>
              </w:rPr>
            </w:pPr>
          </w:p>
        </w:tc>
        <w:tc>
          <w:tcPr>
            <w:tcW w:w="0" w:type="auto"/>
            <w:tcBorders>
              <w:bottom w:val="single" w:sz="12" w:space="0" w:color="auto"/>
            </w:tcBorders>
            <w:hideMark/>
          </w:tcPr>
          <w:p w14:paraId="706A91E1" w14:textId="77777777" w:rsidR="0096194B" w:rsidRPr="00F43ACB" w:rsidRDefault="0096194B" w:rsidP="00CC49F9">
            <w:pPr>
              <w:rPr>
                <w:b/>
                <w:bCs/>
                <w:lang w:eastAsia="en-GB"/>
              </w:rPr>
            </w:pPr>
            <w:r w:rsidRPr="00F43ACB">
              <w:rPr>
                <w:b/>
                <w:bCs/>
                <w:lang w:eastAsia="en-GB"/>
              </w:rPr>
              <w:t>group1</w:t>
            </w:r>
          </w:p>
          <w:p w14:paraId="436B66D0" w14:textId="77777777" w:rsidR="0096194B" w:rsidRPr="00F43ACB" w:rsidRDefault="0096194B" w:rsidP="00CC49F9">
            <w:pPr>
              <w:rPr>
                <w:b/>
                <w:bCs/>
                <w:color w:val="999999"/>
                <w:lang w:eastAsia="en-GB"/>
              </w:rPr>
            </w:pPr>
          </w:p>
        </w:tc>
        <w:tc>
          <w:tcPr>
            <w:tcW w:w="0" w:type="auto"/>
            <w:tcBorders>
              <w:bottom w:val="single" w:sz="12" w:space="0" w:color="auto"/>
            </w:tcBorders>
            <w:hideMark/>
          </w:tcPr>
          <w:p w14:paraId="0A541FFE" w14:textId="77777777" w:rsidR="0096194B" w:rsidRPr="00F43ACB" w:rsidRDefault="0096194B" w:rsidP="00CC49F9">
            <w:pPr>
              <w:rPr>
                <w:b/>
                <w:bCs/>
                <w:lang w:eastAsia="en-GB"/>
              </w:rPr>
            </w:pPr>
            <w:r w:rsidRPr="00F43ACB">
              <w:rPr>
                <w:b/>
                <w:bCs/>
                <w:lang w:eastAsia="en-GB"/>
              </w:rPr>
              <w:t>group2</w:t>
            </w:r>
          </w:p>
          <w:p w14:paraId="585C125D" w14:textId="77777777" w:rsidR="0096194B" w:rsidRPr="00F43ACB" w:rsidRDefault="0096194B" w:rsidP="00CC49F9">
            <w:pPr>
              <w:rPr>
                <w:b/>
                <w:bCs/>
                <w:color w:val="999999"/>
                <w:lang w:eastAsia="en-GB"/>
              </w:rPr>
            </w:pPr>
          </w:p>
        </w:tc>
        <w:tc>
          <w:tcPr>
            <w:tcW w:w="0" w:type="auto"/>
            <w:tcBorders>
              <w:bottom w:val="single" w:sz="12" w:space="0" w:color="auto"/>
            </w:tcBorders>
            <w:hideMark/>
          </w:tcPr>
          <w:p w14:paraId="5F395160" w14:textId="77777777" w:rsidR="0096194B" w:rsidRPr="00F43ACB" w:rsidRDefault="0096194B" w:rsidP="00CC49F9">
            <w:pPr>
              <w:rPr>
                <w:b/>
                <w:bCs/>
                <w:lang w:eastAsia="en-GB"/>
              </w:rPr>
            </w:pPr>
            <w:r w:rsidRPr="00F43ACB">
              <w:rPr>
                <w:b/>
                <w:bCs/>
                <w:lang w:eastAsia="en-GB"/>
              </w:rPr>
              <w:t>n1</w:t>
            </w:r>
          </w:p>
          <w:p w14:paraId="34F3B6AD" w14:textId="77777777" w:rsidR="0096194B" w:rsidRPr="00F43ACB" w:rsidRDefault="0096194B" w:rsidP="00CC49F9">
            <w:pPr>
              <w:rPr>
                <w:b/>
                <w:bCs/>
                <w:color w:val="999999"/>
                <w:lang w:eastAsia="en-GB"/>
              </w:rPr>
            </w:pPr>
          </w:p>
        </w:tc>
        <w:tc>
          <w:tcPr>
            <w:tcW w:w="0" w:type="auto"/>
            <w:tcBorders>
              <w:bottom w:val="single" w:sz="12" w:space="0" w:color="auto"/>
            </w:tcBorders>
            <w:hideMark/>
          </w:tcPr>
          <w:p w14:paraId="04B3ECC8" w14:textId="77777777" w:rsidR="0096194B" w:rsidRPr="00F43ACB" w:rsidRDefault="0096194B" w:rsidP="00CC49F9">
            <w:pPr>
              <w:rPr>
                <w:b/>
                <w:bCs/>
                <w:color w:val="999999"/>
                <w:lang w:eastAsia="en-GB"/>
              </w:rPr>
            </w:pPr>
            <w:r w:rsidRPr="00F43ACB">
              <w:rPr>
                <w:b/>
                <w:bCs/>
                <w:lang w:eastAsia="en-GB"/>
              </w:rPr>
              <w:t>n2</w:t>
            </w:r>
          </w:p>
        </w:tc>
        <w:tc>
          <w:tcPr>
            <w:tcW w:w="0" w:type="auto"/>
            <w:tcBorders>
              <w:bottom w:val="single" w:sz="12" w:space="0" w:color="auto"/>
            </w:tcBorders>
            <w:hideMark/>
          </w:tcPr>
          <w:p w14:paraId="058F77A5" w14:textId="77777777" w:rsidR="0096194B" w:rsidRPr="00F43ACB" w:rsidRDefault="0096194B" w:rsidP="00CC49F9">
            <w:pPr>
              <w:rPr>
                <w:b/>
                <w:bCs/>
                <w:lang w:eastAsia="en-GB"/>
              </w:rPr>
            </w:pPr>
            <w:r w:rsidRPr="00F43ACB">
              <w:rPr>
                <w:b/>
                <w:bCs/>
                <w:lang w:eastAsia="en-GB"/>
              </w:rPr>
              <w:t>p</w:t>
            </w:r>
          </w:p>
          <w:p w14:paraId="6BEDB740" w14:textId="77777777" w:rsidR="0096194B" w:rsidRPr="00F43ACB" w:rsidRDefault="0096194B" w:rsidP="00CC49F9">
            <w:pPr>
              <w:rPr>
                <w:b/>
                <w:bCs/>
                <w:color w:val="999999"/>
                <w:lang w:eastAsia="en-GB"/>
              </w:rPr>
            </w:pPr>
          </w:p>
        </w:tc>
        <w:tc>
          <w:tcPr>
            <w:tcW w:w="0" w:type="auto"/>
            <w:tcBorders>
              <w:bottom w:val="single" w:sz="12" w:space="0" w:color="auto"/>
            </w:tcBorders>
            <w:hideMark/>
          </w:tcPr>
          <w:p w14:paraId="199C08F0" w14:textId="77777777" w:rsidR="0096194B" w:rsidRPr="00F43ACB" w:rsidRDefault="0096194B" w:rsidP="00CC49F9">
            <w:pPr>
              <w:rPr>
                <w:b/>
                <w:bCs/>
                <w:lang w:eastAsia="en-GB"/>
              </w:rPr>
            </w:pPr>
            <w:proofErr w:type="spellStart"/>
            <w:proofErr w:type="gramStart"/>
            <w:r w:rsidRPr="00F43ACB">
              <w:rPr>
                <w:b/>
                <w:bCs/>
                <w:lang w:eastAsia="en-GB"/>
              </w:rPr>
              <w:t>p.signif</w:t>
            </w:r>
            <w:proofErr w:type="spellEnd"/>
            <w:proofErr w:type="gramEnd"/>
          </w:p>
        </w:tc>
      </w:tr>
      <w:tr w:rsidR="0096194B" w:rsidRPr="007A6743" w14:paraId="4EA009D8" w14:textId="77777777" w:rsidTr="00CC49F9">
        <w:trPr>
          <w:trHeight w:val="20"/>
        </w:trPr>
        <w:tc>
          <w:tcPr>
            <w:tcW w:w="0" w:type="auto"/>
            <w:tcBorders>
              <w:top w:val="single" w:sz="12" w:space="0" w:color="auto"/>
            </w:tcBorders>
            <w:hideMark/>
          </w:tcPr>
          <w:p w14:paraId="7E9C25D6" w14:textId="77777777" w:rsidR="0096194B" w:rsidRPr="007A6743" w:rsidRDefault="0096194B" w:rsidP="00CC49F9">
            <w:pPr>
              <w:rPr>
                <w:lang w:eastAsia="en-GB"/>
              </w:rPr>
            </w:pPr>
            <w:r w:rsidRPr="007A6743">
              <w:rPr>
                <w:lang w:eastAsia="en-GB"/>
              </w:rPr>
              <w:t>P</w:t>
            </w:r>
            <w:r>
              <w:rPr>
                <w:lang w:eastAsia="en-GB"/>
              </w:rPr>
              <w:t>lant pathogenic oomycetes</w:t>
            </w:r>
          </w:p>
        </w:tc>
        <w:tc>
          <w:tcPr>
            <w:tcW w:w="0" w:type="auto"/>
            <w:tcBorders>
              <w:top w:val="single" w:sz="12" w:space="0" w:color="auto"/>
            </w:tcBorders>
            <w:hideMark/>
          </w:tcPr>
          <w:p w14:paraId="47646E1D" w14:textId="77777777" w:rsidR="0096194B" w:rsidRPr="007A6743" w:rsidRDefault="0096194B" w:rsidP="00CC49F9">
            <w:pPr>
              <w:rPr>
                <w:lang w:eastAsia="en-GB"/>
              </w:rPr>
            </w:pPr>
            <w:r w:rsidRPr="007A6743">
              <w:rPr>
                <w:lang w:eastAsia="en-GB"/>
              </w:rPr>
              <w:t>Before enrichment</w:t>
            </w:r>
          </w:p>
        </w:tc>
        <w:tc>
          <w:tcPr>
            <w:tcW w:w="0" w:type="auto"/>
            <w:tcBorders>
              <w:top w:val="single" w:sz="12" w:space="0" w:color="auto"/>
            </w:tcBorders>
            <w:hideMark/>
          </w:tcPr>
          <w:p w14:paraId="72E1339C" w14:textId="77777777" w:rsidR="0096194B" w:rsidRPr="007A6743" w:rsidRDefault="0096194B" w:rsidP="00CC49F9">
            <w:pPr>
              <w:rPr>
                <w:lang w:eastAsia="en-GB"/>
              </w:rPr>
            </w:pPr>
            <w:r>
              <w:rPr>
                <w:lang w:eastAsia="en-GB"/>
              </w:rPr>
              <w:t>After enrichment</w:t>
            </w:r>
          </w:p>
        </w:tc>
        <w:tc>
          <w:tcPr>
            <w:tcW w:w="0" w:type="auto"/>
            <w:tcBorders>
              <w:top w:val="single" w:sz="12" w:space="0" w:color="auto"/>
            </w:tcBorders>
            <w:hideMark/>
          </w:tcPr>
          <w:p w14:paraId="4485E926" w14:textId="77777777" w:rsidR="0096194B" w:rsidRPr="007A6743" w:rsidRDefault="0096194B" w:rsidP="00CC49F9">
            <w:pPr>
              <w:rPr>
                <w:lang w:eastAsia="en-GB"/>
              </w:rPr>
            </w:pPr>
            <w:r w:rsidRPr="007A6743">
              <w:rPr>
                <w:lang w:eastAsia="en-GB"/>
              </w:rPr>
              <w:t>60</w:t>
            </w:r>
          </w:p>
        </w:tc>
        <w:tc>
          <w:tcPr>
            <w:tcW w:w="0" w:type="auto"/>
            <w:tcBorders>
              <w:top w:val="single" w:sz="12" w:space="0" w:color="auto"/>
            </w:tcBorders>
            <w:hideMark/>
          </w:tcPr>
          <w:p w14:paraId="604E2BD9" w14:textId="77777777" w:rsidR="0096194B" w:rsidRPr="007A6743" w:rsidRDefault="0096194B" w:rsidP="00CC49F9">
            <w:pPr>
              <w:rPr>
                <w:lang w:eastAsia="en-GB"/>
              </w:rPr>
            </w:pPr>
            <w:r w:rsidRPr="007A6743">
              <w:rPr>
                <w:lang w:eastAsia="en-GB"/>
              </w:rPr>
              <w:t>62</w:t>
            </w:r>
          </w:p>
        </w:tc>
        <w:tc>
          <w:tcPr>
            <w:tcW w:w="0" w:type="auto"/>
            <w:tcBorders>
              <w:top w:val="single" w:sz="12" w:space="0" w:color="auto"/>
            </w:tcBorders>
            <w:hideMark/>
          </w:tcPr>
          <w:p w14:paraId="31F503E4" w14:textId="77777777" w:rsidR="0096194B" w:rsidRPr="007A6743" w:rsidRDefault="0096194B" w:rsidP="00CC49F9">
            <w:pPr>
              <w:rPr>
                <w:lang w:eastAsia="en-GB"/>
              </w:rPr>
            </w:pPr>
            <w:r w:rsidRPr="007A6743">
              <w:rPr>
                <w:lang w:eastAsia="en-GB"/>
              </w:rPr>
              <w:t>0.0</w:t>
            </w:r>
            <w:r>
              <w:rPr>
                <w:lang w:eastAsia="en-GB"/>
              </w:rPr>
              <w:t>3050</w:t>
            </w:r>
          </w:p>
        </w:tc>
        <w:tc>
          <w:tcPr>
            <w:tcW w:w="0" w:type="auto"/>
            <w:tcBorders>
              <w:top w:val="single" w:sz="12" w:space="0" w:color="auto"/>
            </w:tcBorders>
            <w:hideMark/>
          </w:tcPr>
          <w:p w14:paraId="1FA3166D" w14:textId="77777777" w:rsidR="0096194B" w:rsidRPr="007A6743" w:rsidRDefault="0096194B" w:rsidP="00CC49F9">
            <w:pPr>
              <w:rPr>
                <w:lang w:eastAsia="en-GB"/>
              </w:rPr>
            </w:pPr>
            <w:r w:rsidRPr="007A6743">
              <w:rPr>
                <w:lang w:eastAsia="en-GB"/>
              </w:rPr>
              <w:t>*</w:t>
            </w:r>
          </w:p>
        </w:tc>
      </w:tr>
      <w:tr w:rsidR="0096194B" w:rsidRPr="007A6743" w14:paraId="3F7BFBB5" w14:textId="77777777" w:rsidTr="00CC49F9">
        <w:trPr>
          <w:trHeight w:val="20"/>
        </w:trPr>
        <w:tc>
          <w:tcPr>
            <w:tcW w:w="0" w:type="auto"/>
            <w:hideMark/>
          </w:tcPr>
          <w:p w14:paraId="6CA690C9" w14:textId="77777777" w:rsidR="0096194B" w:rsidRPr="007A6743" w:rsidRDefault="0096194B" w:rsidP="00CC49F9">
            <w:pPr>
              <w:rPr>
                <w:lang w:eastAsia="en-GB"/>
              </w:rPr>
            </w:pPr>
            <w:r w:rsidRPr="007A6743">
              <w:rPr>
                <w:lang w:eastAsia="en-GB"/>
              </w:rPr>
              <w:t>Chrysophyceae</w:t>
            </w:r>
          </w:p>
        </w:tc>
        <w:tc>
          <w:tcPr>
            <w:tcW w:w="0" w:type="auto"/>
            <w:hideMark/>
          </w:tcPr>
          <w:p w14:paraId="4D0D6FBF" w14:textId="77777777" w:rsidR="0096194B" w:rsidRPr="007A6743" w:rsidRDefault="0096194B" w:rsidP="00CC49F9">
            <w:pPr>
              <w:rPr>
                <w:lang w:eastAsia="en-GB"/>
              </w:rPr>
            </w:pPr>
            <w:r w:rsidRPr="007A6743">
              <w:rPr>
                <w:lang w:eastAsia="en-GB"/>
              </w:rPr>
              <w:t>Before enrichment</w:t>
            </w:r>
          </w:p>
        </w:tc>
        <w:tc>
          <w:tcPr>
            <w:tcW w:w="0" w:type="auto"/>
            <w:hideMark/>
          </w:tcPr>
          <w:p w14:paraId="1784CEA0" w14:textId="77777777" w:rsidR="0096194B" w:rsidRPr="007A6743" w:rsidRDefault="0096194B" w:rsidP="00CC49F9">
            <w:pPr>
              <w:rPr>
                <w:lang w:eastAsia="en-GB"/>
              </w:rPr>
            </w:pPr>
            <w:r>
              <w:rPr>
                <w:lang w:eastAsia="en-GB"/>
              </w:rPr>
              <w:t>After enrichment</w:t>
            </w:r>
          </w:p>
        </w:tc>
        <w:tc>
          <w:tcPr>
            <w:tcW w:w="0" w:type="auto"/>
            <w:hideMark/>
          </w:tcPr>
          <w:p w14:paraId="5CF79A9A" w14:textId="77777777" w:rsidR="0096194B" w:rsidRPr="007A6743" w:rsidRDefault="0096194B" w:rsidP="00CC49F9">
            <w:pPr>
              <w:rPr>
                <w:lang w:eastAsia="en-GB"/>
              </w:rPr>
            </w:pPr>
            <w:r w:rsidRPr="007A6743">
              <w:rPr>
                <w:lang w:eastAsia="en-GB"/>
              </w:rPr>
              <w:t>60</w:t>
            </w:r>
          </w:p>
        </w:tc>
        <w:tc>
          <w:tcPr>
            <w:tcW w:w="0" w:type="auto"/>
            <w:hideMark/>
          </w:tcPr>
          <w:p w14:paraId="21F2F4EB" w14:textId="77777777" w:rsidR="0096194B" w:rsidRPr="007A6743" w:rsidRDefault="0096194B" w:rsidP="00CC49F9">
            <w:pPr>
              <w:rPr>
                <w:lang w:eastAsia="en-GB"/>
              </w:rPr>
            </w:pPr>
            <w:r w:rsidRPr="007A6743">
              <w:rPr>
                <w:lang w:eastAsia="en-GB"/>
              </w:rPr>
              <w:t>62</w:t>
            </w:r>
          </w:p>
        </w:tc>
        <w:tc>
          <w:tcPr>
            <w:tcW w:w="0" w:type="auto"/>
            <w:hideMark/>
          </w:tcPr>
          <w:p w14:paraId="00AA8F3A" w14:textId="77777777" w:rsidR="0096194B" w:rsidRPr="007A6743" w:rsidRDefault="0096194B" w:rsidP="00CC49F9">
            <w:pPr>
              <w:rPr>
                <w:lang w:eastAsia="en-GB"/>
              </w:rPr>
            </w:pPr>
            <w:r w:rsidRPr="007A6743">
              <w:rPr>
                <w:lang w:eastAsia="en-GB"/>
              </w:rPr>
              <w:t>0.0</w:t>
            </w:r>
            <w:r>
              <w:rPr>
                <w:lang w:eastAsia="en-GB"/>
              </w:rPr>
              <w:t>0818</w:t>
            </w:r>
          </w:p>
        </w:tc>
        <w:tc>
          <w:tcPr>
            <w:tcW w:w="0" w:type="auto"/>
            <w:hideMark/>
          </w:tcPr>
          <w:p w14:paraId="2A454BDC" w14:textId="77777777" w:rsidR="0096194B" w:rsidRPr="007A6743" w:rsidRDefault="0096194B" w:rsidP="00CC49F9">
            <w:pPr>
              <w:rPr>
                <w:lang w:eastAsia="en-GB"/>
              </w:rPr>
            </w:pPr>
            <w:r w:rsidRPr="007A6743">
              <w:rPr>
                <w:lang w:eastAsia="en-GB"/>
              </w:rPr>
              <w:t>*</w:t>
            </w:r>
            <w:r>
              <w:rPr>
                <w:lang w:eastAsia="en-GB"/>
              </w:rPr>
              <w:t>*</w:t>
            </w:r>
          </w:p>
        </w:tc>
      </w:tr>
      <w:tr w:rsidR="0096194B" w:rsidRPr="007A6743" w14:paraId="4211CA0D" w14:textId="77777777" w:rsidTr="00CC49F9">
        <w:trPr>
          <w:trHeight w:val="20"/>
        </w:trPr>
        <w:tc>
          <w:tcPr>
            <w:tcW w:w="0" w:type="auto"/>
            <w:hideMark/>
          </w:tcPr>
          <w:p w14:paraId="12742A5B" w14:textId="77777777" w:rsidR="0096194B" w:rsidRPr="007A6743" w:rsidRDefault="0096194B" w:rsidP="00CC49F9">
            <w:pPr>
              <w:rPr>
                <w:lang w:eastAsia="en-GB"/>
              </w:rPr>
            </w:pPr>
            <w:r w:rsidRPr="007A6743">
              <w:rPr>
                <w:lang w:eastAsia="en-GB"/>
              </w:rPr>
              <w:t xml:space="preserve">Other </w:t>
            </w:r>
            <w:r>
              <w:rPr>
                <w:lang w:eastAsia="en-GB"/>
              </w:rPr>
              <w:t>o</w:t>
            </w:r>
            <w:r w:rsidRPr="007A6743">
              <w:rPr>
                <w:lang w:eastAsia="en-GB"/>
              </w:rPr>
              <w:t>omyc</w:t>
            </w:r>
            <w:r>
              <w:rPr>
                <w:lang w:eastAsia="en-GB"/>
              </w:rPr>
              <w:t>e</w:t>
            </w:r>
            <w:r w:rsidRPr="007A6743">
              <w:rPr>
                <w:lang w:eastAsia="en-GB"/>
              </w:rPr>
              <w:t>t</w:t>
            </w:r>
            <w:r>
              <w:rPr>
                <w:lang w:eastAsia="en-GB"/>
              </w:rPr>
              <w:t>es</w:t>
            </w:r>
          </w:p>
        </w:tc>
        <w:tc>
          <w:tcPr>
            <w:tcW w:w="0" w:type="auto"/>
            <w:hideMark/>
          </w:tcPr>
          <w:p w14:paraId="0D89ADE4" w14:textId="77777777" w:rsidR="0096194B" w:rsidRPr="007A6743" w:rsidRDefault="0096194B" w:rsidP="00CC49F9">
            <w:pPr>
              <w:rPr>
                <w:lang w:eastAsia="en-GB"/>
              </w:rPr>
            </w:pPr>
            <w:r w:rsidRPr="007A6743">
              <w:rPr>
                <w:lang w:eastAsia="en-GB"/>
              </w:rPr>
              <w:t>Before enrichment</w:t>
            </w:r>
          </w:p>
        </w:tc>
        <w:tc>
          <w:tcPr>
            <w:tcW w:w="0" w:type="auto"/>
            <w:hideMark/>
          </w:tcPr>
          <w:p w14:paraId="75E0CC95" w14:textId="77777777" w:rsidR="0096194B" w:rsidRPr="007A6743" w:rsidRDefault="0096194B" w:rsidP="00CC49F9">
            <w:pPr>
              <w:rPr>
                <w:lang w:eastAsia="en-GB"/>
              </w:rPr>
            </w:pPr>
            <w:r>
              <w:rPr>
                <w:lang w:eastAsia="en-GB"/>
              </w:rPr>
              <w:t>After enrichment</w:t>
            </w:r>
          </w:p>
        </w:tc>
        <w:tc>
          <w:tcPr>
            <w:tcW w:w="0" w:type="auto"/>
            <w:hideMark/>
          </w:tcPr>
          <w:p w14:paraId="4C155847" w14:textId="77777777" w:rsidR="0096194B" w:rsidRPr="007A6743" w:rsidRDefault="0096194B" w:rsidP="00CC49F9">
            <w:pPr>
              <w:rPr>
                <w:lang w:eastAsia="en-GB"/>
              </w:rPr>
            </w:pPr>
            <w:r w:rsidRPr="007A6743">
              <w:rPr>
                <w:lang w:eastAsia="en-GB"/>
              </w:rPr>
              <w:t>60</w:t>
            </w:r>
          </w:p>
        </w:tc>
        <w:tc>
          <w:tcPr>
            <w:tcW w:w="0" w:type="auto"/>
            <w:hideMark/>
          </w:tcPr>
          <w:p w14:paraId="69E88836" w14:textId="77777777" w:rsidR="0096194B" w:rsidRPr="007A6743" w:rsidRDefault="0096194B" w:rsidP="00CC49F9">
            <w:pPr>
              <w:rPr>
                <w:lang w:eastAsia="en-GB"/>
              </w:rPr>
            </w:pPr>
            <w:r w:rsidRPr="007A6743">
              <w:rPr>
                <w:lang w:eastAsia="en-GB"/>
              </w:rPr>
              <w:t>62</w:t>
            </w:r>
          </w:p>
        </w:tc>
        <w:tc>
          <w:tcPr>
            <w:tcW w:w="0" w:type="auto"/>
            <w:hideMark/>
          </w:tcPr>
          <w:p w14:paraId="18BE7974" w14:textId="77777777" w:rsidR="0096194B" w:rsidRPr="007A6743" w:rsidRDefault="0096194B" w:rsidP="00CC49F9">
            <w:pPr>
              <w:rPr>
                <w:lang w:eastAsia="en-GB"/>
              </w:rPr>
            </w:pPr>
            <w:r w:rsidRPr="007A6743">
              <w:rPr>
                <w:lang w:eastAsia="en-GB"/>
              </w:rPr>
              <w:t>0.</w:t>
            </w:r>
            <w:r>
              <w:rPr>
                <w:lang w:eastAsia="en-GB"/>
              </w:rPr>
              <w:t>79300</w:t>
            </w:r>
          </w:p>
        </w:tc>
        <w:tc>
          <w:tcPr>
            <w:tcW w:w="0" w:type="auto"/>
            <w:hideMark/>
          </w:tcPr>
          <w:p w14:paraId="5E4617F4" w14:textId="77777777" w:rsidR="0096194B" w:rsidRPr="007A6743" w:rsidRDefault="0096194B" w:rsidP="00CC49F9">
            <w:pPr>
              <w:rPr>
                <w:lang w:eastAsia="en-GB"/>
              </w:rPr>
            </w:pPr>
            <w:r w:rsidRPr="007A6743">
              <w:rPr>
                <w:lang w:eastAsia="en-GB"/>
              </w:rPr>
              <w:t>ns</w:t>
            </w:r>
          </w:p>
        </w:tc>
      </w:tr>
      <w:tr w:rsidR="0096194B" w:rsidRPr="007A6743" w14:paraId="54BD8073" w14:textId="77777777" w:rsidTr="00CC49F9">
        <w:trPr>
          <w:trHeight w:val="20"/>
        </w:trPr>
        <w:tc>
          <w:tcPr>
            <w:tcW w:w="0" w:type="auto"/>
            <w:hideMark/>
          </w:tcPr>
          <w:p w14:paraId="3F812978" w14:textId="77777777" w:rsidR="0096194B" w:rsidRPr="007A6743" w:rsidRDefault="0096194B" w:rsidP="00CC49F9">
            <w:pPr>
              <w:rPr>
                <w:lang w:eastAsia="en-GB"/>
              </w:rPr>
            </w:pPr>
            <w:r w:rsidRPr="007A6743">
              <w:rPr>
                <w:lang w:eastAsia="en-GB"/>
              </w:rPr>
              <w:t>Other classes</w:t>
            </w:r>
          </w:p>
        </w:tc>
        <w:tc>
          <w:tcPr>
            <w:tcW w:w="0" w:type="auto"/>
            <w:hideMark/>
          </w:tcPr>
          <w:p w14:paraId="5920A4C7" w14:textId="77777777" w:rsidR="0096194B" w:rsidRPr="007A6743" w:rsidRDefault="0096194B" w:rsidP="00CC49F9">
            <w:pPr>
              <w:rPr>
                <w:lang w:eastAsia="en-GB"/>
              </w:rPr>
            </w:pPr>
            <w:r w:rsidRPr="007A6743">
              <w:rPr>
                <w:lang w:eastAsia="en-GB"/>
              </w:rPr>
              <w:t>Before enrichment</w:t>
            </w:r>
          </w:p>
        </w:tc>
        <w:tc>
          <w:tcPr>
            <w:tcW w:w="0" w:type="auto"/>
            <w:hideMark/>
          </w:tcPr>
          <w:p w14:paraId="545E4B5F" w14:textId="77777777" w:rsidR="0096194B" w:rsidRPr="007A6743" w:rsidRDefault="0096194B" w:rsidP="00CC49F9">
            <w:pPr>
              <w:rPr>
                <w:lang w:eastAsia="en-GB"/>
              </w:rPr>
            </w:pPr>
            <w:r>
              <w:rPr>
                <w:lang w:eastAsia="en-GB"/>
              </w:rPr>
              <w:t>After enrichment</w:t>
            </w:r>
          </w:p>
        </w:tc>
        <w:tc>
          <w:tcPr>
            <w:tcW w:w="0" w:type="auto"/>
            <w:hideMark/>
          </w:tcPr>
          <w:p w14:paraId="407E56A0" w14:textId="77777777" w:rsidR="0096194B" w:rsidRPr="007A6743" w:rsidRDefault="0096194B" w:rsidP="00CC49F9">
            <w:pPr>
              <w:rPr>
                <w:lang w:eastAsia="en-GB"/>
              </w:rPr>
            </w:pPr>
            <w:r w:rsidRPr="007A6743">
              <w:rPr>
                <w:lang w:eastAsia="en-GB"/>
              </w:rPr>
              <w:t>60</w:t>
            </w:r>
          </w:p>
        </w:tc>
        <w:tc>
          <w:tcPr>
            <w:tcW w:w="0" w:type="auto"/>
            <w:hideMark/>
          </w:tcPr>
          <w:p w14:paraId="49CE0D2B" w14:textId="77777777" w:rsidR="0096194B" w:rsidRPr="007A6743" w:rsidRDefault="0096194B" w:rsidP="00CC49F9">
            <w:pPr>
              <w:rPr>
                <w:lang w:eastAsia="en-GB"/>
              </w:rPr>
            </w:pPr>
            <w:r w:rsidRPr="007A6743">
              <w:rPr>
                <w:lang w:eastAsia="en-GB"/>
              </w:rPr>
              <w:t>62</w:t>
            </w:r>
          </w:p>
        </w:tc>
        <w:tc>
          <w:tcPr>
            <w:tcW w:w="0" w:type="auto"/>
            <w:hideMark/>
          </w:tcPr>
          <w:p w14:paraId="00DC0AAF" w14:textId="77777777" w:rsidR="0096194B" w:rsidRPr="007A6743" w:rsidRDefault="0096194B" w:rsidP="00CC49F9">
            <w:pPr>
              <w:rPr>
                <w:lang w:eastAsia="en-GB"/>
              </w:rPr>
            </w:pPr>
            <w:r w:rsidRPr="007A6743">
              <w:rPr>
                <w:lang w:eastAsia="en-GB"/>
              </w:rPr>
              <w:t>0.</w:t>
            </w:r>
            <w:r>
              <w:rPr>
                <w:lang w:eastAsia="en-GB"/>
              </w:rPr>
              <w:t>98300</w:t>
            </w:r>
          </w:p>
        </w:tc>
        <w:tc>
          <w:tcPr>
            <w:tcW w:w="0" w:type="auto"/>
            <w:hideMark/>
          </w:tcPr>
          <w:p w14:paraId="149289CF" w14:textId="77777777" w:rsidR="0096194B" w:rsidRPr="007A6743" w:rsidRDefault="0096194B" w:rsidP="00CC49F9">
            <w:pPr>
              <w:rPr>
                <w:lang w:eastAsia="en-GB"/>
              </w:rPr>
            </w:pPr>
            <w:r w:rsidRPr="007A6743">
              <w:rPr>
                <w:lang w:eastAsia="en-GB"/>
              </w:rPr>
              <w:t>ns</w:t>
            </w:r>
          </w:p>
        </w:tc>
      </w:tr>
      <w:bookmarkEnd w:id="8"/>
    </w:tbl>
    <w:p w14:paraId="4F9EE05E" w14:textId="77777777" w:rsidR="0096194B" w:rsidRPr="0096194B" w:rsidRDefault="0096194B" w:rsidP="0096194B"/>
    <w:sectPr w:rsidR="0096194B" w:rsidRPr="0096194B"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80F28" w14:textId="77777777" w:rsidR="000874C4" w:rsidRDefault="000874C4" w:rsidP="00117666">
      <w:pPr>
        <w:spacing w:after="0"/>
      </w:pPr>
      <w:r>
        <w:separator/>
      </w:r>
    </w:p>
  </w:endnote>
  <w:endnote w:type="continuationSeparator" w:id="0">
    <w:p w14:paraId="3C0D2EF4" w14:textId="77777777" w:rsidR="000874C4" w:rsidRDefault="000874C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AA858" w14:textId="77777777" w:rsidR="000874C4" w:rsidRDefault="000874C4" w:rsidP="00117666">
      <w:pPr>
        <w:spacing w:after="0"/>
      </w:pPr>
      <w:r>
        <w:separator/>
      </w:r>
    </w:p>
  </w:footnote>
  <w:footnote w:type="continuationSeparator" w:id="0">
    <w:p w14:paraId="532BD974" w14:textId="77777777" w:rsidR="000874C4" w:rsidRDefault="000874C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64E8B"/>
    <w:rsid w:val="00077D53"/>
    <w:rsid w:val="000874C4"/>
    <w:rsid w:val="00105FD9"/>
    <w:rsid w:val="00117666"/>
    <w:rsid w:val="001549D3"/>
    <w:rsid w:val="00160065"/>
    <w:rsid w:val="00177D84"/>
    <w:rsid w:val="001D6DC1"/>
    <w:rsid w:val="0026759F"/>
    <w:rsid w:val="00267D18"/>
    <w:rsid w:val="00274347"/>
    <w:rsid w:val="002868E2"/>
    <w:rsid w:val="002869C3"/>
    <w:rsid w:val="002936E4"/>
    <w:rsid w:val="002B4A57"/>
    <w:rsid w:val="002C74CA"/>
    <w:rsid w:val="003123F4"/>
    <w:rsid w:val="00316B64"/>
    <w:rsid w:val="003544FB"/>
    <w:rsid w:val="003D2F2D"/>
    <w:rsid w:val="00401590"/>
    <w:rsid w:val="00447801"/>
    <w:rsid w:val="00452E9C"/>
    <w:rsid w:val="004735C8"/>
    <w:rsid w:val="004947A6"/>
    <w:rsid w:val="004961FF"/>
    <w:rsid w:val="004A6BB3"/>
    <w:rsid w:val="00517A89"/>
    <w:rsid w:val="005250F2"/>
    <w:rsid w:val="00593EEA"/>
    <w:rsid w:val="005A5EEE"/>
    <w:rsid w:val="005D2A40"/>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194B"/>
    <w:rsid w:val="00964134"/>
    <w:rsid w:val="00970F7D"/>
    <w:rsid w:val="00976F8F"/>
    <w:rsid w:val="00994A3D"/>
    <w:rsid w:val="009C2B12"/>
    <w:rsid w:val="00A174D9"/>
    <w:rsid w:val="00AA4D24"/>
    <w:rsid w:val="00AB6715"/>
    <w:rsid w:val="00B0738E"/>
    <w:rsid w:val="00B1671E"/>
    <w:rsid w:val="00B25EB8"/>
    <w:rsid w:val="00B37F4D"/>
    <w:rsid w:val="00BF086C"/>
    <w:rsid w:val="00C337EB"/>
    <w:rsid w:val="00C52A7B"/>
    <w:rsid w:val="00C56BAF"/>
    <w:rsid w:val="00C679AA"/>
    <w:rsid w:val="00C75972"/>
    <w:rsid w:val="00CD066B"/>
    <w:rsid w:val="00CE4FEE"/>
    <w:rsid w:val="00D060CF"/>
    <w:rsid w:val="00D33973"/>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TableGridLight">
    <w:name w:val="Grid Table Light"/>
    <w:basedOn w:val="TableNormal"/>
    <w:uiPriority w:val="40"/>
    <w:rsid w:val="0096194B"/>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9BDDB4186B0F47ABD28770901F2D56" ma:contentTypeVersion="13" ma:contentTypeDescription="Create a new document." ma:contentTypeScope="" ma:versionID="2091161eceb6ed37f95af45eebb06c5d">
  <xsd:schema xmlns:xsd="http://www.w3.org/2001/XMLSchema" xmlns:xs="http://www.w3.org/2001/XMLSchema" xmlns:p="http://schemas.microsoft.com/office/2006/metadata/properties" xmlns:ns3="504a4678-91f9-4d95-8d1e-770fe6249ed3" xmlns:ns4="e942685e-b9f3-4505-839a-b96767e28ece" targetNamespace="http://schemas.microsoft.com/office/2006/metadata/properties" ma:root="true" ma:fieldsID="8b32807dfe727a57e986b940373505e2" ns3:_="" ns4:_="">
    <xsd:import namespace="504a4678-91f9-4d95-8d1e-770fe6249ed3"/>
    <xsd:import namespace="e942685e-b9f3-4505-839a-b96767e28e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4a4678-91f9-4d95-8d1e-770fe6249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42685e-b9f3-4505-839a-b96767e28e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0DA42B5-7A47-468E-A7B2-8930D5AF8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4a4678-91f9-4d95-8d1e-770fe6249ed3"/>
    <ds:schemaRef ds:uri="e942685e-b9f3-4505-839a-b96767e28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846AA4-D12A-4A01-B269-67F5E67A6A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045283-5577-4A35-BC1E-1905EDBA7A48}">
  <ds:schemaRefs>
    <ds:schemaRef ds:uri="http://schemas.microsoft.com/sharepoint/v3/contenttype/forms"/>
  </ds:schemaRefs>
</ds:datastoreItem>
</file>

<file path=customXml/itemProps4.xml><?xml version="1.0" encoding="utf-8"?>
<ds:datastoreItem xmlns:ds="http://schemas.openxmlformats.org/officeDocument/2006/customXml" ds:itemID="{BFD8FAC0-1F9B-4D7D-9FF1-C89C64EB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6</Pages>
  <Words>733</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Simeon Rossmann</cp:lastModifiedBy>
  <cp:revision>2</cp:revision>
  <cp:lastPrinted>2013-10-03T12:51:00Z</cp:lastPrinted>
  <dcterms:created xsi:type="dcterms:W3CDTF">2021-02-16T13:20:00Z</dcterms:created>
  <dcterms:modified xsi:type="dcterms:W3CDTF">2021-02-16T13:20:00Z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0x010100EE9BDDB4186B0F47ABD28770901F2D56</vt:lpwstr>
  </property>
</Properties>
</file>