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EC4EF" w14:textId="77777777" w:rsidR="00C70B2C" w:rsidRPr="00C70B2C" w:rsidRDefault="00C70B2C" w:rsidP="00C70B2C">
      <w:pPr>
        <w:pStyle w:val="Overskrift2"/>
        <w:rPr>
          <w:sz w:val="22"/>
          <w:szCs w:val="22"/>
          <w:lang w:val="en-US"/>
        </w:rPr>
      </w:pPr>
      <w:bookmarkStart w:id="0" w:name="_Toc468129563"/>
      <w:r w:rsidRPr="00C70B2C">
        <w:rPr>
          <w:sz w:val="22"/>
          <w:szCs w:val="22"/>
          <w:lang w:val="en-US"/>
        </w:rPr>
        <w:t>Inclusion criteria</w:t>
      </w:r>
      <w:bookmarkEnd w:id="0"/>
    </w:p>
    <w:p w14:paraId="13F5C138" w14:textId="77777777" w:rsidR="00C70B2C" w:rsidRPr="00C70B2C" w:rsidRDefault="00C70B2C" w:rsidP="00C70B2C">
      <w:pPr>
        <w:rPr>
          <w:sz w:val="20"/>
          <w:szCs w:val="18"/>
          <w:lang w:val="en-US"/>
        </w:rPr>
      </w:pPr>
      <w:r w:rsidRPr="00C70B2C">
        <w:rPr>
          <w:sz w:val="20"/>
          <w:szCs w:val="18"/>
          <w:lang w:val="en-US"/>
        </w:rPr>
        <w:t>The patients must fulfill the following criteria:</w:t>
      </w:r>
    </w:p>
    <w:p w14:paraId="56024441" w14:textId="1662C977" w:rsidR="00C70B2C" w:rsidRPr="00C70B2C" w:rsidRDefault="00C70B2C" w:rsidP="00C70B2C">
      <w:pPr>
        <w:pStyle w:val="Listeafsnit"/>
        <w:numPr>
          <w:ilvl w:val="0"/>
          <w:numId w:val="1"/>
        </w:numPr>
        <w:rPr>
          <w:sz w:val="20"/>
          <w:szCs w:val="18"/>
          <w:lang w:val="en-US"/>
        </w:rPr>
      </w:pPr>
      <w:r w:rsidRPr="00C70B2C">
        <w:rPr>
          <w:sz w:val="20"/>
          <w:szCs w:val="18"/>
          <w:lang w:val="en-US"/>
        </w:rPr>
        <w:t xml:space="preserve">Diagnosis of essential thrombocythemia, post essential thrombocythemia myelofibrosis, </w:t>
      </w:r>
      <w:proofErr w:type="spellStart"/>
      <w:r w:rsidRPr="00C70B2C">
        <w:rPr>
          <w:sz w:val="20"/>
          <w:szCs w:val="18"/>
          <w:lang w:val="en-US"/>
        </w:rPr>
        <w:t>prefibrotic</w:t>
      </w:r>
      <w:proofErr w:type="spellEnd"/>
      <w:r w:rsidRPr="00C70B2C">
        <w:rPr>
          <w:sz w:val="20"/>
          <w:szCs w:val="18"/>
          <w:lang w:val="en-US"/>
        </w:rPr>
        <w:t xml:space="preserve"> myelofibrosis or primary myelofibrosis according to the WHO criteria</w:t>
      </w:r>
      <w:r>
        <w:rPr>
          <w:sz w:val="20"/>
          <w:szCs w:val="18"/>
          <w:lang w:val="en-US"/>
        </w:rPr>
        <w:t>.</w:t>
      </w:r>
    </w:p>
    <w:p w14:paraId="30015352" w14:textId="77777777" w:rsidR="00C70B2C" w:rsidRPr="00C70B2C" w:rsidRDefault="00C70B2C" w:rsidP="00C70B2C">
      <w:pPr>
        <w:pStyle w:val="Listeafsnit"/>
        <w:numPr>
          <w:ilvl w:val="0"/>
          <w:numId w:val="1"/>
        </w:numPr>
        <w:rPr>
          <w:sz w:val="20"/>
          <w:szCs w:val="18"/>
          <w:lang w:val="en-US"/>
        </w:rPr>
      </w:pPr>
      <w:r w:rsidRPr="00C70B2C">
        <w:rPr>
          <w:sz w:val="20"/>
          <w:szCs w:val="18"/>
          <w:lang w:val="en-US"/>
        </w:rPr>
        <w:t xml:space="preserve">Verified mutation in </w:t>
      </w:r>
      <w:r w:rsidRPr="00C70B2C">
        <w:rPr>
          <w:i/>
          <w:sz w:val="20"/>
          <w:szCs w:val="18"/>
          <w:lang w:val="en-US"/>
        </w:rPr>
        <w:t xml:space="preserve">CALR </w:t>
      </w:r>
      <w:r w:rsidRPr="00C70B2C">
        <w:rPr>
          <w:sz w:val="20"/>
          <w:szCs w:val="18"/>
          <w:lang w:val="en-US"/>
        </w:rPr>
        <w:t>exon 9.</w:t>
      </w:r>
    </w:p>
    <w:p w14:paraId="3DE6453C" w14:textId="77777777" w:rsidR="00C70B2C" w:rsidRPr="00C70B2C" w:rsidRDefault="00C70B2C" w:rsidP="00C70B2C">
      <w:pPr>
        <w:pStyle w:val="Listeafsnit"/>
        <w:numPr>
          <w:ilvl w:val="0"/>
          <w:numId w:val="1"/>
        </w:numPr>
        <w:rPr>
          <w:sz w:val="20"/>
          <w:szCs w:val="18"/>
          <w:lang w:val="en-US"/>
        </w:rPr>
      </w:pPr>
      <w:r w:rsidRPr="00C70B2C">
        <w:rPr>
          <w:sz w:val="20"/>
          <w:szCs w:val="18"/>
          <w:lang w:val="en-US"/>
        </w:rPr>
        <w:t xml:space="preserve">Age </w:t>
      </w:r>
      <w:r w:rsidRPr="00C70B2C">
        <w:rPr>
          <w:rFonts w:cstheme="minorHAnsi"/>
          <w:sz w:val="20"/>
          <w:szCs w:val="18"/>
          <w:lang w:val="en-US"/>
        </w:rPr>
        <w:t>≥</w:t>
      </w:r>
      <w:r w:rsidRPr="00C70B2C">
        <w:rPr>
          <w:sz w:val="20"/>
          <w:szCs w:val="18"/>
          <w:lang w:val="en-US"/>
        </w:rPr>
        <w:t>18 years</w:t>
      </w:r>
    </w:p>
    <w:p w14:paraId="45FADD79" w14:textId="77777777" w:rsidR="00C70B2C" w:rsidRPr="00C70B2C" w:rsidRDefault="00C70B2C" w:rsidP="00C70B2C">
      <w:pPr>
        <w:pStyle w:val="Listeafsnit"/>
        <w:numPr>
          <w:ilvl w:val="0"/>
          <w:numId w:val="1"/>
        </w:numPr>
        <w:rPr>
          <w:sz w:val="20"/>
          <w:szCs w:val="18"/>
          <w:lang w:val="en-US"/>
        </w:rPr>
      </w:pPr>
      <w:r w:rsidRPr="00C70B2C">
        <w:rPr>
          <w:sz w:val="20"/>
          <w:szCs w:val="18"/>
          <w:lang w:val="en-US"/>
        </w:rPr>
        <w:t xml:space="preserve">Performance status </w:t>
      </w:r>
      <w:r w:rsidRPr="00C70B2C">
        <w:rPr>
          <w:rFonts w:cstheme="minorHAnsi"/>
          <w:sz w:val="20"/>
          <w:szCs w:val="18"/>
          <w:lang w:val="en-US"/>
        </w:rPr>
        <w:t>≤</w:t>
      </w:r>
      <w:r w:rsidRPr="00C70B2C">
        <w:rPr>
          <w:sz w:val="20"/>
          <w:szCs w:val="18"/>
          <w:lang w:val="en-US"/>
        </w:rPr>
        <w:t xml:space="preserve"> 2 (ECOG-scale)</w:t>
      </w:r>
    </w:p>
    <w:p w14:paraId="440F3A28" w14:textId="77777777" w:rsidR="00C70B2C" w:rsidRPr="00C70B2C" w:rsidRDefault="00C70B2C" w:rsidP="00C70B2C">
      <w:pPr>
        <w:pStyle w:val="Listeafsnit"/>
        <w:numPr>
          <w:ilvl w:val="0"/>
          <w:numId w:val="1"/>
        </w:numPr>
        <w:rPr>
          <w:sz w:val="20"/>
          <w:szCs w:val="18"/>
          <w:lang w:val="en-US"/>
        </w:rPr>
      </w:pPr>
      <w:r w:rsidRPr="00C70B2C">
        <w:rPr>
          <w:sz w:val="20"/>
          <w:szCs w:val="18"/>
          <w:lang w:val="en-US"/>
        </w:rPr>
        <w:t>Expected survival &gt; 3 months</w:t>
      </w:r>
    </w:p>
    <w:p w14:paraId="1736EA26" w14:textId="77777777" w:rsidR="00C70B2C" w:rsidRPr="00C70B2C" w:rsidRDefault="00C70B2C" w:rsidP="00C70B2C">
      <w:pPr>
        <w:pStyle w:val="Listeafsnit"/>
        <w:numPr>
          <w:ilvl w:val="0"/>
          <w:numId w:val="1"/>
        </w:numPr>
        <w:rPr>
          <w:sz w:val="20"/>
          <w:szCs w:val="18"/>
          <w:lang w:val="en-US"/>
        </w:rPr>
      </w:pPr>
      <w:r w:rsidRPr="00C70B2C">
        <w:rPr>
          <w:sz w:val="20"/>
          <w:szCs w:val="18"/>
          <w:lang w:val="en-US"/>
        </w:rPr>
        <w:t>Sufficient bone marrow function, i.e.</w:t>
      </w:r>
    </w:p>
    <w:p w14:paraId="30C17093" w14:textId="77777777" w:rsidR="00C70B2C" w:rsidRPr="00C70B2C" w:rsidRDefault="00C70B2C" w:rsidP="00C70B2C">
      <w:pPr>
        <w:pStyle w:val="Listeafsnit"/>
        <w:numPr>
          <w:ilvl w:val="1"/>
          <w:numId w:val="1"/>
        </w:numPr>
        <w:rPr>
          <w:sz w:val="20"/>
          <w:szCs w:val="18"/>
          <w:lang w:val="en-US"/>
        </w:rPr>
      </w:pPr>
      <w:r w:rsidRPr="00C70B2C">
        <w:rPr>
          <w:sz w:val="20"/>
          <w:szCs w:val="18"/>
          <w:lang w:val="en-US"/>
        </w:rPr>
        <w:t xml:space="preserve">Leucocytes </w:t>
      </w:r>
      <w:r w:rsidRPr="00C70B2C">
        <w:rPr>
          <w:rFonts w:cstheme="minorHAnsi"/>
          <w:sz w:val="20"/>
          <w:szCs w:val="18"/>
          <w:lang w:val="en-US"/>
        </w:rPr>
        <w:t>≥</w:t>
      </w:r>
      <w:r w:rsidRPr="00C70B2C">
        <w:rPr>
          <w:sz w:val="20"/>
          <w:szCs w:val="18"/>
          <w:lang w:val="en-US"/>
        </w:rPr>
        <w:t xml:space="preserve"> 1,5 x 10</w:t>
      </w:r>
      <w:r w:rsidRPr="00C70B2C">
        <w:rPr>
          <w:sz w:val="20"/>
          <w:szCs w:val="18"/>
          <w:vertAlign w:val="superscript"/>
          <w:lang w:val="en-US"/>
        </w:rPr>
        <w:t>9</w:t>
      </w:r>
    </w:p>
    <w:p w14:paraId="080876CC" w14:textId="77777777" w:rsidR="00C70B2C" w:rsidRPr="00C70B2C" w:rsidRDefault="00C70B2C" w:rsidP="00C70B2C">
      <w:pPr>
        <w:pStyle w:val="Listeafsnit"/>
        <w:numPr>
          <w:ilvl w:val="1"/>
          <w:numId w:val="1"/>
        </w:numPr>
        <w:rPr>
          <w:sz w:val="20"/>
          <w:szCs w:val="18"/>
          <w:lang w:val="en-US"/>
        </w:rPr>
      </w:pPr>
      <w:r w:rsidRPr="00C70B2C">
        <w:rPr>
          <w:sz w:val="20"/>
          <w:szCs w:val="18"/>
          <w:lang w:val="en-US"/>
        </w:rPr>
        <w:t xml:space="preserve">Granulocytes </w:t>
      </w:r>
      <w:r w:rsidRPr="00C70B2C">
        <w:rPr>
          <w:rFonts w:cstheme="minorHAnsi"/>
          <w:sz w:val="20"/>
          <w:szCs w:val="18"/>
          <w:lang w:val="en-US"/>
        </w:rPr>
        <w:t>≥</w:t>
      </w:r>
      <w:r w:rsidRPr="00C70B2C">
        <w:rPr>
          <w:sz w:val="20"/>
          <w:szCs w:val="18"/>
          <w:lang w:val="en-US"/>
        </w:rPr>
        <w:t xml:space="preserve"> 1,0 x 10</w:t>
      </w:r>
      <w:r w:rsidRPr="00C70B2C">
        <w:rPr>
          <w:sz w:val="20"/>
          <w:szCs w:val="18"/>
          <w:vertAlign w:val="superscript"/>
          <w:lang w:val="en-US"/>
        </w:rPr>
        <w:t>9</w:t>
      </w:r>
    </w:p>
    <w:p w14:paraId="47C216D9" w14:textId="77777777" w:rsidR="00C70B2C" w:rsidRPr="00C70B2C" w:rsidRDefault="00C70B2C" w:rsidP="00C70B2C">
      <w:pPr>
        <w:pStyle w:val="Listeafsnit"/>
        <w:numPr>
          <w:ilvl w:val="1"/>
          <w:numId w:val="1"/>
        </w:numPr>
        <w:rPr>
          <w:sz w:val="20"/>
          <w:szCs w:val="18"/>
          <w:lang w:val="en-US"/>
        </w:rPr>
      </w:pPr>
      <w:r w:rsidRPr="00C70B2C">
        <w:rPr>
          <w:sz w:val="20"/>
          <w:szCs w:val="18"/>
          <w:lang w:val="en-US"/>
        </w:rPr>
        <w:t xml:space="preserve">Thrombocytes </w:t>
      </w:r>
      <w:r w:rsidRPr="00C70B2C">
        <w:rPr>
          <w:rFonts w:cstheme="minorHAnsi"/>
          <w:sz w:val="20"/>
          <w:szCs w:val="18"/>
          <w:lang w:val="en-US"/>
        </w:rPr>
        <w:t>≥</w:t>
      </w:r>
      <w:r w:rsidRPr="00C70B2C">
        <w:rPr>
          <w:sz w:val="20"/>
          <w:szCs w:val="18"/>
          <w:lang w:val="en-US"/>
        </w:rPr>
        <w:t xml:space="preserve"> 20 x 10</w:t>
      </w:r>
      <w:r w:rsidRPr="00C70B2C">
        <w:rPr>
          <w:sz w:val="20"/>
          <w:szCs w:val="18"/>
          <w:vertAlign w:val="superscript"/>
          <w:lang w:val="en-US"/>
        </w:rPr>
        <w:t>9</w:t>
      </w:r>
    </w:p>
    <w:p w14:paraId="7BF35925" w14:textId="77777777" w:rsidR="00C70B2C" w:rsidRPr="00C70B2C" w:rsidRDefault="00C70B2C" w:rsidP="00C70B2C">
      <w:pPr>
        <w:pStyle w:val="Listeafsnit"/>
        <w:numPr>
          <w:ilvl w:val="1"/>
          <w:numId w:val="1"/>
        </w:numPr>
        <w:rPr>
          <w:sz w:val="20"/>
          <w:szCs w:val="18"/>
          <w:lang w:val="en-US"/>
        </w:rPr>
      </w:pPr>
      <w:r w:rsidRPr="00C70B2C">
        <w:rPr>
          <w:sz w:val="20"/>
          <w:szCs w:val="18"/>
          <w:lang w:val="en-US"/>
        </w:rPr>
        <w:t xml:space="preserve">Hemoglobin </w:t>
      </w:r>
      <w:r w:rsidRPr="00C70B2C">
        <w:rPr>
          <w:rFonts w:cstheme="minorHAnsi"/>
          <w:sz w:val="20"/>
          <w:szCs w:val="18"/>
          <w:lang w:val="en-US"/>
        </w:rPr>
        <w:t>≥ 7 mmol/L</w:t>
      </w:r>
    </w:p>
    <w:p w14:paraId="41AFEA3C" w14:textId="77777777" w:rsidR="00C70B2C" w:rsidRPr="00C70B2C" w:rsidRDefault="00C70B2C" w:rsidP="00C70B2C">
      <w:pPr>
        <w:pStyle w:val="Listeafsnit"/>
        <w:numPr>
          <w:ilvl w:val="0"/>
          <w:numId w:val="1"/>
        </w:numPr>
        <w:rPr>
          <w:sz w:val="20"/>
          <w:szCs w:val="18"/>
          <w:lang w:val="en-US"/>
        </w:rPr>
      </w:pPr>
      <w:r w:rsidRPr="00C70B2C">
        <w:rPr>
          <w:sz w:val="20"/>
          <w:szCs w:val="18"/>
          <w:lang w:val="en-US"/>
        </w:rPr>
        <w:t xml:space="preserve">Creatinine &lt; 2.5 upper normal limit, i.e. &lt; 300 </w:t>
      </w:r>
      <w:r w:rsidRPr="00C70B2C">
        <w:rPr>
          <w:rFonts w:cstheme="minorHAnsi"/>
          <w:sz w:val="20"/>
          <w:szCs w:val="18"/>
          <w:lang w:val="en-US"/>
        </w:rPr>
        <w:t>µ</w:t>
      </w:r>
      <w:r w:rsidRPr="00C70B2C">
        <w:rPr>
          <w:sz w:val="20"/>
          <w:szCs w:val="18"/>
          <w:lang w:val="en-US"/>
        </w:rPr>
        <w:t>mol/l</w:t>
      </w:r>
    </w:p>
    <w:p w14:paraId="14B9DB23" w14:textId="77777777" w:rsidR="00C70B2C" w:rsidRPr="00C70B2C" w:rsidRDefault="00C70B2C" w:rsidP="00C70B2C">
      <w:pPr>
        <w:pStyle w:val="Listeafsnit"/>
        <w:numPr>
          <w:ilvl w:val="0"/>
          <w:numId w:val="1"/>
        </w:numPr>
        <w:rPr>
          <w:sz w:val="20"/>
          <w:szCs w:val="18"/>
          <w:lang w:val="en-US"/>
        </w:rPr>
      </w:pPr>
      <w:r w:rsidRPr="00C70B2C">
        <w:rPr>
          <w:sz w:val="20"/>
          <w:szCs w:val="18"/>
          <w:lang w:val="en-US"/>
        </w:rPr>
        <w:t>Sufficient liver function, i.e.</w:t>
      </w:r>
    </w:p>
    <w:p w14:paraId="3918914D" w14:textId="77777777" w:rsidR="00C70B2C" w:rsidRPr="00C70B2C" w:rsidRDefault="00C70B2C" w:rsidP="00C70B2C">
      <w:pPr>
        <w:pStyle w:val="Listeafsnit"/>
        <w:numPr>
          <w:ilvl w:val="1"/>
          <w:numId w:val="1"/>
        </w:numPr>
        <w:rPr>
          <w:sz w:val="20"/>
          <w:szCs w:val="18"/>
          <w:lang w:val="sv-FI"/>
        </w:rPr>
      </w:pPr>
      <w:r w:rsidRPr="00C70B2C">
        <w:rPr>
          <w:sz w:val="20"/>
          <w:szCs w:val="18"/>
          <w:lang w:val="sv-FI"/>
        </w:rPr>
        <w:t xml:space="preserve">ALAT &lt; 2.5 </w:t>
      </w:r>
      <w:proofErr w:type="spellStart"/>
      <w:r w:rsidRPr="00C70B2C">
        <w:rPr>
          <w:sz w:val="20"/>
          <w:szCs w:val="18"/>
          <w:lang w:val="sv-FI"/>
        </w:rPr>
        <w:t>upper</w:t>
      </w:r>
      <w:proofErr w:type="spellEnd"/>
      <w:r w:rsidRPr="00C70B2C">
        <w:rPr>
          <w:sz w:val="20"/>
          <w:szCs w:val="18"/>
          <w:lang w:val="sv-FI"/>
        </w:rPr>
        <w:t xml:space="preserve"> normal limit, i.e. ALAT &lt;112 U/l</w:t>
      </w:r>
    </w:p>
    <w:p w14:paraId="7E8B0AAA" w14:textId="77777777" w:rsidR="00C70B2C" w:rsidRPr="00C70B2C" w:rsidRDefault="00C70B2C" w:rsidP="00C70B2C">
      <w:pPr>
        <w:pStyle w:val="Listeafsnit"/>
        <w:numPr>
          <w:ilvl w:val="1"/>
          <w:numId w:val="1"/>
        </w:numPr>
        <w:rPr>
          <w:sz w:val="20"/>
          <w:szCs w:val="18"/>
          <w:lang w:val="en-US"/>
        </w:rPr>
      </w:pPr>
      <w:r w:rsidRPr="00C70B2C">
        <w:rPr>
          <w:sz w:val="20"/>
          <w:szCs w:val="18"/>
          <w:lang w:val="en-US"/>
        </w:rPr>
        <w:t>Bilirubin &lt; 30 U/l</w:t>
      </w:r>
    </w:p>
    <w:p w14:paraId="372517D7" w14:textId="77777777" w:rsidR="00C70B2C" w:rsidRPr="00C70B2C" w:rsidRDefault="00C70B2C" w:rsidP="00C70B2C">
      <w:pPr>
        <w:pStyle w:val="Listeafsnit"/>
        <w:numPr>
          <w:ilvl w:val="0"/>
          <w:numId w:val="1"/>
        </w:numPr>
        <w:rPr>
          <w:sz w:val="20"/>
          <w:szCs w:val="18"/>
          <w:lang w:val="en-US"/>
        </w:rPr>
      </w:pPr>
      <w:r w:rsidRPr="00C70B2C">
        <w:rPr>
          <w:sz w:val="20"/>
          <w:szCs w:val="18"/>
          <w:lang w:val="en-US"/>
        </w:rPr>
        <w:t xml:space="preserve">For women: Agreement to use contraceptive </w:t>
      </w:r>
      <w:r w:rsidRPr="00C70B2C">
        <w:rPr>
          <w:rFonts w:eastAsia="Times New Roman"/>
          <w:sz w:val="20"/>
          <w:szCs w:val="18"/>
          <w:lang w:val="en-US"/>
        </w:rPr>
        <w:t xml:space="preserve">methods with a failure rate of &lt; 1% per year during the treatment period and for at least 120 days after the last treatment. </w:t>
      </w:r>
    </w:p>
    <w:p w14:paraId="25106527" w14:textId="77777777" w:rsidR="00C70B2C" w:rsidRPr="00C70B2C" w:rsidRDefault="00C70B2C" w:rsidP="00C70B2C">
      <w:pPr>
        <w:pStyle w:val="Listeafsnit"/>
        <w:numPr>
          <w:ilvl w:val="0"/>
          <w:numId w:val="1"/>
        </w:numPr>
        <w:rPr>
          <w:sz w:val="20"/>
          <w:szCs w:val="18"/>
          <w:lang w:val="en-US"/>
        </w:rPr>
      </w:pPr>
      <w:r w:rsidRPr="00C70B2C">
        <w:rPr>
          <w:rFonts w:eastAsia="Times New Roman"/>
          <w:sz w:val="20"/>
          <w:szCs w:val="18"/>
          <w:lang w:val="en-US"/>
        </w:rPr>
        <w:t>For men: Agreement to use contraceptive measures and agreement to refrain from donating sperm.</w:t>
      </w:r>
    </w:p>
    <w:p w14:paraId="01055F0A" w14:textId="77777777" w:rsidR="00C70B2C" w:rsidRPr="00C70B2C" w:rsidRDefault="00C70B2C" w:rsidP="00C70B2C">
      <w:pPr>
        <w:pStyle w:val="Overskrift2"/>
        <w:rPr>
          <w:sz w:val="22"/>
          <w:szCs w:val="22"/>
          <w:lang w:val="en-US"/>
        </w:rPr>
      </w:pPr>
      <w:bookmarkStart w:id="1" w:name="_Toc468129564"/>
      <w:r w:rsidRPr="00C70B2C">
        <w:rPr>
          <w:sz w:val="22"/>
          <w:szCs w:val="22"/>
          <w:lang w:val="en-US"/>
        </w:rPr>
        <w:t>Exclusion criteria</w:t>
      </w:r>
      <w:bookmarkEnd w:id="1"/>
    </w:p>
    <w:p w14:paraId="461BBC41" w14:textId="77777777" w:rsidR="00C70B2C" w:rsidRPr="00C70B2C" w:rsidRDefault="00C70B2C" w:rsidP="00C70B2C">
      <w:pPr>
        <w:pStyle w:val="Brdtekst"/>
        <w:numPr>
          <w:ilvl w:val="0"/>
          <w:numId w:val="2"/>
        </w:numPr>
        <w:spacing w:line="240" w:lineRule="auto"/>
        <w:rPr>
          <w:rFonts w:asciiTheme="minorHAnsi" w:hAnsiTheme="minorHAnsi"/>
          <w:sz w:val="20"/>
          <w:szCs w:val="20"/>
          <w:lang w:val="en-US"/>
        </w:rPr>
      </w:pPr>
      <w:r w:rsidRPr="00C70B2C">
        <w:rPr>
          <w:rFonts w:asciiTheme="minorHAnsi" w:hAnsiTheme="minorHAnsi"/>
          <w:sz w:val="20"/>
          <w:szCs w:val="20"/>
          <w:lang w:val="en-US"/>
        </w:rPr>
        <w:t>Other malignancies in the medical history excluding squamous cell carcinoma. Patients cured for another malignant disease with no sign of relapse three years after ended treatment is allowed to enter the protocol.</w:t>
      </w:r>
    </w:p>
    <w:p w14:paraId="3111D73E" w14:textId="77777777" w:rsidR="00C70B2C" w:rsidRPr="00C70B2C" w:rsidRDefault="00C70B2C" w:rsidP="00C70B2C">
      <w:pPr>
        <w:pStyle w:val="Brdtekst"/>
        <w:numPr>
          <w:ilvl w:val="0"/>
          <w:numId w:val="2"/>
        </w:numPr>
        <w:spacing w:line="240" w:lineRule="auto"/>
        <w:rPr>
          <w:rFonts w:asciiTheme="minorHAnsi" w:hAnsiTheme="minorHAnsi"/>
          <w:sz w:val="20"/>
          <w:szCs w:val="20"/>
          <w:lang w:val="en-US"/>
        </w:rPr>
      </w:pPr>
      <w:r w:rsidRPr="00C70B2C">
        <w:rPr>
          <w:rFonts w:asciiTheme="minorHAnsi" w:hAnsiTheme="minorHAnsi"/>
          <w:sz w:val="20"/>
          <w:szCs w:val="20"/>
          <w:lang w:val="en-US"/>
        </w:rPr>
        <w:t>Significant medical condition per investigators judgement e.g. severe Asthma/COPD, poorly regulated heart condition, insulin dependent diabetes mellitus.</w:t>
      </w:r>
    </w:p>
    <w:p w14:paraId="147B2B5C" w14:textId="77777777" w:rsidR="00C70B2C" w:rsidRPr="00C70B2C" w:rsidRDefault="00C70B2C" w:rsidP="00C70B2C">
      <w:pPr>
        <w:pStyle w:val="Brdtekst"/>
        <w:numPr>
          <w:ilvl w:val="0"/>
          <w:numId w:val="2"/>
        </w:numPr>
        <w:spacing w:line="240" w:lineRule="auto"/>
        <w:rPr>
          <w:rFonts w:asciiTheme="minorHAnsi" w:hAnsiTheme="minorHAnsi"/>
          <w:sz w:val="20"/>
          <w:szCs w:val="20"/>
          <w:lang w:val="en-US"/>
        </w:rPr>
      </w:pPr>
      <w:r w:rsidRPr="00C70B2C">
        <w:rPr>
          <w:rFonts w:asciiTheme="minorHAnsi" w:hAnsiTheme="minorHAnsi"/>
          <w:sz w:val="20"/>
          <w:szCs w:val="20"/>
          <w:lang w:val="en-US"/>
        </w:rPr>
        <w:t xml:space="preserve">Acute or chronic viral or bacterial infection e.g. HIV, hepatitis or tuberculosis </w:t>
      </w:r>
    </w:p>
    <w:p w14:paraId="543B26FC" w14:textId="77777777" w:rsidR="00C70B2C" w:rsidRPr="00C70B2C" w:rsidRDefault="00C70B2C" w:rsidP="00C70B2C">
      <w:pPr>
        <w:pStyle w:val="Brdtekst"/>
        <w:numPr>
          <w:ilvl w:val="0"/>
          <w:numId w:val="2"/>
        </w:numPr>
        <w:spacing w:line="240" w:lineRule="auto"/>
        <w:rPr>
          <w:rFonts w:asciiTheme="minorHAnsi" w:hAnsiTheme="minorHAnsi"/>
          <w:sz w:val="20"/>
          <w:szCs w:val="20"/>
          <w:lang w:val="en-US"/>
        </w:rPr>
      </w:pPr>
      <w:r w:rsidRPr="00C70B2C">
        <w:rPr>
          <w:rFonts w:asciiTheme="minorHAnsi" w:hAnsiTheme="minorHAnsi"/>
          <w:sz w:val="20"/>
          <w:szCs w:val="20"/>
          <w:lang w:val="en-US"/>
        </w:rPr>
        <w:t>Serious known allergies or earlier anaphylactic reactions.</w:t>
      </w:r>
    </w:p>
    <w:p w14:paraId="7C538515" w14:textId="77777777" w:rsidR="00C70B2C" w:rsidRPr="00C70B2C" w:rsidRDefault="00C70B2C" w:rsidP="00C70B2C">
      <w:pPr>
        <w:pStyle w:val="Brdtekst"/>
        <w:numPr>
          <w:ilvl w:val="0"/>
          <w:numId w:val="2"/>
        </w:numPr>
        <w:spacing w:line="240" w:lineRule="auto"/>
        <w:rPr>
          <w:rFonts w:asciiTheme="minorHAnsi" w:hAnsiTheme="minorHAnsi"/>
          <w:sz w:val="20"/>
          <w:szCs w:val="20"/>
          <w:lang w:val="en-US"/>
        </w:rPr>
      </w:pPr>
      <w:r w:rsidRPr="00C70B2C">
        <w:rPr>
          <w:rFonts w:asciiTheme="minorHAnsi" w:hAnsiTheme="minorHAnsi"/>
          <w:sz w:val="20"/>
          <w:szCs w:val="20"/>
          <w:lang w:val="en-US"/>
        </w:rPr>
        <w:t xml:space="preserve">Known sensibility to </w:t>
      </w:r>
      <w:proofErr w:type="spellStart"/>
      <w:r w:rsidRPr="00C70B2C">
        <w:rPr>
          <w:rFonts w:asciiTheme="minorHAnsi" w:hAnsiTheme="minorHAnsi"/>
          <w:sz w:val="20"/>
          <w:szCs w:val="20"/>
          <w:lang w:val="en-US"/>
        </w:rPr>
        <w:t>Montanide</w:t>
      </w:r>
      <w:proofErr w:type="spellEnd"/>
      <w:r w:rsidRPr="00C70B2C">
        <w:rPr>
          <w:rFonts w:asciiTheme="minorHAnsi" w:hAnsiTheme="minorHAnsi"/>
          <w:sz w:val="20"/>
          <w:szCs w:val="20"/>
          <w:lang w:val="en-US"/>
        </w:rPr>
        <w:t xml:space="preserve"> ISA-51</w:t>
      </w:r>
    </w:p>
    <w:p w14:paraId="2B257A48" w14:textId="77777777" w:rsidR="00C70B2C" w:rsidRPr="00C70B2C" w:rsidRDefault="00C70B2C" w:rsidP="00C70B2C">
      <w:pPr>
        <w:pStyle w:val="Brdtekst"/>
        <w:numPr>
          <w:ilvl w:val="0"/>
          <w:numId w:val="2"/>
        </w:numPr>
        <w:spacing w:line="240" w:lineRule="auto"/>
        <w:rPr>
          <w:rFonts w:asciiTheme="minorHAnsi" w:hAnsiTheme="minorHAnsi"/>
          <w:sz w:val="20"/>
          <w:szCs w:val="20"/>
          <w:lang w:val="en-US"/>
        </w:rPr>
      </w:pPr>
      <w:r w:rsidRPr="00C70B2C">
        <w:rPr>
          <w:rFonts w:asciiTheme="minorHAnsi" w:hAnsiTheme="minorHAnsi"/>
          <w:sz w:val="20"/>
          <w:szCs w:val="20"/>
          <w:lang w:val="en-US"/>
        </w:rPr>
        <w:t>Any active autoimmune diseases e.g. autoimmune neutropenia, thrombocytopenia or hemolytic anemia, systemic lupus erythematosus, scleroderma, myasthenia gravis, autoimmune glomerulonephritis, autoimmune adrenal deficiency, autoimmune</w:t>
      </w:r>
      <w:r w:rsidRPr="00C70B2C">
        <w:rPr>
          <w:sz w:val="20"/>
          <w:szCs w:val="20"/>
          <w:lang w:val="en-US"/>
        </w:rPr>
        <w:t xml:space="preserve"> </w:t>
      </w:r>
      <w:r w:rsidRPr="00C70B2C">
        <w:rPr>
          <w:rFonts w:asciiTheme="minorHAnsi" w:hAnsiTheme="minorHAnsi"/>
          <w:sz w:val="20"/>
          <w:szCs w:val="20"/>
          <w:lang w:val="en-US"/>
        </w:rPr>
        <w:t>thyroiditis etc.</w:t>
      </w:r>
    </w:p>
    <w:p w14:paraId="57D0D52D" w14:textId="77777777" w:rsidR="00C70B2C" w:rsidRPr="00C70B2C" w:rsidRDefault="00C70B2C" w:rsidP="00C70B2C">
      <w:pPr>
        <w:pStyle w:val="Brdtekst"/>
        <w:numPr>
          <w:ilvl w:val="0"/>
          <w:numId w:val="2"/>
        </w:numPr>
        <w:spacing w:line="240" w:lineRule="auto"/>
        <w:rPr>
          <w:rFonts w:asciiTheme="minorHAnsi" w:hAnsiTheme="minorHAnsi"/>
          <w:sz w:val="20"/>
          <w:szCs w:val="20"/>
          <w:lang w:val="en-US"/>
        </w:rPr>
      </w:pPr>
      <w:r w:rsidRPr="00C70B2C">
        <w:rPr>
          <w:rFonts w:asciiTheme="minorHAnsi" w:hAnsiTheme="minorHAnsi"/>
          <w:sz w:val="20"/>
          <w:szCs w:val="20"/>
          <w:lang w:val="en-US"/>
        </w:rPr>
        <w:t>Pregnant and breastfeeding women.</w:t>
      </w:r>
    </w:p>
    <w:p w14:paraId="018F01F5" w14:textId="77777777" w:rsidR="00C70B2C" w:rsidRPr="00C70B2C" w:rsidRDefault="00C70B2C" w:rsidP="00C70B2C">
      <w:pPr>
        <w:pStyle w:val="Brdtekst"/>
        <w:numPr>
          <w:ilvl w:val="0"/>
          <w:numId w:val="2"/>
        </w:numPr>
        <w:spacing w:line="240" w:lineRule="auto"/>
        <w:rPr>
          <w:rFonts w:asciiTheme="minorHAnsi" w:hAnsiTheme="minorHAnsi"/>
          <w:sz w:val="20"/>
          <w:szCs w:val="20"/>
          <w:lang w:val="en-US"/>
        </w:rPr>
      </w:pPr>
      <w:r w:rsidRPr="00C70B2C">
        <w:rPr>
          <w:rFonts w:asciiTheme="minorHAnsi" w:hAnsiTheme="minorHAnsi"/>
          <w:sz w:val="20"/>
          <w:szCs w:val="20"/>
          <w:lang w:val="en-US"/>
        </w:rPr>
        <w:t>Fertile women not using secure contraception with a failure rate less than &lt; 1%</w:t>
      </w:r>
    </w:p>
    <w:p w14:paraId="664AC8FA" w14:textId="77777777" w:rsidR="00C70B2C" w:rsidRPr="00C70B2C" w:rsidRDefault="00C70B2C" w:rsidP="00C70B2C">
      <w:pPr>
        <w:pStyle w:val="Brdtekst"/>
        <w:numPr>
          <w:ilvl w:val="0"/>
          <w:numId w:val="2"/>
        </w:numPr>
        <w:spacing w:line="240" w:lineRule="auto"/>
        <w:rPr>
          <w:rFonts w:asciiTheme="minorHAnsi" w:hAnsiTheme="minorHAnsi"/>
          <w:sz w:val="20"/>
          <w:szCs w:val="20"/>
          <w:lang w:val="en-US"/>
        </w:rPr>
      </w:pPr>
      <w:r w:rsidRPr="00C70B2C">
        <w:rPr>
          <w:rFonts w:asciiTheme="minorHAnsi" w:hAnsiTheme="minorHAnsi"/>
          <w:sz w:val="20"/>
          <w:szCs w:val="20"/>
          <w:lang w:val="en-US"/>
        </w:rPr>
        <w:t>Patients taking immune suppressive medications incl. corticosteroids and methotrexate at the time of enrollment</w:t>
      </w:r>
    </w:p>
    <w:p w14:paraId="5E0D08C5" w14:textId="77777777" w:rsidR="00C70B2C" w:rsidRPr="00C70B2C" w:rsidRDefault="00C70B2C" w:rsidP="00C70B2C">
      <w:pPr>
        <w:pStyle w:val="Brdtekst"/>
        <w:numPr>
          <w:ilvl w:val="0"/>
          <w:numId w:val="2"/>
        </w:numPr>
        <w:spacing w:line="240" w:lineRule="auto"/>
        <w:rPr>
          <w:rFonts w:asciiTheme="minorHAnsi" w:hAnsiTheme="minorHAnsi"/>
          <w:sz w:val="20"/>
          <w:szCs w:val="20"/>
          <w:lang w:val="en-US"/>
        </w:rPr>
      </w:pPr>
      <w:r w:rsidRPr="00C70B2C">
        <w:rPr>
          <w:rFonts w:asciiTheme="minorHAnsi" w:hAnsiTheme="minorHAnsi"/>
          <w:sz w:val="20"/>
          <w:szCs w:val="20"/>
          <w:lang w:val="en-US"/>
        </w:rPr>
        <w:t>Psychiatric disorders that per investigator judgment could influence compliance.</w:t>
      </w:r>
    </w:p>
    <w:p w14:paraId="35164CBA" w14:textId="77777777" w:rsidR="00C70B2C" w:rsidRPr="00C70B2C" w:rsidRDefault="00C70B2C" w:rsidP="00C70B2C">
      <w:pPr>
        <w:pStyle w:val="Brdtekst"/>
        <w:numPr>
          <w:ilvl w:val="0"/>
          <w:numId w:val="2"/>
        </w:numPr>
        <w:spacing w:line="240" w:lineRule="auto"/>
        <w:rPr>
          <w:rFonts w:asciiTheme="minorHAnsi" w:hAnsiTheme="minorHAnsi"/>
          <w:sz w:val="20"/>
          <w:szCs w:val="20"/>
          <w:lang w:val="en-US"/>
        </w:rPr>
      </w:pPr>
      <w:r w:rsidRPr="00C70B2C">
        <w:rPr>
          <w:rFonts w:asciiTheme="minorHAnsi" w:hAnsiTheme="minorHAnsi"/>
          <w:sz w:val="20"/>
          <w:szCs w:val="20"/>
          <w:lang w:val="en-US"/>
        </w:rPr>
        <w:t>Treatment with other experimental drugs</w:t>
      </w:r>
    </w:p>
    <w:p w14:paraId="338A4946" w14:textId="77777777" w:rsidR="00C70B2C" w:rsidRPr="00C70B2C" w:rsidRDefault="00C70B2C" w:rsidP="00C70B2C">
      <w:pPr>
        <w:pStyle w:val="Brdtekst"/>
        <w:numPr>
          <w:ilvl w:val="0"/>
          <w:numId w:val="2"/>
        </w:numPr>
        <w:spacing w:line="240" w:lineRule="auto"/>
        <w:rPr>
          <w:rFonts w:asciiTheme="minorHAnsi" w:hAnsiTheme="minorHAnsi"/>
          <w:sz w:val="20"/>
          <w:szCs w:val="20"/>
          <w:lang w:val="en-US"/>
        </w:rPr>
      </w:pPr>
      <w:r w:rsidRPr="00C70B2C">
        <w:rPr>
          <w:rFonts w:asciiTheme="minorHAnsi" w:hAnsiTheme="minorHAnsi"/>
          <w:sz w:val="20"/>
          <w:szCs w:val="20"/>
          <w:lang w:val="en-US"/>
        </w:rPr>
        <w:t xml:space="preserve">Treatment with other anti-cancer drugs – except IFN-a, hydroxyurea or anagrelide. </w:t>
      </w:r>
    </w:p>
    <w:p w14:paraId="5B29C3C4" w14:textId="77777777" w:rsidR="00C70B2C" w:rsidRPr="00C70B2C" w:rsidRDefault="00C70B2C" w:rsidP="00C70B2C">
      <w:pPr>
        <w:pStyle w:val="Brdtekst"/>
        <w:numPr>
          <w:ilvl w:val="0"/>
          <w:numId w:val="2"/>
        </w:numPr>
        <w:spacing w:line="240" w:lineRule="auto"/>
        <w:rPr>
          <w:rFonts w:asciiTheme="minorHAnsi" w:hAnsiTheme="minorHAnsi"/>
          <w:sz w:val="20"/>
          <w:szCs w:val="20"/>
          <w:lang w:val="en-US"/>
        </w:rPr>
      </w:pPr>
      <w:r w:rsidRPr="00C70B2C">
        <w:rPr>
          <w:rFonts w:asciiTheme="minorHAnsi" w:hAnsiTheme="minorHAnsi"/>
          <w:sz w:val="20"/>
          <w:szCs w:val="20"/>
          <w:lang w:val="en-US"/>
        </w:rPr>
        <w:t xml:space="preserve">Treatment with </w:t>
      </w:r>
      <w:proofErr w:type="spellStart"/>
      <w:r w:rsidRPr="00C70B2C">
        <w:rPr>
          <w:rFonts w:asciiTheme="minorHAnsi" w:hAnsiTheme="minorHAnsi"/>
          <w:sz w:val="20"/>
          <w:szCs w:val="20"/>
          <w:lang w:val="en-US"/>
        </w:rPr>
        <w:t>ruxolitinib</w:t>
      </w:r>
      <w:proofErr w:type="spellEnd"/>
      <w:r w:rsidRPr="00C70B2C">
        <w:rPr>
          <w:rFonts w:asciiTheme="minorHAnsi" w:hAnsiTheme="minorHAnsi"/>
          <w:sz w:val="20"/>
          <w:szCs w:val="20"/>
          <w:lang w:val="en-US"/>
        </w:rPr>
        <w:t>.</w:t>
      </w:r>
    </w:p>
    <w:p w14:paraId="6C481F07" w14:textId="77777777" w:rsidR="00C70B2C" w:rsidRPr="00C70B2C" w:rsidRDefault="00C70B2C" w:rsidP="00C70B2C">
      <w:pPr>
        <w:pStyle w:val="Brdtekst"/>
        <w:numPr>
          <w:ilvl w:val="0"/>
          <w:numId w:val="2"/>
        </w:numPr>
        <w:spacing w:line="240" w:lineRule="auto"/>
        <w:rPr>
          <w:rFonts w:asciiTheme="minorHAnsi" w:hAnsiTheme="minorHAnsi"/>
          <w:sz w:val="20"/>
          <w:szCs w:val="20"/>
          <w:lang w:val="en-US"/>
        </w:rPr>
      </w:pPr>
      <w:r w:rsidRPr="00C70B2C">
        <w:rPr>
          <w:rFonts w:asciiTheme="minorHAnsi" w:hAnsiTheme="minorHAnsi"/>
          <w:sz w:val="20"/>
          <w:szCs w:val="20"/>
          <w:lang w:val="en-US"/>
        </w:rPr>
        <w:t xml:space="preserve">Treatment with chemotherapy or immune therapy (excluding IFN-a, hydroxyurea or anagrelide within the last 28 days).  </w:t>
      </w:r>
    </w:p>
    <w:p w14:paraId="5BF3258C" w14:textId="77777777" w:rsidR="00EF1E82" w:rsidRPr="00C70B2C" w:rsidRDefault="00EF1E82">
      <w:pPr>
        <w:rPr>
          <w:sz w:val="20"/>
          <w:szCs w:val="18"/>
          <w:lang w:val="en-US"/>
        </w:rPr>
      </w:pPr>
    </w:p>
    <w:sectPr w:rsidR="00EF1E82" w:rsidRPr="00C70B2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35D6A"/>
    <w:multiLevelType w:val="hybridMultilevel"/>
    <w:tmpl w:val="E9E0EE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B1359A9"/>
    <w:multiLevelType w:val="hybridMultilevel"/>
    <w:tmpl w:val="FD2E6B9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2C"/>
    <w:rsid w:val="00C54285"/>
    <w:rsid w:val="00C70B2C"/>
    <w:rsid w:val="00EF1E82"/>
    <w:rsid w:val="00FB2490"/>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B7C5"/>
  <w15:chartTrackingRefBased/>
  <w15:docId w15:val="{809D70F7-C9A6-43B8-9ED3-3A31D382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B2C"/>
    <w:rPr>
      <w:sz w:val="24"/>
    </w:rPr>
  </w:style>
  <w:style w:type="paragraph" w:styleId="Overskrift2">
    <w:name w:val="heading 2"/>
    <w:basedOn w:val="Normal"/>
    <w:next w:val="Normal"/>
    <w:link w:val="Overskrift2Tegn"/>
    <w:uiPriority w:val="9"/>
    <w:unhideWhenUsed/>
    <w:qFormat/>
    <w:rsid w:val="00C70B2C"/>
    <w:pPr>
      <w:keepNext/>
      <w:keepLines/>
      <w:spacing w:before="40" w:after="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70B2C"/>
    <w:rPr>
      <w:rFonts w:asciiTheme="majorHAnsi" w:eastAsiaTheme="majorEastAsia" w:hAnsiTheme="majorHAnsi" w:cstheme="majorBidi"/>
      <w:sz w:val="26"/>
      <w:szCs w:val="26"/>
    </w:rPr>
  </w:style>
  <w:style w:type="paragraph" w:styleId="Listeafsnit">
    <w:name w:val="List Paragraph"/>
    <w:basedOn w:val="Normal"/>
    <w:uiPriority w:val="34"/>
    <w:qFormat/>
    <w:rsid w:val="00C70B2C"/>
    <w:pPr>
      <w:ind w:left="720"/>
      <w:contextualSpacing/>
    </w:pPr>
  </w:style>
  <w:style w:type="paragraph" w:styleId="Brdtekst">
    <w:name w:val="Body Text"/>
    <w:basedOn w:val="Normal"/>
    <w:link w:val="BrdtekstTegn"/>
    <w:rsid w:val="00C70B2C"/>
    <w:pPr>
      <w:widowControl w:val="0"/>
      <w:suppressAutoHyphens/>
      <w:spacing w:after="140" w:line="288" w:lineRule="auto"/>
    </w:pPr>
    <w:rPr>
      <w:rFonts w:ascii="Liberation Sans" w:eastAsia="SimSun" w:hAnsi="Liberation Sans" w:cs="Liberation Sans"/>
      <w:kern w:val="1"/>
      <w:szCs w:val="24"/>
      <w:lang w:eastAsia="zh-CN" w:bidi="hi-IN"/>
    </w:rPr>
  </w:style>
  <w:style w:type="character" w:customStyle="1" w:styleId="BrdtekstTegn">
    <w:name w:val="Brødtekst Tegn"/>
    <w:basedOn w:val="Standardskrifttypeiafsnit"/>
    <w:link w:val="Brdtekst"/>
    <w:rsid w:val="00C70B2C"/>
    <w:rPr>
      <w:rFonts w:ascii="Liberation Sans" w:eastAsia="SimSun" w:hAnsi="Liberation Sans" w:cs="Liberation Sans"/>
      <w:kern w:val="1"/>
      <w:sz w:val="24"/>
      <w:szCs w:val="24"/>
      <w:lang w:eastAsia="zh-CN" w:bidi="hi-IN"/>
    </w:rPr>
  </w:style>
  <w:style w:type="paragraph" w:styleId="Markeringsbobletekst">
    <w:name w:val="Balloon Text"/>
    <w:basedOn w:val="Normal"/>
    <w:link w:val="MarkeringsbobletekstTegn"/>
    <w:uiPriority w:val="99"/>
    <w:semiHidden/>
    <w:unhideWhenUsed/>
    <w:rsid w:val="00C70B2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70B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1972</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Orebo Holmström</dc:creator>
  <cp:keywords/>
  <dc:description/>
  <cp:lastModifiedBy>Morten Orebo Holmström</cp:lastModifiedBy>
  <cp:revision>1</cp:revision>
  <dcterms:created xsi:type="dcterms:W3CDTF">2020-11-10T14:00:00Z</dcterms:created>
  <dcterms:modified xsi:type="dcterms:W3CDTF">2020-11-10T14:01:00Z</dcterms:modified>
</cp:coreProperties>
</file>