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Heading1"/>
      </w:pPr>
      <w:r w:rsidRPr="00994A3D">
        <w:t>Supplementary Data</w:t>
      </w:r>
    </w:p>
    <w:p w14:paraId="6754D378" w14:textId="483CBF44" w:rsidR="00994A3D" w:rsidRDefault="00994A3D" w:rsidP="00994A3D">
      <w:pPr>
        <w:keepNext/>
        <w:rPr>
          <w:rFonts w:cs="Times New Roman"/>
          <w:szCs w:val="24"/>
        </w:rPr>
      </w:pPr>
    </w:p>
    <w:p w14:paraId="040BE117" w14:textId="58C09334" w:rsidR="00ED434C" w:rsidRPr="00ED434C" w:rsidRDefault="00ED434C" w:rsidP="00ED434C">
      <w:pPr>
        <w:keepNext/>
        <w:rPr>
          <w:rFonts w:cs="Times New Roman"/>
          <w:b/>
          <w:szCs w:val="24"/>
        </w:rPr>
      </w:pPr>
      <w:r w:rsidRPr="00ED434C">
        <w:rPr>
          <w:rFonts w:cs="Times New Roman"/>
          <w:b/>
          <w:szCs w:val="24"/>
        </w:rPr>
        <w:t>VARIANT MAPPING AND CONSERVATION/CONSTRAINT ANALYSIS</w:t>
      </w:r>
    </w:p>
    <w:p w14:paraId="28723768" w14:textId="77777777" w:rsidR="00ED434C" w:rsidRPr="0047053E" w:rsidRDefault="00ED434C" w:rsidP="00ED434C">
      <w:pPr>
        <w:keepNext/>
        <w:rPr>
          <w:rFonts w:cs="Times New Roman"/>
          <w:b/>
          <w:szCs w:val="24"/>
        </w:rPr>
      </w:pPr>
    </w:p>
    <w:p w14:paraId="2627007E" w14:textId="417959F7" w:rsidR="00ED434C" w:rsidRDefault="00ED434C" w:rsidP="00ED434C">
      <w:pPr>
        <w:keepNext/>
        <w:rPr>
          <w:rFonts w:cs="Times New Roman"/>
          <w:szCs w:val="24"/>
        </w:rPr>
      </w:pPr>
      <w:r w:rsidRPr="0047053E">
        <w:rPr>
          <w:rFonts w:cs="Times New Roman"/>
          <w:b/>
          <w:szCs w:val="24"/>
        </w:rPr>
        <w:t>A.</w:t>
      </w:r>
      <w:r w:rsidRPr="0047053E">
        <w:rPr>
          <w:rFonts w:cs="Times New Roman"/>
          <w:b/>
          <w:szCs w:val="24"/>
        </w:rPr>
        <w:tab/>
        <w:t>METHODS</w:t>
      </w:r>
    </w:p>
    <w:p w14:paraId="677D2036" w14:textId="77777777" w:rsidR="00ED434C" w:rsidRPr="00ED434C" w:rsidRDefault="00ED434C" w:rsidP="00ED434C">
      <w:pPr>
        <w:keepNext/>
        <w:rPr>
          <w:rFonts w:cs="Times New Roman"/>
          <w:szCs w:val="24"/>
        </w:rPr>
      </w:pPr>
    </w:p>
    <w:p w14:paraId="414AB518" w14:textId="237507B5" w:rsidR="00ED434C" w:rsidRPr="0047053E" w:rsidRDefault="00ED434C" w:rsidP="00ED434C">
      <w:pPr>
        <w:keepNext/>
        <w:rPr>
          <w:rFonts w:cs="Times New Roman"/>
          <w:b/>
          <w:szCs w:val="24"/>
        </w:rPr>
      </w:pPr>
      <w:r w:rsidRPr="0047053E">
        <w:rPr>
          <w:rFonts w:cs="Times New Roman"/>
          <w:b/>
          <w:szCs w:val="24"/>
        </w:rPr>
        <w:t>A.1</w:t>
      </w:r>
      <w:r w:rsidR="0047053E">
        <w:rPr>
          <w:rFonts w:cs="Times New Roman"/>
          <w:b/>
          <w:szCs w:val="24"/>
        </w:rPr>
        <w:t>.</w:t>
      </w:r>
      <w:r w:rsidRPr="0047053E">
        <w:rPr>
          <w:rFonts w:cs="Times New Roman"/>
          <w:b/>
          <w:szCs w:val="24"/>
        </w:rPr>
        <w:t xml:space="preserve"> </w:t>
      </w:r>
      <w:r w:rsidR="0047053E">
        <w:rPr>
          <w:rFonts w:cs="Times New Roman"/>
          <w:b/>
          <w:szCs w:val="24"/>
        </w:rPr>
        <w:tab/>
      </w:r>
      <w:r w:rsidRPr="0047053E">
        <w:rPr>
          <w:rFonts w:cs="Times New Roman"/>
          <w:b/>
          <w:szCs w:val="24"/>
        </w:rPr>
        <w:t>PROTEIN STRUCTURE ANALYSIS</w:t>
      </w:r>
    </w:p>
    <w:p w14:paraId="6A1232F5" w14:textId="18B7210C" w:rsidR="00ED434C" w:rsidRPr="00ED434C" w:rsidRDefault="00ED434C" w:rsidP="00ED434C">
      <w:pPr>
        <w:keepNext/>
        <w:rPr>
          <w:rFonts w:cs="Times New Roman"/>
          <w:szCs w:val="24"/>
        </w:rPr>
      </w:pPr>
      <w:r w:rsidRPr="00ED434C">
        <w:rPr>
          <w:rFonts w:cs="Times New Roman"/>
          <w:szCs w:val="24"/>
        </w:rPr>
        <w:t xml:space="preserve">A molecular solved protein structure for ATP1A3 has not been published or deposited in the protein structure database </w:t>
      </w:r>
      <w:r w:rsidR="00C73152">
        <w:rPr>
          <w:rFonts w:cs="Times New Roman"/>
          <w:szCs w:val="24"/>
        </w:rPr>
        <w:fldChar w:fldCharType="begin" w:fldLock="1"/>
      </w:r>
      <w:r w:rsidR="00C73152">
        <w:rPr>
          <w:rFonts w:cs="Times New Roman"/>
          <w:szCs w:val="24"/>
        </w:rPr>
        <w:instrText>ADDIN CSL_CITATION {"citationItems":[{"id":"ITEM-1","itemData":{"DOI":"10.1186/s13073-020-00725-6","ISSN":"1756-994X","author":[{"dropping-particle":"","family":"Lal","given":"Dennis","non-dropping-particle":"","parse-names":false,"suffix":""},{"dropping-particle":"","family":"May","given":"Patrick","non-dropping-particle":"","parse-names":false,"suffix":""},{"dropping-particle":"","family":"Perez-Palma","given":"Eduardo","non-dropping-particle":"","parse-names":false,"suffix":""},{"dropping-particle":"","family":"Samocha","given":"Kaitlin E.","non-dropping-particle":"","parse-names":false,"suffix":""},{"dropping-particle":"","family":"Kosmicki","given":"Jack A.","non-dropping-particle":"","parse-names":false,"suffix":""},{"dropping-particle":"","family":"Robinson","given":"Elise B.","non-dropping-particle":"","parse-names":false,"suffix":""},{"dropping-particle":"","family":"Møller","given":"Rikke S.","non-dropping-particle":"","parse-names":false,"suffix":""},{"dropping-particle":"","family":"Krause","given":"Roland","non-dropping-particle":"","parse-names":false,"suffix":""},{"dropping-particle":"","family":"Nürnberg","given":"Peter","non-dropping-particle":"","parse-names":false,"suffix":""},{"dropping-particle":"","family":"Weckhuysen","given":"Sarah","non-dropping-particle":"","parse-names":false,"suffix":""},{"dropping-particle":"","family":"Jonghe","given":"Peter","non-dropping-particle":"De","parse-names":false,"suffix":""},{"dropping-particle":"","family":"Guerrini","given":"Renzo","non-dropping-particle":"","parse-names":false,"suffix":""},{"dropping-particle":"","family":"Niestroj","given":"Lisa M.","non-dropping-particle":"","parse-names":false,"suffix":""},{"dropping-particle":"","family":"Du","given":"Juliana","non-dropping-particle":"","parse-names":false,"suffix":""},{"dropping-particle":"","family":"Marini","given":"Carla","non-dropping-particle":"","parse-names":false,"suffix":""},{"dropping-particle":"","family":"Ware","given":"James S.","non-dropping-particle":"","parse-names":false,"suffix":""},{"dropping-particle":"","family":"Kurki","given":"Mitja","non-dropping-particle":"","parse-names":false,"suffix":""},{"dropping-particle":"","family":"Gormley","given":"Padhraig","non-dropping-particle":"","parse-names":false,"suffix":""},{"dropping-particle":"","family":"Tang","given":"Sha","non-dropping-particle":"","parse-names":false,"suffix":""},{"dropping-particle":"","family":"Wu","given":"Sitao","non-dropping-particle":"","parse-names":false,"suffix":""},{"dropping-particle":"","family":"Biskup","given":"Saskia","non-dropping-particle":"","parse-names":false,"suffix":""},{"dropping-particle":"","family":"Poduri","given":"Annapurna","non-dropping-particle":"","parse-names":false,"suffix":""},{"dropping-particle":"","family":"Neubauer","given":"Bernd A.","non-dropping-particle":"","parse-names":false,"suffix":""},{"dropping-particle":"","family":"Koeleman","given":"Bobby P. C.","non-dropping-particle":"","parse-names":false,"suffix":""},{"dropping-particle":"","family":"Helbig","given":"Katherine L.","non-dropping-particle":"","parse-names":false,"suffix":""},{"dropping-particle":"","family":"Weber","given":"Yvonne G.","non-dropping-particle":"","parse-names":false,"suffix":""},{"dropping-particle":"","family":"Helbig","given":"Ingo","non-dropping-particle":"","parse-names":false,"suffix":""},{"dropping-particle":"","family":"Majithia","given":"Amit R.","non-dropping-particle":"","parse-names":false,"suffix":""},{"dropping-particle":"","family":"Palotie","given":"Aarno","non-dropping-particle":"","parse-names":false,"suffix":""},{"dropping-particle":"","family":"Daly","given":"Mark J.","non-dropping-particle":"","parse-names":false,"suffix":""}],"container-title":"Genome Medicine","id":"ITEM-1","issue":"1","issued":{"date-parts":[["2020","12","17"]]},"page":"28","title":"Gene family information facilitates variant interpretation and identification of disease-associated genes in neurodevelopmental disorders","type":"article-journal","volume":"12"},"uris":["http://www.mendeley.com/documents/?uuid=7800cf75-5694-499a-acb9-eee9e3ae061f"]}],"mendeley":{"formattedCitation":"[1]","plainTextFormattedCitation":"[1]","previouslyFormattedCitation":"[1]"},"properties":{"noteIndex":0},"schema":"https://github.com/citation-style-language/schema/raw/master/csl-citation.json"}</w:instrText>
      </w:r>
      <w:r w:rsidR="00C73152">
        <w:rPr>
          <w:rFonts w:cs="Times New Roman"/>
          <w:szCs w:val="24"/>
        </w:rPr>
        <w:fldChar w:fldCharType="separate"/>
      </w:r>
      <w:r w:rsidR="00C73152" w:rsidRPr="00C73152">
        <w:rPr>
          <w:rFonts w:cs="Times New Roman"/>
          <w:noProof/>
          <w:szCs w:val="24"/>
        </w:rPr>
        <w:t>[1]</w:t>
      </w:r>
      <w:r w:rsidR="00C73152">
        <w:rPr>
          <w:rFonts w:cs="Times New Roman"/>
          <w:szCs w:val="24"/>
        </w:rPr>
        <w:fldChar w:fldCharType="end"/>
      </w:r>
      <w:r w:rsidRPr="00ED434C">
        <w:rPr>
          <w:rFonts w:cs="Times New Roman"/>
          <w:szCs w:val="24"/>
        </w:rPr>
        <w:t xml:space="preserve">. We obtained a protein structure model from the SWISS-Model </w:t>
      </w:r>
      <w:r w:rsidR="00C73152">
        <w:rPr>
          <w:rFonts w:cs="Times New Roman"/>
          <w:szCs w:val="24"/>
        </w:rPr>
        <w:fldChar w:fldCharType="begin" w:fldLock="1"/>
      </w:r>
      <w:r w:rsidR="00C73152">
        <w:rPr>
          <w:rFonts w:cs="Times New Roman"/>
          <w:szCs w:val="24"/>
        </w:rPr>
        <w:instrText>ADDIN CSL_CITATION {"citationItems":[{"id":"ITEM-1","itemData":{"DOI":"10.1038/s41586-020-2308-7","ISSN":"0028-0836","abstract":"Genetic variants that inactivate protein-coding genes are a powerful source of information about the phenotypic consequences of gene disruption: genes that are crucial for the function of an organism will be depleted of such variants in natural populations, whereas non-essential genes will tolerate their accumulation. However, predicted loss-of-function variants are enriched for annotation errors, and tend to be found at extremely low frequencies, so their analysis requires careful variant annotation and very large sample sizes 1 . Here we describe the aggregation of 125,748 exomes and 15,708 genomes from human sequencing studies into the Genome Aggregation Database (gnomAD). We identify 443,769 high-confidence predicted loss-of-function variants in this cohort after filtering for artefacts caused by sequencing and annotation errors. Using an improved model of human mutation rates, we classify human protein-coding genes along a spectrum that represents tolerance to inactivation, validate this classification using data from model organisms and engineered human cells, and show that it can be used to improve the power of gene discovery for both common and rare diseases.","author":[{"dropping-particle":"","family":"Karczewski","given":"Konrad J.","non-dropping-particle":"","parse-names":false,"suffix":""},{"dropping-particle":"","family":"Francioli","given":"Laurent C.","non-dropping-particle":"","parse-names":false,"suffix":""},{"dropping-particle":"","family":"Tiao","given":"Grace","non-dropping-particle":"","parse-names":false,"suffix":""},{"dropping-particle":"","family":"Cummings","given":"Beryl B.","non-dropping-particle":"","parse-names":false,"suffix":""},{"dropping-particle":"","family":"Alföldi","given":"Jessica","non-dropping-particle":"","parse-names":false,"suffix":""},{"dropping-particle":"","family":"Wang","given":"Qingbo","non-dropping-particle":"","parse-names":false,"suffix":""},{"dropping-particle":"","family":"Collins","given":"Ryan L.","non-dropping-particle":"","parse-names":false,"suffix":""},{"dropping-particle":"","family":"Laricchia","given":"Kristen M.","non-dropping-particle":"","parse-names":false,"suffix":""},{"dropping-particle":"","family":"Ganna","given":"Andrea","non-dropping-particle":"","parse-names":false,"suffix":""},{"dropping-particle":"","family":"Birnbaum","given":"Daniel P.","non-dropping-particle":"","parse-names":false,"suffix":""},{"dropping-particle":"","family":"Gauthier","given":"Laura D.","non-dropping-particle":"","parse-names":false,"suffix":""},{"dropping-particle":"","family":"Brand","given":"Harrison","non-dropping-particle":"","parse-names":false,"suffix":""},{"dropping-particle":"","family":"Solomonson","given":"Matthew","non-dropping-particle":"","parse-names":false,"suffix":""},{"dropping-particle":"","family":"Watts","given":"Nicholas A.","non-dropping-particle":"","parse-names":false,"suffix":""},{"dropping-particle":"","family":"Rhodes","given":"Daniel","non-dropping-particle":"","parse-names":false,"suffix":""},{"dropping-particle":"","family":"Singer-Berk","given":"Moriel","non-dropping-particle":"","parse-names":false,"suffix":""},{"dropping-particle":"","family":"England","given":"Eleina M.","non-dropping-particle":"","parse-names":false,"suffix":""},{"dropping-particle":"","family":"Seaby","given":"Eleanor G.","non-dropping-particle":"","parse-names":false,"suffix":""},{"dropping-particle":"","family":"Kosmicki","given":"Jack A.","non-dropping-particle":"","parse-names":false,"suffix":""},{"dropping-particle":"","family":"Walters","given":"Raymond K.","non-dropping-particle":"","parse-names":false,"suffix":""},{"dropping-particle":"","family":"Tashman","given":"Katherine","non-dropping-particle":"","parse-names":false,"suffix":""},{"dropping-particle":"","family":"Farjoun","given":"Yossi","non-dropping-particle":"","parse-names":false,"suffix":""},{"dropping-particle":"","family":"Banks","given":"Eric","non-dropping-particle":"","parse-names":false,"suffix":""},{"dropping-particle":"","family":"Poterba","given":"Timothy","non-dropping-particle":"","parse-names":false,"suffix":""},{"dropping-particle":"","family":"Wang","given":"Arcturus","non-dropping-particle":"","parse-names":false,"suffix":""},{"dropping-particle":"","family":"Seed","given":"Cotton","non-dropping-particle":"","parse-names":false,"suffix":""},{"dropping-particle":"","family":"Whiffin","given":"Nicola","non-dropping-particle":"","parse-names":false,"suffix":""},{"dropping-particle":"","family":"Chong","given":"Jessica X.","non-dropping-particle":"","parse-names":false,"suffix":""},{"dropping-particle":"","family":"Samocha","given":"Kaitlin E.","non-dropping-particle":"","parse-names":false,"suffix":""},{"dropping-particle":"","family":"Pierce-Hoffman","given":"Emma","non-dropping-particle":"","parse-names":false,"suffix":""},{"dropping-particle":"","family":"Zappala","given":"Zachary","non-dropping-particle":"","parse-names":false,"suffix":""},{"dropping-particle":"","family":"O’Donnell-Luria","given":"Anne H.","non-dropping-particle":"","parse-names":false,"suffix":""},{"dropping-particle":"","family":"Minikel","given":"Eric Vallabh","non-dropping-particle":"","parse-names":false,"suffix":""},{"dropping-particle":"","family":"Weisburd","given":"Ben","non-dropping-particle":"","parse-names":false,"suffix":""},{"dropping-particle":"","family":"Lek","given":"Monkol","non-dropping-particle":"","parse-names":false,"suffix":""},{"dropping-particle":"","family":"Ware","given":"James S.","non-dropping-particle":"","parse-names":false,"suffix":""},{"dropping-particle":"","family":"Vittal","given":"Christopher","non-dropping-particle":"","parse-names":false,"suffix":""},{"dropping-particle":"","family":"Armean","given":"Irina M.","non-dropping-particle":"","parse-names":false,"suffix":""},{"dropping-particle":"","family":"Bergelson","given":"Louis","non-dropping-particle":"","parse-names":false,"suffix":""},{"dropping-particle":"","family":"Cibulskis","given":"Kristian","non-dropping-particle":"","parse-names":false,"suffix":""},{"dropping-particle":"","family":"Connolly","given":"Kristen M.","non-dropping-particle":"","parse-names":false,"suffix":""},{"dropping-particle":"","family":"Covarrubias","given":"Miguel","non-dropping-particle":"","parse-names":false,"suffix":""},{"dropping-particle":"","family":"Donnelly","given":"Stacey","non-dropping-particle":"","parse-names":false,"suffix":""},{"dropping-particle":"","family":"Ferriera","given":"Steven","non-dropping-particle":"","parse-names":false,"suffix":""},{"dropping-particle":"","family":"Gabriel","given":"Stacey","non-dropping-particle":"","parse-names":false,"suffix":""},{"dropping-particle":"","family":"Gentry","given":"Jeff","non-dropping-particle":"","parse-names":false,"suffix":""},{"dropping-particle":"","family":"Gupta","given":"Namrata","non-dropping-particle":"","parse-names":false,"suffix":""},{"dropping-particle":"","family":"Jeandet","given":"Thibault","non-dropping-particle":"","parse-names":false,"suffix":""},{"dropping-particle":"","family":"Kaplan","given":"Diane","non-dropping-particle":"","parse-names":false,"suffix":""},{"dropping-particle":"","family":"Llanwarne","given":"Christopher","non-dropping-particle":"","parse-names":false,"suffix":""},{"dropping-particle":"","family":"Munshi","given":"Ruchi","non-dropping-particle":"","parse-names":false,"suffix":""},{"dropping-particle":"","family":"Novod","given":"Sam","non-dropping-particle":"","parse-names":false,"suffix":""},{"dropping-particle":"","family":"Petrillo","given":"Nikelle","non-dropping-particle":"","parse-names":false,"suffix":""},{"dropping-particle":"","family":"Roazen","given":"David","non-dropping-particle":"","parse-names":false,"suffix":""},{"dropping-particle":"","family":"Ruano-Rubio","given":"Valentin","non-dropping-particle":"","parse-names":false,"suffix":""},{"dropping-particle":"","family":"Saltzman","given":"Andrea","non-dropping-particle":"","parse-names":false,"suffix":""},{"dropping-particle":"","family":"Schleicher","given":"Molly","non-dropping-particle":"","parse-names":false,"suffix":""},{"dropping-particle":"","family":"Soto","given":"Jose","non-dropping-particle":"","parse-names":false,"suffix":""},{"dropping-particle":"","family":"Tibbetts","given":"Kathleen","non-dropping-particle":"","parse-names":false,"suffix":""},{"dropping-particle":"","family":"Tolonen","given":"Charlotte","non-dropping-particle":"","parse-names":false,"suffix":""},{"dropping-particle":"","family":"Wade","given":"Gordon","non-dropping-particle":"","parse-names":false,"suffix":""},{"dropping-particle":"","family":"Talkowski","given":"Michael E.","non-dropping-particle":"","parse-names":false,"suffix":""},{"dropping-particle":"","family":"Neale","given":"Benjamin M.","non-dropping-particle":"","parse-names":false,"suffix":""},{"dropping-particle":"","family":"Daly","given":"Mark J.","non-dropping-particle":"","parse-names":false,"suffix":""},{"dropping-particle":"","family":"MacArthur","given":"Daniel G.","non-dropping-particle":"","parse-names":false,"suffix":""}],"container-title":"Nature","id":"ITEM-1","issue":"7809","issued":{"date-parts":[["2020","5","28"]]},"page":"434-443","title":"The mutational constraint spectrum quantified from variation in 141,456 humans","type":"article-journal","volume":"581"},"uris":["http://www.mendeley.com/documents/?uuid=7bc579dc-59de-416c-971d-53be80d4c706"]}],"mendeley":{"formattedCitation":"[2]","plainTextFormattedCitation":"[2]","previouslyFormattedCitation":"[2]"},"properties":{"noteIndex":0},"schema":"https://github.com/citation-style-language/schema/raw/master/csl-citation.json"}</w:instrText>
      </w:r>
      <w:r w:rsidR="00C73152">
        <w:rPr>
          <w:rFonts w:cs="Times New Roman"/>
          <w:szCs w:val="24"/>
        </w:rPr>
        <w:fldChar w:fldCharType="separate"/>
      </w:r>
      <w:r w:rsidR="00C73152" w:rsidRPr="00C73152">
        <w:rPr>
          <w:rFonts w:cs="Times New Roman"/>
          <w:noProof/>
          <w:szCs w:val="24"/>
        </w:rPr>
        <w:t>[2]</w:t>
      </w:r>
      <w:r w:rsidR="00C73152">
        <w:rPr>
          <w:rFonts w:cs="Times New Roman"/>
          <w:szCs w:val="24"/>
        </w:rPr>
        <w:fldChar w:fldCharType="end"/>
      </w:r>
      <w:r w:rsidRPr="00ED434C">
        <w:rPr>
          <w:rFonts w:cs="Times New Roman"/>
          <w:szCs w:val="24"/>
        </w:rPr>
        <w:t xml:space="preserve"> webserver (template = 4ret, chain A, </w:t>
      </w:r>
      <w:proofErr w:type="spellStart"/>
      <w:r w:rsidRPr="00ED434C">
        <w:rPr>
          <w:rFonts w:cs="Times New Roman"/>
          <w:szCs w:val="24"/>
        </w:rPr>
        <w:t>Qmean</w:t>
      </w:r>
      <w:proofErr w:type="spellEnd"/>
      <w:r w:rsidRPr="00ED434C">
        <w:rPr>
          <w:rFonts w:cs="Times New Roman"/>
          <w:szCs w:val="24"/>
        </w:rPr>
        <w:t xml:space="preserve"> = -1.83) that covers the residues 18-1013 (97%) of the protein. The patient</w:t>
      </w:r>
      <w:r w:rsidR="00E12C1B">
        <w:rPr>
          <w:rFonts w:cs="Times New Roman"/>
          <w:szCs w:val="24"/>
        </w:rPr>
        <w:t>’ variants</w:t>
      </w:r>
      <w:r w:rsidRPr="00ED434C">
        <w:rPr>
          <w:rFonts w:cs="Times New Roman"/>
          <w:szCs w:val="24"/>
        </w:rPr>
        <w:t xml:space="preserve"> listed in this review as well as variants from the general population obtained from the genome aggregation database (</w:t>
      </w:r>
      <w:proofErr w:type="spellStart"/>
      <w:r w:rsidRPr="00ED434C">
        <w:rPr>
          <w:rFonts w:cs="Times New Roman"/>
          <w:szCs w:val="24"/>
        </w:rPr>
        <w:t>gnomAD</w:t>
      </w:r>
      <w:proofErr w:type="spellEnd"/>
      <w:r w:rsidRPr="00ED434C">
        <w:rPr>
          <w:rFonts w:cs="Times New Roman"/>
          <w:szCs w:val="24"/>
        </w:rPr>
        <w:t xml:space="preserve"> v2.1.1) </w:t>
      </w:r>
      <w:r w:rsidR="00C73152">
        <w:rPr>
          <w:rFonts w:cs="Times New Roman"/>
          <w:szCs w:val="24"/>
        </w:rPr>
        <w:fldChar w:fldCharType="begin" w:fldLock="1"/>
      </w:r>
      <w:r w:rsidR="00C73152">
        <w:rPr>
          <w:rFonts w:cs="Times New Roman"/>
          <w:szCs w:val="24"/>
        </w:rPr>
        <w:instrText>ADDIN CSL_CITATION {"citationItems":[{"id":"ITEM-1","itemData":{"DOI":"10.1093/nar/gky1049","ISSN":"0305-1048","author":[{"dropping-particle":"","family":"The UniProt Consortium","given":"","non-dropping-particle":"","parse-names":false,"suffix":""}],"container-title":"Nucleic Acids Research","id":"ITEM-1","issue":"D1","issued":{"date-parts":[["2019","1","8"]]},"page":"D506-D515","title":"UniProt: a worldwide hub of protein knowledge","type":"article-journal","volume":"47"},"uris":["http://www.mendeley.com/documents/?uuid=a75513ff-d524-4f08-a1fb-cf8e821621e9"]}],"mendeley":{"formattedCitation":"[3]","plainTextFormattedCitation":"[3]","previouslyFormattedCitation":"[3]"},"properties":{"noteIndex":0},"schema":"https://github.com/citation-style-language/schema/raw/master/csl-citation.json"}</w:instrText>
      </w:r>
      <w:r w:rsidR="00C73152">
        <w:rPr>
          <w:rFonts w:cs="Times New Roman"/>
          <w:szCs w:val="24"/>
        </w:rPr>
        <w:fldChar w:fldCharType="separate"/>
      </w:r>
      <w:r w:rsidR="00C73152" w:rsidRPr="00C73152">
        <w:rPr>
          <w:rFonts w:cs="Times New Roman"/>
          <w:noProof/>
          <w:szCs w:val="24"/>
        </w:rPr>
        <w:t>[3]</w:t>
      </w:r>
      <w:r w:rsidR="00C73152">
        <w:rPr>
          <w:rFonts w:cs="Times New Roman"/>
          <w:szCs w:val="24"/>
        </w:rPr>
        <w:fldChar w:fldCharType="end"/>
      </w:r>
      <w:r w:rsidR="00C73152">
        <w:rPr>
          <w:rFonts w:cs="Times New Roman"/>
          <w:szCs w:val="24"/>
        </w:rPr>
        <w:t xml:space="preserve"> </w:t>
      </w:r>
      <w:r w:rsidRPr="00ED434C">
        <w:rPr>
          <w:rFonts w:cs="Times New Roman"/>
          <w:szCs w:val="24"/>
        </w:rPr>
        <w:t xml:space="preserve">were visualized in </w:t>
      </w:r>
      <w:proofErr w:type="spellStart"/>
      <w:r w:rsidRPr="00ED434C">
        <w:rPr>
          <w:rFonts w:cs="Times New Roman"/>
          <w:szCs w:val="24"/>
        </w:rPr>
        <w:t>Pymol</w:t>
      </w:r>
      <w:proofErr w:type="spellEnd"/>
      <w:r w:rsidRPr="00ED434C">
        <w:rPr>
          <w:rFonts w:cs="Times New Roman"/>
          <w:szCs w:val="24"/>
        </w:rPr>
        <w:t xml:space="preserve"> (The </w:t>
      </w:r>
      <w:proofErr w:type="spellStart"/>
      <w:r w:rsidRPr="00ED434C">
        <w:rPr>
          <w:rFonts w:cs="Times New Roman"/>
          <w:szCs w:val="24"/>
        </w:rPr>
        <w:t>PyMOL</w:t>
      </w:r>
      <w:proofErr w:type="spellEnd"/>
      <w:r w:rsidRPr="00ED434C">
        <w:rPr>
          <w:rFonts w:cs="Times New Roman"/>
          <w:szCs w:val="24"/>
        </w:rPr>
        <w:t xml:space="preserve"> Molecular Graphics System, Schrödinger, LLC. https://pymol.org/)</w:t>
      </w:r>
    </w:p>
    <w:p w14:paraId="5739C7A8" w14:textId="77777777" w:rsidR="00ED434C" w:rsidRPr="0047053E" w:rsidRDefault="00ED434C" w:rsidP="00ED434C">
      <w:pPr>
        <w:keepNext/>
        <w:rPr>
          <w:rFonts w:cs="Times New Roman"/>
          <w:b/>
          <w:szCs w:val="24"/>
        </w:rPr>
      </w:pPr>
    </w:p>
    <w:p w14:paraId="5EAD4C06" w14:textId="2693F2C6" w:rsidR="00ED434C" w:rsidRPr="0047053E" w:rsidRDefault="00ED434C" w:rsidP="00ED434C">
      <w:pPr>
        <w:keepNext/>
        <w:rPr>
          <w:rFonts w:cs="Times New Roman"/>
          <w:b/>
          <w:szCs w:val="24"/>
        </w:rPr>
      </w:pPr>
      <w:r w:rsidRPr="0047053E">
        <w:rPr>
          <w:rFonts w:cs="Times New Roman"/>
          <w:b/>
          <w:szCs w:val="24"/>
        </w:rPr>
        <w:t>A.2</w:t>
      </w:r>
      <w:r w:rsidR="0047053E">
        <w:rPr>
          <w:rFonts w:cs="Times New Roman"/>
          <w:b/>
          <w:szCs w:val="24"/>
        </w:rPr>
        <w:t>.</w:t>
      </w:r>
      <w:r w:rsidRPr="0047053E">
        <w:rPr>
          <w:rFonts w:cs="Times New Roman"/>
          <w:b/>
          <w:szCs w:val="24"/>
        </w:rPr>
        <w:t xml:space="preserve"> </w:t>
      </w:r>
      <w:r w:rsidR="0047053E" w:rsidRPr="0047053E">
        <w:rPr>
          <w:rFonts w:cs="Times New Roman"/>
          <w:b/>
          <w:szCs w:val="24"/>
        </w:rPr>
        <w:tab/>
      </w:r>
      <w:r w:rsidRPr="0047053E">
        <w:rPr>
          <w:rFonts w:cs="Times New Roman"/>
          <w:b/>
          <w:szCs w:val="24"/>
        </w:rPr>
        <w:t xml:space="preserve">POPULATION CONSTRAINT ANALYSIS. </w:t>
      </w:r>
    </w:p>
    <w:p w14:paraId="394A73C6" w14:textId="2BE67837" w:rsidR="00ED434C" w:rsidRPr="00ED434C" w:rsidRDefault="00ED434C" w:rsidP="00ED434C">
      <w:pPr>
        <w:keepNext/>
        <w:rPr>
          <w:rFonts w:cs="Times New Roman"/>
          <w:szCs w:val="24"/>
        </w:rPr>
      </w:pPr>
      <w:r w:rsidRPr="00ED434C">
        <w:rPr>
          <w:rFonts w:cs="Times New Roman"/>
          <w:szCs w:val="24"/>
        </w:rPr>
        <w:t>To assess the constraint for population variants</w:t>
      </w:r>
      <w:r w:rsidR="00E12C1B">
        <w:rPr>
          <w:rFonts w:cs="Times New Roman"/>
          <w:szCs w:val="24"/>
        </w:rPr>
        <w:t>,</w:t>
      </w:r>
      <w:r w:rsidRPr="00ED434C">
        <w:rPr>
          <w:rFonts w:cs="Times New Roman"/>
          <w:szCs w:val="24"/>
        </w:rPr>
        <w:t xml:space="preserve"> the missense tolerance ratio (MTR) </w:t>
      </w:r>
      <w:r w:rsidR="00C73152">
        <w:rPr>
          <w:rFonts w:cs="Times New Roman"/>
          <w:szCs w:val="24"/>
        </w:rPr>
        <w:fldChar w:fldCharType="begin" w:fldLock="1"/>
      </w:r>
      <w:r w:rsidR="00C73152">
        <w:rPr>
          <w:rFonts w:cs="Times New Roman"/>
          <w:szCs w:val="24"/>
        </w:rPr>
        <w:instrText>ADDIN CSL_CITATION {"citationItems":[{"id":"ITEM-1","itemData":{"DOI":"10.1093/nar/28.1.235","ISSN":"0305-1048","PMID":"10592235","abstract":"The Protein Data Bank (PDB; http://www.rcsb.org/pdb/ ) is the single worldwide archive of structural data of biological macromolecules. This paper describes the goals of the PDB, the systems in place for data deposition and access, how to obtain further information, and near-term plans for the future development of the resource.","author":[{"dropping-particle":"","family":"Berman","given":"Helen M.","non-dropping-particle":"","parse-names":false,"suffix":""},{"dropping-particle":"","family":"Westbrook","given":"John","non-dropping-particle":"","parse-names":false,"suffix":""},{"dropping-particle":"","family":"Feng","given":"Zukang","non-dropping-particle":"","parse-names":false,"suffix":""},{"dropping-particle":"","family":"Gilliland","given":"Gary","non-dropping-particle":"","parse-names":false,"suffix":""},{"dropping-particle":"","family":"Bhat","given":"T. N.","non-dropping-particle":"","parse-names":false,"suffix":""},{"dropping-particle":"","family":"Weissig","given":"Helge","non-dropping-particle":"","parse-names":false,"suffix":""},{"dropping-particle":"","family":"Shindyalov","given":"Ilya N.","non-dropping-particle":"","parse-names":false,"suffix":""},{"dropping-particle":"","family":"Bourne","given":"Philip E.","non-dropping-particle":"","parse-names":false,"suffix":""}],"container-title":"Nucleic acids research","id":"ITEM-1","issue":"1","issued":{"date-parts":[["2000","1","1"]]},"page":"235-42","title":"The Protein Data Bank.","type":"article-journal","volume":"28"},"uris":["http://www.mendeley.com/documents/?uuid=2bc944b9-2fe2-4c76-ad31-70deb3056728"]}],"mendeley":{"formattedCitation":"[4]","plainTextFormattedCitation":"[4]","previouslyFormattedCitation":"[4]"},"properties":{"noteIndex":0},"schema":"https://github.com/citation-style-language/schema/raw/master/csl-citation.json"}</w:instrText>
      </w:r>
      <w:r w:rsidR="00C73152">
        <w:rPr>
          <w:rFonts w:cs="Times New Roman"/>
          <w:szCs w:val="24"/>
        </w:rPr>
        <w:fldChar w:fldCharType="separate"/>
      </w:r>
      <w:r w:rsidR="00C73152" w:rsidRPr="00C73152">
        <w:rPr>
          <w:rFonts w:cs="Times New Roman"/>
          <w:noProof/>
          <w:szCs w:val="24"/>
        </w:rPr>
        <w:t>[4]</w:t>
      </w:r>
      <w:r w:rsidR="00C73152">
        <w:rPr>
          <w:rFonts w:cs="Times New Roman"/>
          <w:szCs w:val="24"/>
        </w:rPr>
        <w:fldChar w:fldCharType="end"/>
      </w:r>
      <w:r w:rsidRPr="00ED434C">
        <w:rPr>
          <w:rFonts w:cs="Times New Roman"/>
          <w:szCs w:val="24"/>
        </w:rPr>
        <w:t xml:space="preserve"> was obtained from the MTR-viewer website (http://biosig.unimelb.edu.au; accessed Feb/2021). As a neutral comparison group, we collected variants from the </w:t>
      </w:r>
      <w:proofErr w:type="spellStart"/>
      <w:r w:rsidRPr="00ED434C">
        <w:rPr>
          <w:rFonts w:cs="Times New Roman"/>
          <w:szCs w:val="24"/>
        </w:rPr>
        <w:t>DiscovEHR</w:t>
      </w:r>
      <w:proofErr w:type="spellEnd"/>
      <w:r w:rsidRPr="00ED434C">
        <w:rPr>
          <w:rFonts w:cs="Times New Roman"/>
          <w:szCs w:val="24"/>
        </w:rPr>
        <w:t xml:space="preserve"> database (http://www.discovehrshare.com; accessed Feb/2021). </w:t>
      </w:r>
      <w:proofErr w:type="spellStart"/>
      <w:r w:rsidRPr="00ED434C">
        <w:rPr>
          <w:rFonts w:cs="Times New Roman"/>
          <w:szCs w:val="24"/>
        </w:rPr>
        <w:t>DiscovEHR</w:t>
      </w:r>
      <w:proofErr w:type="spellEnd"/>
      <w:r w:rsidRPr="00ED434C">
        <w:rPr>
          <w:rFonts w:cs="Times New Roman"/>
          <w:szCs w:val="24"/>
        </w:rPr>
        <w:t xml:space="preserve"> is a variant rep</w:t>
      </w:r>
      <w:r w:rsidR="00E12C1B">
        <w:rPr>
          <w:rFonts w:cs="Times New Roman"/>
          <w:szCs w:val="24"/>
        </w:rPr>
        <w:t>ository containing more than 50,</w:t>
      </w:r>
      <w:r w:rsidRPr="00ED434C">
        <w:rPr>
          <w:rFonts w:cs="Times New Roman"/>
          <w:szCs w:val="24"/>
        </w:rPr>
        <w:t xml:space="preserve">000 whole exome sequences of patients mainly associated with cardiometabolic, respiratory, and cancer phenotypes. Rare severe pediatric neurodevelopmental disorders were not ascertained in </w:t>
      </w:r>
      <w:proofErr w:type="spellStart"/>
      <w:r w:rsidRPr="00ED434C">
        <w:rPr>
          <w:rFonts w:cs="Times New Roman"/>
          <w:szCs w:val="24"/>
        </w:rPr>
        <w:t>DiscoverEHR</w:t>
      </w:r>
      <w:proofErr w:type="spellEnd"/>
      <w:r w:rsidRPr="00ED434C">
        <w:rPr>
          <w:rFonts w:cs="Times New Roman"/>
          <w:szCs w:val="24"/>
        </w:rPr>
        <w:t xml:space="preserve">. We do not expect pathogenic </w:t>
      </w:r>
      <w:r w:rsidRPr="00E12C1B">
        <w:rPr>
          <w:rFonts w:cs="Times New Roman"/>
          <w:i/>
          <w:szCs w:val="24"/>
        </w:rPr>
        <w:t>ATP1A3</w:t>
      </w:r>
      <w:r w:rsidRPr="00ED434C">
        <w:rPr>
          <w:rFonts w:cs="Times New Roman"/>
          <w:szCs w:val="24"/>
        </w:rPr>
        <w:t xml:space="preserve"> variants in this dataset. The MTR score was generated using </w:t>
      </w:r>
      <w:proofErr w:type="spellStart"/>
      <w:r w:rsidRPr="00ED434C">
        <w:rPr>
          <w:rFonts w:cs="Times New Roman"/>
          <w:szCs w:val="24"/>
        </w:rPr>
        <w:t>gnomAD</w:t>
      </w:r>
      <w:proofErr w:type="spellEnd"/>
      <w:r w:rsidRPr="00ED434C">
        <w:rPr>
          <w:rFonts w:cs="Times New Roman"/>
          <w:szCs w:val="24"/>
        </w:rPr>
        <w:t xml:space="preserve"> variants. To avoid a bias due to variants in both datasets, all variants also present in </w:t>
      </w:r>
      <w:proofErr w:type="spellStart"/>
      <w:r w:rsidRPr="00ED434C">
        <w:rPr>
          <w:rFonts w:cs="Times New Roman"/>
          <w:szCs w:val="24"/>
        </w:rPr>
        <w:t>gnomAD</w:t>
      </w:r>
      <w:proofErr w:type="spellEnd"/>
      <w:r w:rsidRPr="00ED434C">
        <w:rPr>
          <w:rFonts w:cs="Times New Roman"/>
          <w:szCs w:val="24"/>
        </w:rPr>
        <w:t xml:space="preserve"> were removed from the </w:t>
      </w:r>
      <w:proofErr w:type="spellStart"/>
      <w:r w:rsidRPr="00ED434C">
        <w:rPr>
          <w:rFonts w:cs="Times New Roman"/>
          <w:szCs w:val="24"/>
        </w:rPr>
        <w:t>DiscovEHR</w:t>
      </w:r>
      <w:proofErr w:type="spellEnd"/>
      <w:r w:rsidRPr="00ED434C">
        <w:rPr>
          <w:rFonts w:cs="Times New Roman"/>
          <w:szCs w:val="24"/>
        </w:rPr>
        <w:t xml:space="preserve"> control group. Finally, all patient variants were grouped according to their severity into three distinct groups (mild, moderate and severe). This categorization was based on </w:t>
      </w:r>
      <w:r w:rsidR="0047053E">
        <w:rPr>
          <w:rFonts w:cs="Times New Roman"/>
          <w:szCs w:val="24"/>
        </w:rPr>
        <w:t>previous report</w:t>
      </w:r>
      <w:r w:rsidR="00C15E45">
        <w:rPr>
          <w:rFonts w:cs="Times New Roman"/>
          <w:szCs w:val="24"/>
        </w:rPr>
        <w:t xml:space="preserve">s and on </w:t>
      </w:r>
      <w:r w:rsidRPr="00ED434C">
        <w:rPr>
          <w:rFonts w:cs="Times New Roman"/>
          <w:szCs w:val="24"/>
        </w:rPr>
        <w:t xml:space="preserve">the opinion of the authors. Those phenotypes with early presentation, associated with severe encephalopathy, </w:t>
      </w:r>
      <w:r w:rsidR="003D4DEE">
        <w:rPr>
          <w:rFonts w:cs="Times New Roman"/>
          <w:szCs w:val="24"/>
        </w:rPr>
        <w:t xml:space="preserve">refractory </w:t>
      </w:r>
      <w:r w:rsidR="00C15E45">
        <w:rPr>
          <w:rFonts w:cs="Times New Roman"/>
          <w:szCs w:val="24"/>
        </w:rPr>
        <w:t xml:space="preserve">epilepsy, </w:t>
      </w:r>
      <w:r w:rsidRPr="00ED434C">
        <w:rPr>
          <w:rFonts w:cs="Times New Roman"/>
          <w:szCs w:val="24"/>
        </w:rPr>
        <w:t>structural abnormalities of the nervous system, more severe progression, severe neurological compromise between attacks, or early death were considered severe. At the other end, those with an older age at presentation, stationary evolution, less neurological compromise between attacks or less expected functional compromise, were considered mild. For the detailed statistical assessment see the statistical analysis section.</w:t>
      </w:r>
    </w:p>
    <w:p w14:paraId="7848347D" w14:textId="77777777" w:rsidR="00ED434C" w:rsidRPr="0047053E" w:rsidRDefault="00ED434C" w:rsidP="00ED434C">
      <w:pPr>
        <w:keepNext/>
        <w:rPr>
          <w:rFonts w:cs="Times New Roman"/>
          <w:b/>
          <w:szCs w:val="24"/>
        </w:rPr>
      </w:pPr>
    </w:p>
    <w:p w14:paraId="05129D25" w14:textId="50820202" w:rsidR="00ED434C" w:rsidRPr="0047053E" w:rsidRDefault="00ED434C" w:rsidP="00ED434C">
      <w:pPr>
        <w:keepNext/>
        <w:rPr>
          <w:rFonts w:cs="Times New Roman"/>
          <w:b/>
          <w:szCs w:val="24"/>
        </w:rPr>
      </w:pPr>
      <w:r w:rsidRPr="0047053E">
        <w:rPr>
          <w:rFonts w:cs="Times New Roman"/>
          <w:b/>
          <w:szCs w:val="24"/>
        </w:rPr>
        <w:t>A.3</w:t>
      </w:r>
      <w:r w:rsidR="0047053E">
        <w:rPr>
          <w:rFonts w:cs="Times New Roman"/>
          <w:b/>
          <w:szCs w:val="24"/>
        </w:rPr>
        <w:t>.</w:t>
      </w:r>
      <w:r w:rsidR="0047053E" w:rsidRPr="0047053E">
        <w:rPr>
          <w:rFonts w:cs="Times New Roman"/>
          <w:b/>
          <w:szCs w:val="24"/>
        </w:rPr>
        <w:tab/>
      </w:r>
      <w:r w:rsidRPr="0047053E">
        <w:rPr>
          <w:rFonts w:cs="Times New Roman"/>
          <w:b/>
          <w:szCs w:val="24"/>
        </w:rPr>
        <w:t xml:space="preserve">PARALOG CONSERVATION AND POPULATION CONSTRAINT ANALYSIS </w:t>
      </w:r>
    </w:p>
    <w:p w14:paraId="36234020" w14:textId="05E583E1" w:rsidR="00ED434C" w:rsidRPr="00ED434C" w:rsidRDefault="00ED434C" w:rsidP="00ED434C">
      <w:pPr>
        <w:keepNext/>
        <w:rPr>
          <w:rFonts w:cs="Times New Roman"/>
          <w:szCs w:val="24"/>
        </w:rPr>
      </w:pPr>
      <w:r w:rsidRPr="00ED434C">
        <w:rPr>
          <w:rFonts w:cs="Times New Roman"/>
          <w:szCs w:val="24"/>
        </w:rPr>
        <w:t xml:space="preserve">To quantify the amino acid conservation across paralogous genes we annotated the </w:t>
      </w:r>
      <w:proofErr w:type="spellStart"/>
      <w:r w:rsidRPr="00ED434C">
        <w:rPr>
          <w:rFonts w:cs="Times New Roman"/>
          <w:szCs w:val="24"/>
        </w:rPr>
        <w:t>Paraz</w:t>
      </w:r>
      <w:proofErr w:type="spellEnd"/>
      <w:r w:rsidRPr="00ED434C">
        <w:rPr>
          <w:rFonts w:cs="Times New Roman"/>
          <w:szCs w:val="24"/>
        </w:rPr>
        <w:t xml:space="preserve">-score. As defined by Lal et al. 2020, genes with &gt;80% sequence similarity are considered to be paralogs </w:t>
      </w:r>
      <w:r w:rsidR="00D246BB">
        <w:rPr>
          <w:rFonts w:cs="Times New Roman"/>
          <w:szCs w:val="24"/>
        </w:rPr>
        <w:fldChar w:fldCharType="begin" w:fldLock="1"/>
      </w:r>
      <w:r w:rsidR="00D246BB">
        <w:rPr>
          <w:rFonts w:cs="Times New Roman"/>
          <w:szCs w:val="24"/>
        </w:rPr>
        <w:instrText>ADDIN CSL_CITATION {"citationItems":[{"id":"ITEM-1","itemData":{"DOI":"10.1186/s13073-020-00725-6","ISSN":"1756-994X","author":[{"dropping-particle":"","family":"Lal","given":"Dennis","non-dropping-particle":"","parse-names":false,"suffix":""},{"dropping-particle":"","family":"May","given":"Patrick","non-dropping-particle":"","parse-names":false,"suffix":""},{"dropping-particle":"","family":"Perez-Palma","given":"Eduardo","non-dropping-particle":"","parse-names":false,"suffix":""},{"dropping-particle":"","family":"Samocha","given":"Kaitlin E.","non-dropping-particle":"","parse-names":false,"suffix":""},{"dropping-particle":"","family":"Kosmicki","given":"Jack A.","non-dropping-particle":"","parse-names":false,"suffix":""},{"dropping-particle":"","family":"Robinson","given":"Elise B.","non-dropping-particle":"","parse-names":false,"suffix":""},{"dropping-particle":"","family":"Møller","given":"Rikke S.","non-dropping-particle":"","parse-names":false,"suffix":""},{"dropping-particle":"","family":"Krause","given":"Roland","non-dropping-particle":"","parse-names":false,"suffix":""},{"dropping-particle":"","family":"Nürnberg","given":"Peter","non-dropping-particle":"","parse-names":false,"suffix":""},{"dropping-particle":"","family":"Weckhuysen","given":"Sarah","non-dropping-particle":"","parse-names":false,"suffix":""},{"dropping-particle":"","family":"Jonghe","given":"Peter","non-dropping-particle":"De","parse-names":false,"suffix":""},{"dropping-particle":"","family":"Guerrini","given":"Renzo","non-dropping-particle":"","parse-names":false,"suffix":""},{"dropping-particle":"","family":"Niestroj","given":"Lisa M.","non-dropping-particle":"","parse-names":false,"suffix":""},{"dropping-particle":"","family":"Du","given":"Juliana","non-dropping-particle":"","parse-names":false,"suffix":""},{"dropping-particle":"","family":"Marini","given":"Carla","non-dropping-particle":"","parse-names":false,"suffix":""},{"dropping-particle":"","family":"Ware","given":"James S.","non-dropping-particle":"","parse-names":false,"suffix":""},{"dropping-particle":"","family":"Kurki","given":"Mitja","non-dropping-particle":"","parse-names":false,"suffix":""},{"dropping-particle":"","family":"Gormley","given":"Padhraig","non-dropping-particle":"","parse-names":false,"suffix":""},{"dropping-particle":"","family":"Tang","given":"Sha","non-dropping-particle":"","parse-names":false,"suffix":""},{"dropping-particle":"","family":"Wu","given":"Sitao","non-dropping-particle":"","parse-names":false,"suffix":""},{"dropping-particle":"","family":"Biskup","given":"Saskia","non-dropping-particle":"","parse-names":false,"suffix":""},{"dropping-particle":"","family":"Poduri","given":"Annapurna","non-dropping-particle":"","parse-names":false,"suffix":""},{"dropping-particle":"","family":"Neubauer","given":"Bernd A.","non-dropping-particle":"","parse-names":false,"suffix":""},{"dropping-particle":"","family":"Koeleman","given":"Bobby P. C.","non-dropping-particle":"","parse-names":false,"suffix":""},{"dropping-particle":"","family":"Helbig","given":"Katherine L.","non-dropping-particle":"","parse-names":false,"suffix":""},{"dropping-particle":"","family":"Weber","given":"Yvonne G.","non-dropping-particle":"","parse-names":false,"suffix":""},{"dropping-particle":"","family":"Helbig","given":"Ingo","non-dropping-particle":"","parse-names":false,"suffix":""},{"dropping-particle":"","family":"Majithia","given":"Amit R.","non-dropping-particle":"","parse-names":false,"suffix":""},{"dropping-particle":"","family":"Palotie","given":"Aarno","non-dropping-particle":"","parse-names":false,"suffix":""},{"dropping-particle":"","family":"Daly","given":"Mark J.","non-dropping-particle":"","parse-names":false,"suffix":""}],"container-title":"Genome Medicine","id":"ITEM-1","issue":"1","issued":{"date-parts":[["2020","12","17"]]},"page":"28","title":"Gene family information facilitates variant interpretation and identification of disease-associated genes in neurodevelopmental disorders","type":"article-journal","volume":"12"},"uris":["http://www.mendeley.com/documents/?uuid=7800cf75-5694-499a-acb9-eee9e3ae061f"]}],"mendeley":{"formattedCitation":"[1]","plainTextFormattedCitation":"[1]"},"properties":{"noteIndex":0},"schema":"https://github.com/citation-style-language/schema/raw/master/csl-citation.json"}</w:instrText>
      </w:r>
      <w:r w:rsidR="00D246BB">
        <w:rPr>
          <w:rFonts w:cs="Times New Roman"/>
          <w:szCs w:val="24"/>
        </w:rPr>
        <w:fldChar w:fldCharType="separate"/>
      </w:r>
      <w:r w:rsidR="00D246BB" w:rsidRPr="00D246BB">
        <w:rPr>
          <w:rFonts w:cs="Times New Roman"/>
          <w:noProof/>
          <w:szCs w:val="24"/>
        </w:rPr>
        <w:t>[1]</w:t>
      </w:r>
      <w:r w:rsidR="00D246BB">
        <w:rPr>
          <w:rFonts w:cs="Times New Roman"/>
          <w:szCs w:val="24"/>
        </w:rPr>
        <w:fldChar w:fldCharType="end"/>
      </w:r>
      <w:r w:rsidRPr="00ED434C">
        <w:rPr>
          <w:rFonts w:cs="Times New Roman"/>
          <w:szCs w:val="24"/>
        </w:rPr>
        <w:t xml:space="preserve">. According to this definition, the </w:t>
      </w:r>
      <w:r w:rsidRPr="00E12C1B">
        <w:rPr>
          <w:rFonts w:cs="Times New Roman"/>
          <w:i/>
          <w:szCs w:val="24"/>
        </w:rPr>
        <w:t>ATP1A3</w:t>
      </w:r>
      <w:r w:rsidRPr="00ED434C">
        <w:rPr>
          <w:rFonts w:cs="Times New Roman"/>
          <w:szCs w:val="24"/>
        </w:rPr>
        <w:t xml:space="preserve"> gene family consists out of 6 paralogues genes (</w:t>
      </w:r>
      <w:r w:rsidRPr="00E12C1B">
        <w:rPr>
          <w:rFonts w:cs="Times New Roman"/>
          <w:i/>
          <w:szCs w:val="24"/>
        </w:rPr>
        <w:t>ATP1A3, ATP1A1, ATP1A2, ATP1A4, ATP1A12, ATP4A</w:t>
      </w:r>
      <w:r w:rsidRPr="00ED434C">
        <w:rPr>
          <w:rFonts w:cs="Times New Roman"/>
          <w:szCs w:val="24"/>
        </w:rPr>
        <w:t xml:space="preserve">). To compare the paralog conservation of the patient </w:t>
      </w:r>
      <w:r w:rsidRPr="00ED434C">
        <w:rPr>
          <w:rFonts w:cs="Times New Roman"/>
          <w:szCs w:val="24"/>
        </w:rPr>
        <w:lastRenderedPageBreak/>
        <w:t xml:space="preserve">variants with a control group, variants from </w:t>
      </w:r>
      <w:proofErr w:type="spellStart"/>
      <w:r w:rsidRPr="00ED434C">
        <w:rPr>
          <w:rFonts w:cs="Times New Roman"/>
          <w:szCs w:val="24"/>
        </w:rPr>
        <w:t>DiscovEHR</w:t>
      </w:r>
      <w:proofErr w:type="spellEnd"/>
      <w:r w:rsidRPr="00ED434C">
        <w:rPr>
          <w:rFonts w:cs="Times New Roman"/>
          <w:szCs w:val="24"/>
        </w:rPr>
        <w:t xml:space="preserve"> were annotated (see Population constraint analysis section). Finally, paralog conservation across different levels of severity and the control group were quantified (see statistical analysis section).</w:t>
      </w:r>
    </w:p>
    <w:p w14:paraId="015FE17F" w14:textId="77777777" w:rsidR="00ED434C" w:rsidRPr="00ED434C" w:rsidRDefault="00ED434C" w:rsidP="00ED434C">
      <w:pPr>
        <w:keepNext/>
        <w:rPr>
          <w:rFonts w:cs="Times New Roman"/>
          <w:szCs w:val="24"/>
        </w:rPr>
      </w:pPr>
    </w:p>
    <w:p w14:paraId="565A7EC1" w14:textId="7F07B1F4" w:rsidR="00ED434C" w:rsidRPr="0047053E" w:rsidRDefault="00ED434C" w:rsidP="00ED434C">
      <w:pPr>
        <w:keepNext/>
        <w:rPr>
          <w:rFonts w:cs="Times New Roman"/>
          <w:b/>
          <w:szCs w:val="24"/>
        </w:rPr>
      </w:pPr>
      <w:r w:rsidRPr="0047053E">
        <w:rPr>
          <w:rFonts w:cs="Times New Roman"/>
          <w:b/>
          <w:szCs w:val="24"/>
        </w:rPr>
        <w:t>A.4</w:t>
      </w:r>
      <w:r w:rsidR="0047053E">
        <w:rPr>
          <w:rFonts w:cs="Times New Roman"/>
          <w:b/>
          <w:szCs w:val="24"/>
        </w:rPr>
        <w:t>.</w:t>
      </w:r>
      <w:r w:rsidRPr="0047053E">
        <w:rPr>
          <w:rFonts w:cs="Times New Roman"/>
          <w:b/>
          <w:szCs w:val="24"/>
        </w:rPr>
        <w:t xml:space="preserve"> </w:t>
      </w:r>
      <w:r w:rsidR="0047053E" w:rsidRPr="0047053E">
        <w:rPr>
          <w:rFonts w:cs="Times New Roman"/>
          <w:b/>
          <w:szCs w:val="24"/>
        </w:rPr>
        <w:tab/>
      </w:r>
      <w:r w:rsidRPr="0047053E">
        <w:rPr>
          <w:rFonts w:cs="Times New Roman"/>
          <w:b/>
          <w:szCs w:val="24"/>
        </w:rPr>
        <w:t>STATISTICAL ANALYSIS</w:t>
      </w:r>
    </w:p>
    <w:p w14:paraId="5D825FE7" w14:textId="68BDA61A" w:rsidR="00ED434C" w:rsidRDefault="00ED434C" w:rsidP="00ED434C">
      <w:pPr>
        <w:keepNext/>
        <w:rPr>
          <w:rFonts w:cs="Times New Roman"/>
          <w:szCs w:val="24"/>
        </w:rPr>
      </w:pPr>
      <w:r w:rsidRPr="00ED434C">
        <w:rPr>
          <w:rFonts w:cs="Times New Roman"/>
          <w:szCs w:val="24"/>
        </w:rPr>
        <w:t xml:space="preserve">A Mann-Whitney-U test was performed to test for differences in the paralog conservation and variant constraint between the different classes of severity and the control variants collected from the </w:t>
      </w:r>
      <w:proofErr w:type="spellStart"/>
      <w:r w:rsidRPr="00ED434C">
        <w:rPr>
          <w:rFonts w:cs="Times New Roman"/>
          <w:szCs w:val="24"/>
        </w:rPr>
        <w:t>DiscovEHR</w:t>
      </w:r>
      <w:proofErr w:type="spellEnd"/>
      <w:r w:rsidRPr="00ED434C">
        <w:rPr>
          <w:rFonts w:cs="Times New Roman"/>
          <w:szCs w:val="24"/>
        </w:rPr>
        <w:t xml:space="preserve"> database (see population constraint analysis for details). Visualizations were generated in R (version 4.0.3) with the ggplot2 package (version 3.3.2).</w:t>
      </w:r>
    </w:p>
    <w:p w14:paraId="1C5C54B4" w14:textId="48DA93E4" w:rsidR="00ED434C" w:rsidRDefault="00ED434C" w:rsidP="00994A3D">
      <w:pPr>
        <w:keepNext/>
        <w:rPr>
          <w:rFonts w:cs="Times New Roman"/>
          <w:szCs w:val="24"/>
        </w:rPr>
      </w:pPr>
    </w:p>
    <w:p w14:paraId="04686407" w14:textId="77777777" w:rsidR="00C73152" w:rsidRDefault="00C73152" w:rsidP="00994A3D">
      <w:pPr>
        <w:keepNext/>
        <w:rPr>
          <w:rFonts w:cs="Times New Roman"/>
          <w:szCs w:val="24"/>
        </w:rPr>
      </w:pPr>
    </w:p>
    <w:p w14:paraId="22AD828F" w14:textId="32F1BCE8" w:rsidR="00C73152" w:rsidRDefault="00C73152" w:rsidP="00994A3D">
      <w:pPr>
        <w:keepNext/>
        <w:rPr>
          <w:rFonts w:cs="Times New Roman"/>
          <w:b/>
          <w:bCs/>
          <w:szCs w:val="24"/>
        </w:rPr>
      </w:pPr>
      <w:r w:rsidRPr="00C73152">
        <w:rPr>
          <w:rFonts w:cs="Times New Roman"/>
          <w:b/>
          <w:bCs/>
          <w:szCs w:val="24"/>
        </w:rPr>
        <w:t>REFERENCES</w:t>
      </w:r>
    </w:p>
    <w:p w14:paraId="7EE8ED0A" w14:textId="77777777" w:rsidR="00C73152" w:rsidRDefault="00C73152" w:rsidP="00994A3D">
      <w:pPr>
        <w:keepNext/>
        <w:rPr>
          <w:rFonts w:cs="Times New Roman"/>
          <w:b/>
          <w:bCs/>
          <w:szCs w:val="24"/>
        </w:rPr>
      </w:pPr>
    </w:p>
    <w:p w14:paraId="06C2FCCE" w14:textId="74C7286F" w:rsidR="00D246BB" w:rsidRPr="00D246BB" w:rsidRDefault="00C73152" w:rsidP="00D246BB">
      <w:pPr>
        <w:widowControl w:val="0"/>
        <w:autoSpaceDE w:val="0"/>
        <w:autoSpaceDN w:val="0"/>
        <w:adjustRightInd w:val="0"/>
        <w:ind w:left="640" w:hanging="640"/>
        <w:rPr>
          <w:rFonts w:cs="Times New Roman"/>
          <w:noProof/>
          <w:lang w:val="es-MX"/>
        </w:rPr>
      </w:pPr>
      <w:r>
        <w:rPr>
          <w:rFonts w:cs="Times New Roman"/>
          <w:b/>
          <w:bCs/>
          <w:szCs w:val="24"/>
        </w:rPr>
        <w:fldChar w:fldCharType="begin" w:fldLock="1"/>
      </w:r>
      <w:r>
        <w:rPr>
          <w:rFonts w:cs="Times New Roman"/>
          <w:b/>
          <w:bCs/>
          <w:szCs w:val="24"/>
        </w:rPr>
        <w:instrText xml:space="preserve">ADDIN Mendeley Bibliography CSL_BIBLIOGRAPHY </w:instrText>
      </w:r>
      <w:r>
        <w:rPr>
          <w:rFonts w:cs="Times New Roman"/>
          <w:b/>
          <w:bCs/>
          <w:szCs w:val="24"/>
        </w:rPr>
        <w:fldChar w:fldCharType="separate"/>
      </w:r>
      <w:r w:rsidR="00D246BB" w:rsidRPr="00D246BB">
        <w:rPr>
          <w:rFonts w:cs="Times New Roman"/>
          <w:noProof/>
          <w:lang w:val="es-MX"/>
        </w:rPr>
        <w:t>[1]</w:t>
      </w:r>
      <w:r w:rsidR="00D246BB" w:rsidRPr="00D246BB">
        <w:rPr>
          <w:rFonts w:cs="Times New Roman"/>
          <w:noProof/>
          <w:lang w:val="es-MX"/>
        </w:rPr>
        <w:tab/>
        <w:t>D. Lal, P. May, E. Perez-Palma, K.E. Samocha, J.A. Kosmicki, E.B. Robinson, R.S. Møller, R. Krause, P. Nürnberg, S. Weckhuysen, P. De Jonghe, R. Guerrini, L.M. Niestroj, J. Du, C. Marini, J.S. Ware, M. Kurki, P. Gormley, S. Tang, S. Wu, S. Biskup, A. Poduri, B.A. Neubauer, B.P.C. Koeleman, K.L. Helbig, Y.G. Weber, I. Helbig, A.R. Majithia, A. Palotie, M.J. Daly, Gene family information facilitates variant interpretation and identification of disease-associated genes in neurodevelopmental disorders, Genome Med. 12 (2020) 28. https://doi.org/10.1186/s13073-020-00725-6.</w:t>
      </w:r>
    </w:p>
    <w:p w14:paraId="016920A3" w14:textId="77777777" w:rsidR="00D246BB" w:rsidRPr="00D246BB" w:rsidRDefault="00D246BB" w:rsidP="00D246BB">
      <w:pPr>
        <w:widowControl w:val="0"/>
        <w:autoSpaceDE w:val="0"/>
        <w:autoSpaceDN w:val="0"/>
        <w:adjustRightInd w:val="0"/>
        <w:ind w:left="640" w:hanging="640"/>
        <w:rPr>
          <w:rFonts w:cs="Times New Roman"/>
          <w:noProof/>
          <w:lang w:val="es-MX"/>
        </w:rPr>
      </w:pPr>
      <w:r w:rsidRPr="00D246BB">
        <w:rPr>
          <w:rFonts w:cs="Times New Roman"/>
          <w:noProof/>
          <w:lang w:val="es-MX"/>
        </w:rPr>
        <w:t>[2]</w:t>
      </w:r>
      <w:r w:rsidRPr="00D246BB">
        <w:rPr>
          <w:rFonts w:cs="Times New Roman"/>
          <w:noProof/>
          <w:lang w:val="es-MX"/>
        </w:rPr>
        <w:tab/>
        <w:t>K.J. Karczewski, L.C. Francioli, G. Tiao, B.B. Cummings, J. Alföldi, Q. Wang, R.L. Collins, K.M. Laricchia, A. Ganna, D.P. Birnbaum, L.D. Gauthier, H. Brand, M. Solomonson, N.A. Watts, D. Rhodes, M. Singer-Berk, E.M. England, E.G. Seaby, J.A. Kosmicki, R.K. Walters, K. Tashman, Y. Farjoun, E. Banks, T. Poterba, A. Wang, C. Seed, N. Whiffin, J.X. Chong, K.E. Samocha, E. Pierce-Hoffman, Z. Zappala, A.H. O’Donnell-Luria, E.V. Minikel, B. Weisburd, M. Lek, J.S. Ware, C. Vittal, I.M. Armean, L. Bergelson, K. Cibulskis, K.M. Connolly, M. Covarrubias, S. Donnelly, S. Ferriera, S. Gabriel, J. Gentry, N. Gupta, T. Jeandet, D. Kaplan, C. Llanwarne, R. Munshi, S. Novod, N. Petrillo, D. Roazen, V. Ruano-Rubio, A. Saltzman, M. Schleicher, J. Soto, K. Tibbetts, C. Tolonen, G. Wade, M.E. Talkowski, B.M. Neale, M.J. Daly, D.G. MacArthur, The mutational constraint spectrum quantified from variation in 141,456 humans, Nature. 581 (2020) 434–443. https://doi.org/10.1038/s41586-020-2308-7.</w:t>
      </w:r>
    </w:p>
    <w:p w14:paraId="3915D0BA" w14:textId="77777777" w:rsidR="00D246BB" w:rsidRPr="00D246BB" w:rsidRDefault="00D246BB" w:rsidP="00D246BB">
      <w:pPr>
        <w:widowControl w:val="0"/>
        <w:autoSpaceDE w:val="0"/>
        <w:autoSpaceDN w:val="0"/>
        <w:adjustRightInd w:val="0"/>
        <w:ind w:left="640" w:hanging="640"/>
        <w:rPr>
          <w:rFonts w:cs="Times New Roman"/>
          <w:noProof/>
          <w:lang w:val="es-MX"/>
        </w:rPr>
      </w:pPr>
      <w:r w:rsidRPr="00D246BB">
        <w:rPr>
          <w:rFonts w:cs="Times New Roman"/>
          <w:noProof/>
          <w:lang w:val="es-MX"/>
        </w:rPr>
        <w:t>[3]</w:t>
      </w:r>
      <w:r w:rsidRPr="00D246BB">
        <w:rPr>
          <w:rFonts w:cs="Times New Roman"/>
          <w:noProof/>
          <w:lang w:val="es-MX"/>
        </w:rPr>
        <w:tab/>
        <w:t>The UniProt Consortium, UniProt: a worldwide hub of protein knowledge, Nucleic Acids Res. 47 (2019) D506–D515. https://doi.org/10.1093/nar/gky1049.</w:t>
      </w:r>
    </w:p>
    <w:p w14:paraId="3C419443" w14:textId="3F01157D" w:rsidR="00994A3D" w:rsidRPr="001549D3" w:rsidRDefault="00D246BB" w:rsidP="00751537">
      <w:pPr>
        <w:widowControl w:val="0"/>
        <w:autoSpaceDE w:val="0"/>
        <w:autoSpaceDN w:val="0"/>
        <w:adjustRightInd w:val="0"/>
        <w:ind w:left="640" w:hanging="640"/>
        <w:rPr>
          <w:rFonts w:cs="Times New Roman"/>
          <w:szCs w:val="24"/>
        </w:rPr>
      </w:pPr>
      <w:r w:rsidRPr="00D246BB">
        <w:rPr>
          <w:rFonts w:cs="Times New Roman"/>
          <w:noProof/>
          <w:lang w:val="es-MX"/>
        </w:rPr>
        <w:t>[4]</w:t>
      </w:r>
      <w:r w:rsidRPr="00D246BB">
        <w:rPr>
          <w:rFonts w:cs="Times New Roman"/>
          <w:noProof/>
          <w:lang w:val="es-MX"/>
        </w:rPr>
        <w:tab/>
        <w:t>H.M. Berman, J. Westbrook, Z. Feng, G. Gilliland, T.N. Bhat, H. Weissig, I.N. Shindyalov, P.E. Bourne, The Protein Data Bank., Nucleic Acids Res. 28 (2000) 235–42. https://doi.org/10.1093/nar/28.1.235.</w:t>
      </w:r>
      <w:r w:rsidR="00C73152">
        <w:rPr>
          <w:rFonts w:cs="Times New Roman"/>
          <w:b/>
          <w:bCs/>
          <w:szCs w:val="24"/>
        </w:rPr>
        <w:fldChar w:fldCharType="end"/>
      </w:r>
      <w:bookmarkStart w:id="0" w:name="_GoBack"/>
      <w:bookmarkEnd w:id="0"/>
    </w:p>
    <w:p w14:paraId="7B65BC41" w14:textId="77777777" w:rsidR="00DE23E8" w:rsidRPr="001549D3" w:rsidRDefault="00DE23E8" w:rsidP="00654E8F">
      <w:pPr>
        <w:spacing w:before="240"/>
      </w:pPr>
    </w:p>
    <w:sectPr w:rsidR="00DE23E8"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8C36D" w14:textId="77777777" w:rsidR="00E937A4" w:rsidRDefault="00E937A4" w:rsidP="00117666">
      <w:pPr>
        <w:spacing w:after="0"/>
      </w:pPr>
      <w:r>
        <w:separator/>
      </w:r>
    </w:p>
  </w:endnote>
  <w:endnote w:type="continuationSeparator" w:id="0">
    <w:p w14:paraId="7B0DBDD7" w14:textId="77777777" w:rsidR="00E937A4" w:rsidRDefault="00E937A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025F"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5153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5153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51537">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51537">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7FB3C" w14:textId="77777777" w:rsidR="00E937A4" w:rsidRDefault="00E937A4" w:rsidP="00117666">
      <w:pPr>
        <w:spacing w:after="0"/>
      </w:pPr>
      <w:r>
        <w:separator/>
      </w:r>
    </w:p>
  </w:footnote>
  <w:footnote w:type="continuationSeparator" w:id="0">
    <w:p w14:paraId="7C4A3801" w14:textId="77777777" w:rsidR="00E937A4" w:rsidRDefault="00E937A4"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1F3C36"/>
    <w:rsid w:val="00267D18"/>
    <w:rsid w:val="00274347"/>
    <w:rsid w:val="002868E2"/>
    <w:rsid w:val="002869C3"/>
    <w:rsid w:val="002936E4"/>
    <w:rsid w:val="002B4A57"/>
    <w:rsid w:val="002C74CA"/>
    <w:rsid w:val="00305DAC"/>
    <w:rsid w:val="003123F4"/>
    <w:rsid w:val="003544FB"/>
    <w:rsid w:val="003D2F2D"/>
    <w:rsid w:val="003D4DEE"/>
    <w:rsid w:val="00401590"/>
    <w:rsid w:val="004172CA"/>
    <w:rsid w:val="00447801"/>
    <w:rsid w:val="00452E9C"/>
    <w:rsid w:val="0047053E"/>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51537"/>
    <w:rsid w:val="00790BB3"/>
    <w:rsid w:val="007C206C"/>
    <w:rsid w:val="00817DD6"/>
    <w:rsid w:val="0083759F"/>
    <w:rsid w:val="00885156"/>
    <w:rsid w:val="009151AA"/>
    <w:rsid w:val="00925AA8"/>
    <w:rsid w:val="0093429D"/>
    <w:rsid w:val="00943573"/>
    <w:rsid w:val="00964134"/>
    <w:rsid w:val="00970F7D"/>
    <w:rsid w:val="00994A3D"/>
    <w:rsid w:val="009C2B12"/>
    <w:rsid w:val="00A174D9"/>
    <w:rsid w:val="00AA4D24"/>
    <w:rsid w:val="00AB6715"/>
    <w:rsid w:val="00B1671E"/>
    <w:rsid w:val="00B25EB8"/>
    <w:rsid w:val="00B37F4D"/>
    <w:rsid w:val="00C15E45"/>
    <w:rsid w:val="00C52A7B"/>
    <w:rsid w:val="00C56BAF"/>
    <w:rsid w:val="00C679AA"/>
    <w:rsid w:val="00C73152"/>
    <w:rsid w:val="00C75972"/>
    <w:rsid w:val="00C9787C"/>
    <w:rsid w:val="00CD066B"/>
    <w:rsid w:val="00CE4FEE"/>
    <w:rsid w:val="00D060CF"/>
    <w:rsid w:val="00D246BB"/>
    <w:rsid w:val="00D648D0"/>
    <w:rsid w:val="00DB59C3"/>
    <w:rsid w:val="00DC259A"/>
    <w:rsid w:val="00DE23E8"/>
    <w:rsid w:val="00E12C1B"/>
    <w:rsid w:val="00E52377"/>
    <w:rsid w:val="00E537AD"/>
    <w:rsid w:val="00E64E17"/>
    <w:rsid w:val="00E866C9"/>
    <w:rsid w:val="00E937A4"/>
    <w:rsid w:val="00EA3D3C"/>
    <w:rsid w:val="00EC090A"/>
    <w:rsid w:val="00ED20B5"/>
    <w:rsid w:val="00ED434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DEB1371-D854-4309-850E-4E40D628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14</TotalTime>
  <Pages>3</Pages>
  <Words>3972</Words>
  <Characters>22643</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 sathya</cp:lastModifiedBy>
  <cp:revision>4</cp:revision>
  <cp:lastPrinted>2013-10-03T12:51:00Z</cp:lastPrinted>
  <dcterms:created xsi:type="dcterms:W3CDTF">2021-03-22T15:04:00Z</dcterms:created>
  <dcterms:modified xsi:type="dcterms:W3CDTF">2021-03-27T12:34:00Z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http://www.zotero.org/styles/parkinsonism-and-related-disorders</vt:lpwstr>
  </property>
  <property fmtid="{D5CDD505-2E9C-101B-9397-08002B2CF9AE}" pid="19" name="Mendeley Recent Style Name 8_1">
    <vt:lpwstr>Parkinsonism and Related Disorders</vt:lpwstr>
  </property>
  <property fmtid="{D5CDD505-2E9C-101B-9397-08002B2CF9AE}" pid="20" name="Mendeley Recent Style Id 9_1">
    <vt:lpwstr>http://www.zotero.org/styles/practical-neurology</vt:lpwstr>
  </property>
  <property fmtid="{D5CDD505-2E9C-101B-9397-08002B2CF9AE}" pid="21" name="Mendeley Recent Style Name 9_1">
    <vt:lpwstr>Practical Neurology</vt:lpwstr>
  </property>
  <property fmtid="{D5CDD505-2E9C-101B-9397-08002B2CF9AE}" pid="22" name="Mendeley Document_1">
    <vt:lpwstr>True</vt:lpwstr>
  </property>
  <property fmtid="{D5CDD505-2E9C-101B-9397-08002B2CF9AE}" pid="23" name="Mendeley Unique User Id_1">
    <vt:lpwstr>d1976d02-5b53-3fb9-af6f-ef1fcdbaa7e7</vt:lpwstr>
  </property>
  <property fmtid="{D5CDD505-2E9C-101B-9397-08002B2CF9AE}" pid="24" name="Mendeley Citation Style_1">
    <vt:lpwstr>http://www.zotero.org/styles/parkinsonism-and-related-disorders</vt:lpwstr>
  </property>
</Properties>
</file>