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195F" w:rsidRDefault="008D195F" w:rsidP="008D195F">
      <w:pPr>
        <w:pStyle w:val="Overskrift2"/>
        <w:spacing w:line="276" w:lineRule="auto"/>
        <w:rPr>
          <w:b/>
          <w:lang w:val="en-GB"/>
        </w:rPr>
      </w:pPr>
      <w:r w:rsidRPr="009A5C2E">
        <w:rPr>
          <w:b/>
          <w:lang w:val="en-GB"/>
        </w:rPr>
        <w:t xml:space="preserve">Supplementary </w:t>
      </w:r>
      <w:r>
        <w:rPr>
          <w:b/>
          <w:lang w:val="en-GB"/>
        </w:rPr>
        <w:t>tables</w:t>
      </w:r>
      <w:r w:rsidR="004907E9">
        <w:rPr>
          <w:b/>
          <w:lang w:val="en-GB"/>
        </w:rPr>
        <w:t xml:space="preserve"> </w:t>
      </w:r>
    </w:p>
    <w:tbl>
      <w:tblPr>
        <w:tblpPr w:leftFromText="141" w:rightFromText="141" w:vertAnchor="page" w:horzAnchor="page" w:tblpX="626" w:tblpY="2129"/>
        <w:tblW w:w="11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160"/>
        <w:gridCol w:w="501"/>
        <w:gridCol w:w="521"/>
        <w:gridCol w:w="164"/>
        <w:gridCol w:w="1474"/>
        <w:gridCol w:w="160"/>
        <w:gridCol w:w="501"/>
        <w:gridCol w:w="521"/>
        <w:gridCol w:w="162"/>
        <w:gridCol w:w="1474"/>
        <w:gridCol w:w="160"/>
        <w:gridCol w:w="501"/>
        <w:gridCol w:w="532"/>
        <w:gridCol w:w="167"/>
        <w:gridCol w:w="1474"/>
        <w:gridCol w:w="182"/>
        <w:gridCol w:w="501"/>
        <w:gridCol w:w="521"/>
      </w:tblGrid>
      <w:tr w:rsidR="008D195F" w:rsidRPr="00822440" w:rsidTr="0031606C">
        <w:trPr>
          <w:trHeight w:val="400"/>
        </w:trPr>
        <w:tc>
          <w:tcPr>
            <w:tcW w:w="54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Intra-hemispheric connectivity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Inter-hemispheric connectivity</w:t>
            </w:r>
          </w:p>
        </w:tc>
      </w:tr>
      <w:tr w:rsidR="008D195F" w:rsidRPr="00822440" w:rsidTr="0031606C">
        <w:trPr>
          <w:trHeight w:val="400"/>
        </w:trPr>
        <w:tc>
          <w:tcPr>
            <w:tcW w:w="2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OC fibres, left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OC fibres, right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OC fibres, left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OC fibres, right</w:t>
            </w:r>
          </w:p>
        </w:tc>
      </w:tr>
      <w:tr w:rsidR="008D195F" w:rsidRPr="00822440" w:rsidTr="0031606C">
        <w:trPr>
          <w:trHeight w:val="400"/>
        </w:trPr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Targets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LOS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HOS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Targets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LOS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HOS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Targets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LOS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HOS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Targets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LOS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HOS</w:t>
            </w:r>
          </w:p>
        </w:tc>
      </w:tr>
      <w:tr w:rsidR="008D195F" w:rsidRPr="00822440" w:rsidTr="0031606C">
        <w:trPr>
          <w:trHeight w:val="1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Frontal_Sup_Orb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221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212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Frontal_Sup_Orb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257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240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Frontal_Sup_Orb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19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Frontal_Sup_Orb</w:t>
            </w:r>
            <w:proofErr w:type="spellEnd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Frontal_Inf_Orb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139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148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Frontal_Inf_Orb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142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135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Frontal_Inf_Orb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Frontal_Inf_Orb</w:t>
            </w:r>
            <w:proofErr w:type="spellEnd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Olfactory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Olfactory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Olfactory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490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578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Olfactory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490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578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Frontal_Sup_Med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sz w:val="16"/>
                <w:szCs w:val="16"/>
                <w:lang w:val="en-GB"/>
              </w:rPr>
              <w:t>Frontal_Sup_Med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24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Frontal_Sup_Med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17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Frontal_Sup_Med</w:t>
            </w:r>
            <w:proofErr w:type="spellEnd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sz w:val="16"/>
                <w:szCs w:val="16"/>
                <w:lang w:val="en-GB"/>
              </w:rPr>
              <w:t>Frontal_Mid_Orb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264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309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sz w:val="16"/>
                <w:szCs w:val="16"/>
                <w:lang w:val="en-GB"/>
              </w:rPr>
              <w:t>Frontal_Mid_Orb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332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297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Frontal_Mid_Orb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169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206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Frontal_Mid_Orb</w:t>
            </w:r>
            <w:proofErr w:type="spellEnd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83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106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Rectus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696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699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Rectus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785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773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Rectus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80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90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Rectus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60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76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Insula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176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149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Insula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176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144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Insula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Insula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sz w:val="16"/>
                <w:szCs w:val="16"/>
                <w:lang w:val="en-GB"/>
              </w:rPr>
              <w:t>Cingulum_Ant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575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549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sz w:val="16"/>
                <w:szCs w:val="16"/>
                <w:lang w:val="en-GB"/>
              </w:rPr>
              <w:t>Cingulum_Ant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421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382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Cingulum_Ant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111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111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Cingulum_Ant</w:t>
            </w:r>
            <w:proofErr w:type="spellEnd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226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sz w:val="16"/>
                <w:szCs w:val="16"/>
                <w:lang w:val="en-GB"/>
              </w:rPr>
              <w:t>Cingulum_Mid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45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33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Cingulum_Mid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Cingulum_Mid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822440">
              <w:rPr>
                <w:rFonts w:cstheme="minorHAnsi"/>
                <w:sz w:val="16"/>
                <w:szCs w:val="16"/>
                <w:lang w:val="en-GB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Cingulum_Mid</w:t>
            </w:r>
            <w:proofErr w:type="spellEnd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4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Hippocampus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366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Hippocampus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96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133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Hippocampus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Hippocampus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sz w:val="16"/>
                <w:szCs w:val="16"/>
                <w:lang w:val="en-GB"/>
              </w:rPr>
              <w:t>ParaHippocampus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346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461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sz w:val="16"/>
                <w:szCs w:val="16"/>
                <w:lang w:val="en-GB"/>
              </w:rPr>
              <w:t>ParaHippocampus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217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sz w:val="16"/>
                <w:szCs w:val="16"/>
                <w:lang w:val="en-GB"/>
              </w:rPr>
              <w:t>295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sz w:val="16"/>
                <w:szCs w:val="16"/>
                <w:lang w:val="en-GB"/>
              </w:rPr>
              <w:t>ParaHippocampus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sz w:val="16"/>
                <w:szCs w:val="16"/>
                <w:lang w:val="en-GB"/>
              </w:rPr>
              <w:t>ParaHippocampus</w:t>
            </w:r>
            <w:proofErr w:type="spellEnd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Amygdala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1451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1702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Amygdala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1115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1249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Amygdala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Amygdala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Caudate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722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734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Caudate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768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773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Caudate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115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128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Caudate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90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129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Putamen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147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155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Putamen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114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124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Putamen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Putamen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Thalamus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25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Thalamus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Thalamus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Thalamus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  <w:r w:rsidRPr="00822440">
              <w:rPr>
                <w:rFonts w:cstheme="minorHAnsi"/>
                <w:sz w:val="16"/>
                <w:szCs w:val="16"/>
                <w:lang w:val="en-GB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Temporal_Pole_Sup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359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Temporal_Pole_Sup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352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394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Temporal_Pole_Sup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Temporal_Pole_Sup</w:t>
            </w:r>
            <w:proofErr w:type="spellEnd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Temporal_Pole_Mid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98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130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Temporal_Pole_Mid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132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139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Temporal_Pole_Mid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Temporal_Pole_Mid</w:t>
            </w:r>
            <w:proofErr w:type="spellEnd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8D195F" w:rsidRPr="00822440" w:rsidTr="0031606C">
        <w:trPr>
          <w:trHeight w:val="1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  <w:t>Mean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344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377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  <w:t>Mean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329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340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  <w:t>Mean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67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77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  <w:t>Mean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59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70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  <w:t>Std dev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370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421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  <w:t>Std dev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321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343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  <w:t>Std dev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129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152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  <w:t>Std dev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128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151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  <w:t>Mean_NZ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367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402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  <w:t>Mean_NZ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353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364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  <w:t>Mean_NZ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126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116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5E55D7"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  <w:t>Mean_NZ</w:t>
            </w:r>
            <w:proofErr w:type="spellEnd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118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125</w:t>
            </w:r>
          </w:p>
        </w:tc>
      </w:tr>
      <w:tr w:rsidR="008D195F" w:rsidRPr="00822440" w:rsidTr="0031606C">
        <w:trPr>
          <w:trHeight w:val="32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  <w:t>Sum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5511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6030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  <w:t>Sum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4937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5101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  <w:t>Sum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1006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1157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  <w:t>Sum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945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5E55D7" w:rsidRDefault="008D195F" w:rsidP="0031606C">
            <w:pPr>
              <w:jc w:val="right"/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5E55D7">
              <w:rPr>
                <w:rFonts w:cstheme="minorHAnsi"/>
                <w:color w:val="000000"/>
                <w:sz w:val="16"/>
                <w:szCs w:val="16"/>
                <w:lang w:val="en-GB"/>
              </w:rPr>
              <w:t>1127</w:t>
            </w:r>
          </w:p>
        </w:tc>
      </w:tr>
    </w:tbl>
    <w:p w:rsidR="008D195F" w:rsidRPr="00991F01" w:rsidRDefault="008D195F" w:rsidP="008D195F">
      <w:pPr>
        <w:rPr>
          <w:rFonts w:eastAsiaTheme="majorEastAsia"/>
          <w:lang w:val="en-GB"/>
        </w:rPr>
      </w:pPr>
    </w:p>
    <w:p w:rsidR="003F04CA" w:rsidRDefault="008D195F" w:rsidP="008D195F">
      <w:pPr>
        <w:rPr>
          <w:rFonts w:cstheme="minorHAnsi"/>
          <w:sz w:val="20"/>
          <w:szCs w:val="20"/>
          <w:lang w:val="en-GB"/>
        </w:rPr>
      </w:pPr>
      <w:r w:rsidRPr="00822440">
        <w:rPr>
          <w:rFonts w:cstheme="minorHAnsi"/>
          <w:b/>
          <w:bCs/>
          <w:sz w:val="20"/>
          <w:szCs w:val="20"/>
          <w:lang w:val="en-GB"/>
        </w:rPr>
        <w:t xml:space="preserve">Supplementary </w:t>
      </w:r>
      <w:r>
        <w:rPr>
          <w:rFonts w:cstheme="minorHAnsi"/>
          <w:b/>
          <w:bCs/>
          <w:sz w:val="20"/>
          <w:szCs w:val="20"/>
          <w:lang w:val="en-GB"/>
        </w:rPr>
        <w:t>Table</w:t>
      </w:r>
      <w:r w:rsidRPr="00822440">
        <w:rPr>
          <w:rFonts w:cstheme="minorHAnsi"/>
          <w:b/>
          <w:bCs/>
          <w:sz w:val="20"/>
          <w:szCs w:val="20"/>
          <w:lang w:val="en-GB"/>
        </w:rPr>
        <w:t xml:space="preserve"> 1.</w:t>
      </w:r>
      <w:r w:rsidRPr="00822440">
        <w:rPr>
          <w:rFonts w:cstheme="minorHAnsi"/>
          <w:sz w:val="20"/>
          <w:szCs w:val="20"/>
          <w:lang w:val="en-GB"/>
        </w:rPr>
        <w:t xml:space="preserve"> Inter- and intra-hemispheric connectivity</w:t>
      </w:r>
      <w:r>
        <w:rPr>
          <w:rFonts w:cstheme="minorHAnsi"/>
          <w:sz w:val="20"/>
          <w:szCs w:val="20"/>
          <w:lang w:val="en-GB"/>
        </w:rPr>
        <w:t xml:space="preserve"> </w:t>
      </w:r>
      <w:r w:rsidR="00DA2454">
        <w:rPr>
          <w:rFonts w:cstheme="minorHAnsi"/>
          <w:sz w:val="20"/>
          <w:szCs w:val="20"/>
          <w:lang w:val="en-GB"/>
        </w:rPr>
        <w:t>of the olfactory structural connectivity fingerprint and the thalamus</w:t>
      </w:r>
      <w:r w:rsidRPr="00822440">
        <w:rPr>
          <w:rFonts w:cstheme="minorHAnsi"/>
          <w:sz w:val="20"/>
          <w:szCs w:val="20"/>
          <w:lang w:val="en-GB"/>
        </w:rPr>
        <w:t xml:space="preserve"> in the low olfactory significance group (LOS) and high olfactory significance group (HOS)</w:t>
      </w:r>
      <w:r>
        <w:rPr>
          <w:rFonts w:cstheme="minorHAnsi"/>
          <w:sz w:val="20"/>
          <w:szCs w:val="20"/>
          <w:lang w:val="en-GB"/>
        </w:rPr>
        <w:t xml:space="preserve">. </w:t>
      </w:r>
    </w:p>
    <w:p w:rsidR="008D195F" w:rsidRPr="00822440" w:rsidRDefault="008D195F" w:rsidP="008D195F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LOS: Low olfactory significance group; HOS: High olfactory significance group; Std dev: Standard deviation; </w:t>
      </w:r>
      <w:proofErr w:type="spellStart"/>
      <w:r>
        <w:rPr>
          <w:rFonts w:cstheme="minorHAnsi"/>
          <w:sz w:val="20"/>
          <w:szCs w:val="20"/>
          <w:lang w:val="en-GB"/>
        </w:rPr>
        <w:t>Mean_NZ</w:t>
      </w:r>
      <w:proofErr w:type="spellEnd"/>
      <w:r>
        <w:rPr>
          <w:rFonts w:cstheme="minorHAnsi"/>
          <w:sz w:val="20"/>
          <w:szCs w:val="20"/>
          <w:lang w:val="en-GB"/>
        </w:rPr>
        <w:t>: mean number of fibres excluding connections with zero fibres. For brain region abbreviations, see supplementary Table 3.</w:t>
      </w:r>
    </w:p>
    <w:p w:rsidR="008D195F" w:rsidRDefault="008D195F" w:rsidP="008D195F">
      <w:pPr>
        <w:spacing w:line="276" w:lineRule="auto"/>
        <w:rPr>
          <w:lang w:val="en-GB"/>
        </w:rPr>
      </w:pPr>
    </w:p>
    <w:p w:rsidR="008D195F" w:rsidRDefault="008D195F" w:rsidP="008D195F">
      <w:pPr>
        <w:spacing w:line="276" w:lineRule="auto"/>
        <w:rPr>
          <w:lang w:val="en-GB"/>
        </w:rPr>
      </w:pPr>
    </w:p>
    <w:p w:rsidR="008D195F" w:rsidRPr="00D654A6" w:rsidRDefault="008D195F" w:rsidP="008D195F">
      <w:pPr>
        <w:ind w:left="-426"/>
        <w:rPr>
          <w:rFonts w:cstheme="minorHAnsi"/>
          <w:b/>
          <w:bCs/>
          <w:sz w:val="20"/>
          <w:szCs w:val="20"/>
          <w:lang w:val="en-GB"/>
        </w:rPr>
      </w:pPr>
    </w:p>
    <w:tbl>
      <w:tblPr>
        <w:tblpPr w:leftFromText="141" w:rightFromText="141" w:vertAnchor="page" w:horzAnchor="margin" w:tblpXSpec="center" w:tblpY="2097"/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605"/>
        <w:gridCol w:w="187"/>
        <w:gridCol w:w="646"/>
        <w:gridCol w:w="160"/>
        <w:gridCol w:w="544"/>
        <w:gridCol w:w="168"/>
        <w:gridCol w:w="581"/>
        <w:gridCol w:w="160"/>
        <w:gridCol w:w="553"/>
        <w:gridCol w:w="171"/>
        <w:gridCol w:w="591"/>
        <w:gridCol w:w="160"/>
        <w:gridCol w:w="529"/>
        <w:gridCol w:w="163"/>
        <w:gridCol w:w="565"/>
        <w:gridCol w:w="160"/>
        <w:gridCol w:w="530"/>
        <w:gridCol w:w="164"/>
        <w:gridCol w:w="631"/>
        <w:gridCol w:w="160"/>
        <w:gridCol w:w="548"/>
        <w:gridCol w:w="160"/>
        <w:gridCol w:w="549"/>
      </w:tblGrid>
      <w:tr w:rsidR="008D195F" w:rsidRPr="00D654A6" w:rsidTr="000F2B35">
        <w:trPr>
          <w:trHeight w:val="220"/>
        </w:trPr>
        <w:tc>
          <w:tcPr>
            <w:tcW w:w="166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>Targets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195F" w:rsidRPr="00D654A6" w:rsidRDefault="000F2B35" w:rsidP="000F2B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Olfactory significance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195F" w:rsidRPr="00D654A6" w:rsidRDefault="008D195F" w:rsidP="000F2B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195F" w:rsidRPr="00D654A6" w:rsidRDefault="000F2B35" w:rsidP="000F2B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Subjective olfactory function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195F" w:rsidRPr="00D654A6" w:rsidRDefault="008D195F" w:rsidP="000F2B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195F" w:rsidRPr="00D654A6" w:rsidRDefault="000F2B35" w:rsidP="000F2B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Combined olfactory TDI score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195F" w:rsidRPr="00D654A6" w:rsidRDefault="008D195F" w:rsidP="000F2B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195F" w:rsidRPr="00D654A6" w:rsidRDefault="000F2B35" w:rsidP="000F2B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Olfactory threshold score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195F" w:rsidRPr="00D654A6" w:rsidRDefault="008D195F" w:rsidP="000F2B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195F" w:rsidRPr="00D654A6" w:rsidRDefault="000F2B35" w:rsidP="000F2B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Olfactory discrimination score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195F" w:rsidRPr="00D654A6" w:rsidRDefault="008D195F" w:rsidP="000F2B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195F" w:rsidRPr="00D654A6" w:rsidRDefault="000F2B35" w:rsidP="000F2B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Olfactory identification score</w:t>
            </w:r>
          </w:p>
        </w:tc>
      </w:tr>
      <w:tr w:rsidR="008D195F" w:rsidRPr="00D654A6" w:rsidTr="0031606C">
        <w:trPr>
          <w:trHeight w:val="220"/>
        </w:trPr>
        <w:tc>
          <w:tcPr>
            <w:tcW w:w="166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195F" w:rsidRPr="00D654A6" w:rsidRDefault="008D195F" w:rsidP="003160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rho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pval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rho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pval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rho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pval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rho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pval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rho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pval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rho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pval</w:t>
            </w:r>
            <w:proofErr w:type="spellEnd"/>
          </w:p>
        </w:tc>
      </w:tr>
      <w:tr w:rsidR="008D195F" w:rsidRPr="00D654A6" w:rsidTr="0031606C">
        <w:trPr>
          <w:trHeight w:val="16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D654A6" w:rsidRDefault="008D195F" w:rsidP="0031606C">
            <w:pPr>
              <w:rPr>
                <w:sz w:val="20"/>
                <w:szCs w:val="20"/>
                <w:lang w:val="en-GB"/>
              </w:rPr>
            </w:pP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Frontal_Sup_Orb_L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tabs>
                <w:tab w:val="clear" w:pos="284"/>
              </w:tabs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-0,222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tabs>
                <w:tab w:val="clear" w:pos="284"/>
              </w:tabs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tabs>
                <w:tab w:val="clear" w:pos="284"/>
              </w:tabs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0,232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tabs>
                <w:tab w:val="clear" w:pos="284"/>
              </w:tabs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tabs>
                <w:tab w:val="clear" w:pos="284"/>
              </w:tabs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0,053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tabs>
                <w:tab w:val="clear" w:pos="284"/>
              </w:tabs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0,802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tabs>
                <w:tab w:val="clear" w:pos="284"/>
              </w:tabs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0,004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tabs>
                <w:tab w:val="clear" w:pos="284"/>
              </w:tabs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0,984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tabs>
                <w:tab w:val="clear" w:pos="284"/>
              </w:tabs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0,010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tabs>
                <w:tab w:val="clear" w:pos="284"/>
              </w:tabs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0,938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tabs>
                <w:tab w:val="clear" w:pos="284"/>
              </w:tabs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tabs>
                <w:tab w:val="clear" w:pos="284"/>
              </w:tabs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0,420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Frontal_Sup_Orb_R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-0,145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0,428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0,161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-0,301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-0,328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-0,313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0,095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0,704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Frontal_Inf_Orb_L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0,062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-0,128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-0,153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0,431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-0,146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0,441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-0,165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0,379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0,696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Frontal_Inf_Orb_R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-0,170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0,086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-0,249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-0,235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-0,309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0,738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Frontal_Sup_Medial_L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-0,311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0,006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0,984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-0,178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-0,179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-0,207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0,810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Frontal_Sup_Medial_R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-0,206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0,259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0,163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0,061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-0,054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0,759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1,000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0,100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Frontal_Mid_Orb_L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-0,002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0,995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0,215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0,103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0,049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0,205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0,958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Frontal_Mid_Orb_R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-0,103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0,250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0,192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0,142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0,467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0,044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0,850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0,201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0,292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0,406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Gyrus_Rectus_L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-0,122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0,225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-0,084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-0,154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0,415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-0,068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0,774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Gyrus_Rectus_R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-0,093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0,218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0,259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-0,178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-0,152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0,433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-0,249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0,788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Insula_L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-0,172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-0,026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0,882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-0,096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-0,083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-0,090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0,692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Insula_R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-0,208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0,285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0,029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0,863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0,217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0,207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0,140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0,469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0,324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Cingulum_Ant_L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-0,074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0,301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0,023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0,931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-0,053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0,063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0,095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0,667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Cingulum_Ant_R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-0,188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0,251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0,182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0,073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0,045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0,798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0,043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0,862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0,586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Cingulum_Mid_L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-0,112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0,311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0,098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0,051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-0,104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0,158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0,401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0,392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Hippocampus_L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0,310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0,097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-0,018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-0,048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0,798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-0,179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0,107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0,855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Hippocampus_R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0,255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0,251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0,065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-0,055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0,702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ParaHippocampal_L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0,385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0,035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0,115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0,274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0,193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0,286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0,214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ParaHippocampal_R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0,473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0,010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0,157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0,312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0,235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0,277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0,124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Amygdala_L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0,362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0,047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0,070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0,045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0,814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-0,104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0,084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0,219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Amygdala_R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0,272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0,273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0,005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1,000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-0,151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0,088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0,179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0,344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Caudate_L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0,215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0,061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0,762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-0,097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-0,192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-0,077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0,603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Caudate_R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0,077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0,117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-0,248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-0,291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-0,168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0,572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Putamen_L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0,017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0,930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-0,113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0,563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-0,091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-0,066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-0,096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0,679</w:t>
            </w:r>
          </w:p>
        </w:tc>
      </w:tr>
      <w:tr w:rsidR="000F2B35" w:rsidRPr="00D654A6" w:rsidTr="003F2F49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Putamen_R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0,045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0,818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-0,016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0,924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-0,067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-0,041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0,802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-0,108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0,838</w:t>
            </w:r>
          </w:p>
        </w:tc>
      </w:tr>
      <w:tr w:rsidR="000F2B35" w:rsidRPr="00D654A6" w:rsidTr="0031606C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Temporal_Pole_Sup_L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0,146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0,423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0,038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0,843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0,149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0,438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0,181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0,107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0,859</w:t>
            </w:r>
          </w:p>
        </w:tc>
      </w:tr>
      <w:tr w:rsidR="000F2B35" w:rsidRPr="00D654A6" w:rsidTr="0031606C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Temporal_Pole_Sup_R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0,101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0,041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0,797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0,106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0,131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0,042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0,828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0,738</w:t>
            </w:r>
          </w:p>
        </w:tc>
      </w:tr>
      <w:tr w:rsidR="000F2B35" w:rsidRPr="00D654A6" w:rsidTr="0031606C">
        <w:trPr>
          <w:trHeight w:val="220"/>
        </w:trPr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Temporal_Pole_Mid_L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0,128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0,509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0,187</w:t>
            </w: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0,326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0,142</w:t>
            </w:r>
          </w:p>
        </w:tc>
        <w:tc>
          <w:tcPr>
            <w:tcW w:w="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0,453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0,000</w:t>
            </w:r>
          </w:p>
        </w:tc>
        <w:tc>
          <w:tcPr>
            <w:tcW w:w="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1,000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0,197</w:t>
            </w: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0,284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0,237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0,203</w:t>
            </w:r>
          </w:p>
        </w:tc>
      </w:tr>
      <w:tr w:rsidR="000F2B35" w:rsidRPr="00D654A6" w:rsidTr="0031606C">
        <w:trPr>
          <w:trHeight w:val="220"/>
        </w:trPr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B35" w:rsidRPr="00D654A6" w:rsidRDefault="000F2B35" w:rsidP="000F2B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D654A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GB"/>
              </w:rPr>
              <w:t>Temporal_Pole_Mid_R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-0,102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0,581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0,152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0,431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-0,097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0,607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-0,222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0,228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-0,003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0,987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0,075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B35" w:rsidRPr="000F2B35" w:rsidRDefault="000F2B35" w:rsidP="000F2B35">
            <w:pPr>
              <w:jc w:val="right"/>
              <w:rPr>
                <w:rFonts w:ascii="Calibri" w:hAnsi="Calibri"/>
                <w:color w:val="000000"/>
                <w:sz w:val="15"/>
                <w:szCs w:val="15"/>
              </w:rPr>
            </w:pPr>
            <w:r w:rsidRPr="000F2B35">
              <w:rPr>
                <w:rFonts w:ascii="Calibri" w:hAnsi="Calibri"/>
                <w:color w:val="000000"/>
                <w:sz w:val="15"/>
                <w:szCs w:val="15"/>
              </w:rPr>
              <w:t>0,700</w:t>
            </w:r>
          </w:p>
        </w:tc>
      </w:tr>
    </w:tbl>
    <w:p w:rsidR="008D195F" w:rsidRPr="00D654A6" w:rsidRDefault="008D195F" w:rsidP="008D195F">
      <w:pPr>
        <w:ind w:left="-426"/>
        <w:rPr>
          <w:rFonts w:cstheme="minorHAnsi"/>
          <w:b/>
          <w:bCs/>
          <w:sz w:val="15"/>
          <w:szCs w:val="15"/>
          <w:lang w:val="en-GB"/>
        </w:rPr>
      </w:pPr>
    </w:p>
    <w:p w:rsidR="008D195F" w:rsidRDefault="008D195F" w:rsidP="008D195F">
      <w:pPr>
        <w:ind w:left="-426"/>
        <w:rPr>
          <w:rFonts w:cstheme="minorHAnsi"/>
          <w:b/>
          <w:bCs/>
          <w:sz w:val="20"/>
          <w:szCs w:val="20"/>
          <w:lang w:val="en-GB"/>
        </w:rPr>
      </w:pPr>
    </w:p>
    <w:p w:rsidR="008D195F" w:rsidRDefault="008D195F" w:rsidP="008D195F">
      <w:pPr>
        <w:ind w:left="-426"/>
        <w:rPr>
          <w:rFonts w:cstheme="minorHAnsi"/>
          <w:b/>
          <w:bCs/>
          <w:sz w:val="20"/>
          <w:szCs w:val="20"/>
          <w:lang w:val="en-GB"/>
        </w:rPr>
      </w:pPr>
    </w:p>
    <w:p w:rsidR="008D195F" w:rsidRPr="00D654A6" w:rsidRDefault="008D195F" w:rsidP="008D195F">
      <w:pPr>
        <w:ind w:left="-426"/>
        <w:rPr>
          <w:rFonts w:cstheme="minorHAnsi"/>
          <w:sz w:val="20"/>
          <w:szCs w:val="20"/>
          <w:lang w:val="en-GB"/>
        </w:rPr>
      </w:pPr>
      <w:r w:rsidRPr="00D654A6">
        <w:rPr>
          <w:rFonts w:cstheme="minorHAnsi"/>
          <w:b/>
          <w:bCs/>
          <w:sz w:val="20"/>
          <w:szCs w:val="20"/>
          <w:lang w:val="en-GB"/>
        </w:rPr>
        <w:t xml:space="preserve">Supplementary </w:t>
      </w:r>
      <w:r>
        <w:rPr>
          <w:rFonts w:cstheme="minorHAnsi"/>
          <w:b/>
          <w:bCs/>
          <w:sz w:val="20"/>
          <w:szCs w:val="20"/>
          <w:lang w:val="en-GB"/>
        </w:rPr>
        <w:t>Table</w:t>
      </w:r>
      <w:r w:rsidRPr="00D654A6">
        <w:rPr>
          <w:rFonts w:cstheme="minorHAnsi"/>
          <w:b/>
          <w:bCs/>
          <w:sz w:val="20"/>
          <w:szCs w:val="20"/>
          <w:lang w:val="en-GB"/>
        </w:rPr>
        <w:t xml:space="preserve"> 2.</w:t>
      </w:r>
      <w:r w:rsidRPr="00D654A6">
        <w:rPr>
          <w:rFonts w:cstheme="minorHAnsi"/>
          <w:sz w:val="20"/>
          <w:szCs w:val="20"/>
          <w:lang w:val="en-GB"/>
        </w:rPr>
        <w:t xml:space="preserve"> </w:t>
      </w:r>
      <w:r w:rsidRPr="00D654A6">
        <w:rPr>
          <w:sz w:val="20"/>
          <w:szCs w:val="20"/>
          <w:lang w:val="en-GB"/>
        </w:rPr>
        <w:t>Structural connectivity correlation analysis</w:t>
      </w:r>
      <w:r>
        <w:rPr>
          <w:sz w:val="20"/>
          <w:szCs w:val="20"/>
          <w:lang w:val="en-GB"/>
        </w:rPr>
        <w:t xml:space="preserve"> for factors that may influence olfactory structural connectivity</w:t>
      </w:r>
      <w:r w:rsidR="003F04CA">
        <w:rPr>
          <w:sz w:val="20"/>
          <w:szCs w:val="20"/>
          <w:lang w:val="en-GB"/>
        </w:rPr>
        <w:t xml:space="preserve"> </w:t>
      </w:r>
      <w:r w:rsidR="00C40744">
        <w:rPr>
          <w:sz w:val="20"/>
          <w:szCs w:val="20"/>
          <w:lang w:val="en-GB"/>
        </w:rPr>
        <w:t>of the olfactory cortical network</w:t>
      </w:r>
      <w:r w:rsidR="0044037B">
        <w:rPr>
          <w:sz w:val="20"/>
          <w:szCs w:val="20"/>
          <w:lang w:val="en-GB"/>
        </w:rPr>
        <w:t xml:space="preserve"> (OCN)</w:t>
      </w:r>
      <w:r>
        <w:rPr>
          <w:sz w:val="20"/>
          <w:szCs w:val="20"/>
          <w:lang w:val="en-GB"/>
        </w:rPr>
        <w:t>, including olfactory test scores</w:t>
      </w:r>
      <w:r w:rsidR="00C5041E">
        <w:rPr>
          <w:sz w:val="20"/>
          <w:szCs w:val="20"/>
          <w:lang w:val="en-GB"/>
        </w:rPr>
        <w:t xml:space="preserve"> (Sniffin’ Sticks TDI)</w:t>
      </w:r>
      <w:r>
        <w:rPr>
          <w:sz w:val="20"/>
          <w:szCs w:val="20"/>
          <w:lang w:val="en-GB"/>
        </w:rPr>
        <w:t>, subjective olfactory function (high vs. low group), and olfactory significance group (high vs. low group).</w:t>
      </w:r>
      <w:r w:rsidR="00C5041E">
        <w:rPr>
          <w:sz w:val="20"/>
          <w:szCs w:val="20"/>
          <w:lang w:val="en-GB"/>
        </w:rPr>
        <w:t xml:space="preserve"> </w:t>
      </w:r>
      <w:r w:rsidR="00C5041E" w:rsidRPr="00354EFF">
        <w:rPr>
          <w:sz w:val="20"/>
          <w:szCs w:val="20"/>
          <w:lang w:val="en-GB"/>
        </w:rPr>
        <w:t>Post hoc permutation tests (based on Pearson’s linear correlation coefficient) were performed to address the problem of multiple comparisons</w:t>
      </w:r>
      <w:r w:rsidR="00C5041E">
        <w:rPr>
          <w:sz w:val="20"/>
          <w:szCs w:val="20"/>
          <w:lang w:val="en-GB"/>
        </w:rPr>
        <w:t>.</w:t>
      </w:r>
      <w:r w:rsidR="009F23E7">
        <w:rPr>
          <w:sz w:val="20"/>
          <w:szCs w:val="20"/>
          <w:lang w:val="en-GB"/>
        </w:rPr>
        <w:t xml:space="preserve"> While olfactory test scores and subjective assessment of olfactory function was not correlated with the strength of structural connectivity, the total olfactory significance score was associated with increased connectivity to </w:t>
      </w:r>
      <w:proofErr w:type="spellStart"/>
      <w:r w:rsidR="009F23E7">
        <w:rPr>
          <w:sz w:val="20"/>
          <w:szCs w:val="20"/>
          <w:lang w:val="en-GB"/>
        </w:rPr>
        <w:t>parahippocampus</w:t>
      </w:r>
      <w:proofErr w:type="spellEnd"/>
      <w:r w:rsidR="009F23E7">
        <w:rPr>
          <w:sz w:val="20"/>
          <w:szCs w:val="20"/>
          <w:lang w:val="en-GB"/>
        </w:rPr>
        <w:t xml:space="preserve"> bilaterally and left amygdala.</w:t>
      </w:r>
      <w:r w:rsidR="00C5041E" w:rsidRPr="00354EFF">
        <w:rPr>
          <w:sz w:val="20"/>
          <w:szCs w:val="20"/>
          <w:lang w:val="en-GB"/>
        </w:rPr>
        <w:t xml:space="preserve"> </w:t>
      </w:r>
      <w:r w:rsidRPr="00D654A6">
        <w:rPr>
          <w:rFonts w:cstheme="minorHAnsi"/>
          <w:sz w:val="20"/>
          <w:szCs w:val="20"/>
          <w:lang w:val="en-GB"/>
        </w:rPr>
        <w:t xml:space="preserve">TDI: combined olfactory </w:t>
      </w:r>
      <w:r w:rsidR="000F2B35">
        <w:rPr>
          <w:rFonts w:cstheme="minorHAnsi"/>
          <w:sz w:val="20"/>
          <w:szCs w:val="20"/>
          <w:lang w:val="en-GB"/>
        </w:rPr>
        <w:t>threshold, discrimination, and identification</w:t>
      </w:r>
      <w:r w:rsidRPr="00D654A6">
        <w:rPr>
          <w:rFonts w:cstheme="minorHAnsi"/>
          <w:sz w:val="20"/>
          <w:szCs w:val="20"/>
          <w:lang w:val="en-GB"/>
        </w:rPr>
        <w:t xml:space="preserve"> score</w:t>
      </w:r>
      <w:r>
        <w:rPr>
          <w:rFonts w:cstheme="minorHAnsi"/>
          <w:sz w:val="20"/>
          <w:szCs w:val="20"/>
          <w:lang w:val="en-GB"/>
        </w:rPr>
        <w:t>;</w:t>
      </w:r>
      <w:r w:rsidR="000F2B35">
        <w:rPr>
          <w:rFonts w:cstheme="minorHAnsi"/>
          <w:sz w:val="20"/>
          <w:szCs w:val="20"/>
          <w:lang w:val="en-GB"/>
        </w:rPr>
        <w:t xml:space="preserve"> </w:t>
      </w:r>
      <w:r>
        <w:rPr>
          <w:rFonts w:cstheme="minorHAnsi"/>
          <w:sz w:val="20"/>
          <w:szCs w:val="20"/>
          <w:lang w:val="en-GB"/>
        </w:rPr>
        <w:t>_L: left; _R: right.</w:t>
      </w:r>
      <w:r w:rsidRPr="00D654A6">
        <w:rPr>
          <w:rFonts w:cstheme="minorHAnsi"/>
          <w:sz w:val="20"/>
          <w:szCs w:val="20"/>
          <w:lang w:val="en-GB"/>
        </w:rPr>
        <w:t xml:space="preserve"> For brain region abbreviations, see supplementary </w:t>
      </w:r>
      <w:r>
        <w:rPr>
          <w:rFonts w:cstheme="minorHAnsi"/>
          <w:sz w:val="20"/>
          <w:szCs w:val="20"/>
          <w:lang w:val="en-GB"/>
        </w:rPr>
        <w:t>Table</w:t>
      </w:r>
      <w:r w:rsidRPr="00D654A6">
        <w:rPr>
          <w:rFonts w:cstheme="minorHAnsi"/>
          <w:sz w:val="20"/>
          <w:szCs w:val="20"/>
          <w:lang w:val="en-GB"/>
        </w:rPr>
        <w:t xml:space="preserve"> 3.</w:t>
      </w:r>
    </w:p>
    <w:p w:rsidR="008D195F" w:rsidRDefault="008D195F" w:rsidP="008D195F">
      <w:pPr>
        <w:spacing w:line="276" w:lineRule="auto"/>
        <w:rPr>
          <w:lang w:val="en-GB"/>
        </w:rPr>
      </w:pPr>
    </w:p>
    <w:p w:rsidR="008D195F" w:rsidRDefault="008D195F" w:rsidP="008D195F">
      <w:pPr>
        <w:spacing w:line="276" w:lineRule="auto"/>
        <w:rPr>
          <w:lang w:val="en-GB"/>
        </w:rPr>
      </w:pPr>
    </w:p>
    <w:p w:rsidR="008D195F" w:rsidRDefault="008D195F" w:rsidP="008D195F">
      <w:pPr>
        <w:spacing w:line="276" w:lineRule="auto"/>
        <w:rPr>
          <w:lang w:val="en-GB"/>
        </w:rPr>
      </w:pPr>
    </w:p>
    <w:p w:rsidR="008D195F" w:rsidRDefault="008D195F" w:rsidP="008D195F">
      <w:pPr>
        <w:rPr>
          <w:lang w:val="en-GB"/>
        </w:rPr>
      </w:pPr>
      <w:r>
        <w:rPr>
          <w:lang w:val="en-GB"/>
        </w:rPr>
        <w:t xml:space="preserve"> </w:t>
      </w:r>
    </w:p>
    <w:p w:rsidR="008D195F" w:rsidRDefault="008D195F" w:rsidP="008D195F">
      <w:pPr>
        <w:rPr>
          <w:lang w:val="en-GB"/>
        </w:rPr>
      </w:pPr>
    </w:p>
    <w:p w:rsidR="008D195F" w:rsidRDefault="008D195F" w:rsidP="008D195F">
      <w:pPr>
        <w:rPr>
          <w:lang w:val="en-GB"/>
        </w:rPr>
      </w:pPr>
    </w:p>
    <w:p w:rsidR="008D195F" w:rsidRDefault="008D195F" w:rsidP="008D195F">
      <w:pPr>
        <w:rPr>
          <w:lang w:val="en-GB"/>
        </w:rPr>
      </w:pPr>
    </w:p>
    <w:p w:rsidR="008D195F" w:rsidRDefault="008D195F" w:rsidP="008D195F">
      <w:pPr>
        <w:rPr>
          <w:lang w:val="en-GB"/>
        </w:rPr>
      </w:pPr>
    </w:p>
    <w:p w:rsidR="008D195F" w:rsidRDefault="008D195F" w:rsidP="008D195F">
      <w:pPr>
        <w:rPr>
          <w:lang w:val="en-GB"/>
        </w:rPr>
      </w:pPr>
    </w:p>
    <w:p w:rsidR="008D195F" w:rsidRDefault="008D195F" w:rsidP="008D195F">
      <w:pPr>
        <w:rPr>
          <w:lang w:val="en-GB"/>
        </w:rPr>
      </w:pPr>
    </w:p>
    <w:p w:rsidR="008D195F" w:rsidRDefault="008D195F" w:rsidP="008D195F">
      <w:pPr>
        <w:rPr>
          <w:lang w:val="en-GB"/>
        </w:rPr>
      </w:pPr>
    </w:p>
    <w:p w:rsidR="008D195F" w:rsidRDefault="008D195F" w:rsidP="008D195F">
      <w:pPr>
        <w:rPr>
          <w:lang w:val="en-GB"/>
        </w:rPr>
      </w:pPr>
    </w:p>
    <w:p w:rsidR="008D195F" w:rsidRDefault="008D195F" w:rsidP="008D195F">
      <w:pPr>
        <w:rPr>
          <w:lang w:val="en-GB"/>
        </w:rPr>
      </w:pPr>
    </w:p>
    <w:p w:rsidR="008D195F" w:rsidRPr="009A5C2E" w:rsidRDefault="008D195F" w:rsidP="008D195F">
      <w:pPr>
        <w:rPr>
          <w:lang w:val="en-GB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2260"/>
        <w:gridCol w:w="2140"/>
        <w:gridCol w:w="1300"/>
      </w:tblGrid>
      <w:tr w:rsidR="008D195F" w:rsidTr="0031606C">
        <w:trPr>
          <w:trHeight w:val="320"/>
        </w:trPr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Region - Full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Region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Abbr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 long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Region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Abbr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 short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AAL label</w:t>
            </w:r>
            <w:proofErr w:type="gramEnd"/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0F2B35" w:rsidRDefault="008D195F" w:rsidP="0031606C">
            <w:pPr>
              <w:rPr>
                <w:color w:val="000000"/>
                <w:sz w:val="20"/>
                <w:szCs w:val="20"/>
                <w:lang w:val="en-US"/>
              </w:rPr>
            </w:pPr>
            <w:r w:rsidRPr="000F2B35">
              <w:rPr>
                <w:color w:val="000000"/>
                <w:sz w:val="20"/>
                <w:szCs w:val="20"/>
                <w:lang w:val="en-US"/>
              </w:rPr>
              <w:t>Superior frontal gyrus, dorsolateral part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Frontal_Sup_Orb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ORBsup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5+6</w:t>
            </w:r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0F2B35" w:rsidRDefault="008D195F" w:rsidP="0031606C">
            <w:pPr>
              <w:rPr>
                <w:color w:val="000000"/>
                <w:sz w:val="20"/>
                <w:szCs w:val="20"/>
                <w:lang w:val="en-US"/>
              </w:rPr>
            </w:pPr>
            <w:r w:rsidRPr="000F2B35">
              <w:rPr>
                <w:color w:val="000000"/>
                <w:sz w:val="20"/>
                <w:szCs w:val="20"/>
                <w:lang w:val="en-US"/>
              </w:rPr>
              <w:t>Superior frontal gyrus, orbital part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Frontal_Inf_Orb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ORBinf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15+16</w:t>
            </w:r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Olfactory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cortex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Olfactory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21+22*</w:t>
            </w:r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Superior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frontal </w:t>
            </w:r>
            <w:proofErr w:type="spellStart"/>
            <w:r>
              <w:rPr>
                <w:color w:val="000000"/>
                <w:sz w:val="20"/>
                <w:szCs w:val="20"/>
              </w:rPr>
              <w:t>gyrus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medial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Frontal_Sup_Med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SFGmed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23+24</w:t>
            </w:r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Superior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frontal </w:t>
            </w:r>
            <w:proofErr w:type="spellStart"/>
            <w:r>
              <w:rPr>
                <w:color w:val="000000"/>
                <w:sz w:val="20"/>
                <w:szCs w:val="20"/>
              </w:rPr>
              <w:t>gyrus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medial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orbital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Frontal_Mid_Orb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ORBsupmed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25+26</w:t>
            </w:r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Gyrus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rectus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Rectus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27+28</w:t>
            </w:r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Insula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Insula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29+30</w:t>
            </w:r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0F2B35" w:rsidRDefault="008D195F" w:rsidP="0031606C">
            <w:pPr>
              <w:rPr>
                <w:color w:val="000000"/>
                <w:sz w:val="20"/>
                <w:szCs w:val="20"/>
                <w:lang w:val="en-US"/>
              </w:rPr>
            </w:pPr>
            <w:r w:rsidRPr="000F2B35">
              <w:rPr>
                <w:color w:val="000000"/>
                <w:sz w:val="20"/>
                <w:szCs w:val="20"/>
                <w:lang w:val="en-US"/>
              </w:rPr>
              <w:t>Anterior cingulate and paracingulate gyri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Cingulum_Ant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31+32</w:t>
            </w:r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0F2B35" w:rsidRDefault="008D195F" w:rsidP="0031606C">
            <w:pPr>
              <w:rPr>
                <w:color w:val="000000"/>
                <w:sz w:val="20"/>
                <w:szCs w:val="20"/>
                <w:lang w:val="en-US"/>
              </w:rPr>
            </w:pPr>
            <w:r w:rsidRPr="000F2B35">
              <w:rPr>
                <w:color w:val="000000"/>
                <w:sz w:val="20"/>
                <w:szCs w:val="20"/>
                <w:lang w:val="en-US"/>
              </w:rPr>
              <w:t>Median cingulate and paracingulate gyri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Cingulum_Mid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DCG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33+34</w:t>
            </w:r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Hippocampus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Hippocampus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37+38</w:t>
            </w:r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Parahippocampal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gyrus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ParaHippocampus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39+40</w:t>
            </w:r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Amygdala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Amygdala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41+42</w:t>
            </w:r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Caudate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nucleus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Caudate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71+72</w:t>
            </w:r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Lenticular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nucleus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putamen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Putamen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73+74</w:t>
            </w:r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Thalamus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Thalamus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77+78</w:t>
            </w:r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0F2B35" w:rsidRDefault="008D195F" w:rsidP="0031606C">
            <w:pPr>
              <w:rPr>
                <w:color w:val="000000"/>
                <w:sz w:val="20"/>
                <w:szCs w:val="20"/>
                <w:lang w:val="en-US"/>
              </w:rPr>
            </w:pPr>
            <w:r w:rsidRPr="000F2B35">
              <w:rPr>
                <w:color w:val="000000"/>
                <w:sz w:val="20"/>
                <w:szCs w:val="20"/>
                <w:lang w:val="en-US"/>
              </w:rPr>
              <w:t>Temporal pole: superior temporal gyrus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Temporal_Pole_Sup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TPOsup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83+84</w:t>
            </w:r>
          </w:p>
        </w:tc>
      </w:tr>
      <w:tr w:rsidR="008D195F" w:rsidTr="0031606C">
        <w:trPr>
          <w:trHeight w:val="320"/>
        </w:trPr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Pr="000F2B35" w:rsidRDefault="008D195F" w:rsidP="0031606C">
            <w:pPr>
              <w:rPr>
                <w:color w:val="000000"/>
                <w:sz w:val="20"/>
                <w:szCs w:val="20"/>
                <w:lang w:val="en-US"/>
              </w:rPr>
            </w:pPr>
            <w:r w:rsidRPr="000F2B35">
              <w:rPr>
                <w:color w:val="000000"/>
                <w:sz w:val="20"/>
                <w:szCs w:val="20"/>
                <w:lang w:val="en-US"/>
              </w:rPr>
              <w:t>Temporal pole: mi</w:t>
            </w:r>
            <w:r w:rsidR="000F2B35">
              <w:rPr>
                <w:color w:val="000000"/>
                <w:sz w:val="20"/>
                <w:szCs w:val="20"/>
                <w:lang w:val="en-US"/>
              </w:rPr>
              <w:t>d</w:t>
            </w:r>
            <w:r w:rsidRPr="000F2B35">
              <w:rPr>
                <w:color w:val="000000"/>
                <w:sz w:val="20"/>
                <w:szCs w:val="20"/>
                <w:lang w:val="en-US"/>
              </w:rPr>
              <w:t>dle temporal gyrus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Temporal_Pole_Mid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TPOmid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195F" w:rsidRDefault="008D195F" w:rsidP="00316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87+88</w:t>
            </w:r>
          </w:p>
        </w:tc>
      </w:tr>
    </w:tbl>
    <w:p w:rsidR="008D195F" w:rsidRPr="009A5C2E" w:rsidRDefault="008D195F" w:rsidP="008D195F">
      <w:pPr>
        <w:rPr>
          <w:lang w:val="en-GB"/>
        </w:rPr>
      </w:pPr>
    </w:p>
    <w:p w:rsidR="008D195F" w:rsidRPr="00066750" w:rsidRDefault="008D195F" w:rsidP="008D195F">
      <w:r w:rsidRPr="00D654A6">
        <w:rPr>
          <w:rFonts w:cstheme="minorHAnsi"/>
          <w:b/>
          <w:bCs/>
          <w:sz w:val="20"/>
          <w:szCs w:val="20"/>
          <w:lang w:val="en-GB"/>
        </w:rPr>
        <w:t xml:space="preserve">Supplementary </w:t>
      </w:r>
      <w:r>
        <w:rPr>
          <w:rFonts w:cstheme="minorHAnsi"/>
          <w:b/>
          <w:bCs/>
          <w:sz w:val="20"/>
          <w:szCs w:val="20"/>
          <w:lang w:val="en-GB"/>
        </w:rPr>
        <w:t>Table</w:t>
      </w:r>
      <w:r w:rsidRPr="00D654A6">
        <w:rPr>
          <w:rFonts w:cstheme="minorHAnsi"/>
          <w:b/>
          <w:bCs/>
          <w:sz w:val="20"/>
          <w:szCs w:val="20"/>
          <w:lang w:val="en-GB"/>
        </w:rPr>
        <w:t xml:space="preserve"> </w:t>
      </w:r>
      <w:r>
        <w:rPr>
          <w:rFonts w:cstheme="minorHAnsi"/>
          <w:b/>
          <w:bCs/>
          <w:sz w:val="20"/>
          <w:szCs w:val="20"/>
          <w:lang w:val="en-GB"/>
        </w:rPr>
        <w:t>3</w:t>
      </w:r>
      <w:r w:rsidRPr="00D654A6">
        <w:rPr>
          <w:rFonts w:cstheme="minorHAnsi"/>
          <w:b/>
          <w:bCs/>
          <w:sz w:val="20"/>
          <w:szCs w:val="20"/>
          <w:lang w:val="en-GB"/>
        </w:rPr>
        <w:t>.</w:t>
      </w:r>
      <w:r w:rsidRPr="00D654A6">
        <w:rPr>
          <w:rFonts w:cstheme="minorHAnsi"/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Brain regions and abbreviations</w:t>
      </w:r>
      <w:r w:rsidRPr="00D654A6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 xml:space="preserve"> *The olfactory region used is an updated parcellation from Fjaeldstad et al.</w:t>
      </w:r>
      <w:r w:rsidRPr="000F2B35">
        <w:rPr>
          <w:rFonts w:eastAsiaTheme="minorHAnsi"/>
          <w:sz w:val="20"/>
          <w:szCs w:val="20"/>
          <w:lang w:val="en-US"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fldChar w:fldCharType="begin"/>
      </w:r>
      <w:r w:rsidRPr="004D62CE">
        <w:rPr>
          <w:rFonts w:eastAsiaTheme="minorHAnsi"/>
          <w:sz w:val="20"/>
          <w:szCs w:val="20"/>
          <w:lang w:val="en-US" w:eastAsia="en-US"/>
        </w:rPr>
        <w:instrText xml:space="preserve"> ADDIN PAPERS2_CITATIONS &lt;citation&gt;&lt;priority&gt;79&lt;/priority&gt;&lt;uuid&gt;4C30129C-DFF1-4390-968D-DBE03EF76618&lt;/uuid&gt;&lt;publications&gt;&lt;publication&gt;&lt;subtype&gt;400&lt;/subtype&gt;&lt;title&gt;Brain fingerprints of olfaction: a novel structural method for assessing olfactory cortical networks in health and disease.&lt;/title&gt;&lt;url&gt;http://www.nature.com/articles/srep42534&lt;/url&gt;&lt;volume&gt;7&lt;/volume&gt;&lt;publication_date&gt;99201702141200000000222000&lt;/publication_date&gt;&lt;uuid&gt;E4FE9F83-B75C-4DAB-B812-BCC3D973A8D7&lt;/uuid&gt;&lt;type&gt;400&lt;/type&gt;&lt;accepted_date&gt;99201701101200000000222000&lt;/accepted_date&gt;&lt;citekey&gt;Fjaeldstad:2017co&lt;/citekey&gt;&lt;submission_date&gt;99201610051200000000222000&lt;/submission_date&gt;&lt;doi&gt;10.1038/srep42534&lt;/doi&gt;&lt;institution&gt;Flavour Institute, Aarhus University, Aarhus, Denmark.&lt;/institution&gt;&lt;startpage&gt;42534&lt;/startpage&gt;&lt;bundle&gt;&lt;publication&gt;&lt;title&gt;Scientific Reports&lt;/title&gt;&lt;uuid&gt;54B49537-9B55-47E6-8EA2-7C6090AAB0A1&lt;/uuid&gt;&lt;subtype&gt;-100&lt;/subtype&gt;&lt;publisher&gt;Nature Publishing Group&lt;/publisher&gt;&lt;type&gt;-100&lt;/type&gt;&lt;/publication&gt;&lt;/bundle&gt;&lt;authors&gt;&lt;author&gt;&lt;lastName&gt;Fjaeldstad&lt;/lastName&gt;&lt;firstName&gt;Alexander&lt;/firstName&gt;&lt;/author&gt;&lt;author&gt;&lt;lastName&gt;Fernandes&lt;/lastName&gt;&lt;firstName&gt;H&lt;/firstName&gt;&lt;middleNames&gt;M&lt;/middleNames&gt;&lt;/author&gt;&lt;author&gt;&lt;lastName&gt;Hartevelt&lt;/lastName&gt;&lt;nonDroppingParticle&gt;Van&lt;/nonDroppingParticle&gt;&lt;firstName&gt;T&lt;/firstName&gt;&lt;middleNames&gt;J&lt;/middleNames&gt;&lt;/author&gt;&lt;author&gt;&lt;lastName&gt;Gleesborg&lt;/lastName&gt;&lt;firstName&gt;C&lt;/firstName&gt;&lt;/author&gt;&lt;author&gt;&lt;lastName&gt;Møller&lt;/lastName&gt;&lt;firstName&gt;A&lt;/firstName&gt;&lt;/author&gt;&lt;author&gt;&lt;lastName&gt;Ovesen&lt;/lastName&gt;&lt;firstName&gt;T&lt;/firstName&gt;&lt;/author&gt;&lt;author&gt;&lt;lastName&gt;Kringelbach&lt;/lastName&gt;&lt;firstName&gt;Morten&lt;/firstName&gt;&lt;middleNames&gt;L&lt;/middleNames&gt;&lt;/author&gt;&lt;/authors&gt;&lt;/publication&gt;&lt;/publications&gt;&lt;cites&gt;&lt;/cites&gt;&lt;/citation&gt;</w:instrText>
      </w:r>
      <w:r>
        <w:rPr>
          <w:rFonts w:eastAsiaTheme="minorHAnsi"/>
          <w:sz w:val="20"/>
          <w:szCs w:val="20"/>
          <w:lang w:eastAsia="en-US"/>
        </w:rPr>
        <w:fldChar w:fldCharType="separate"/>
      </w:r>
      <w:r>
        <w:rPr>
          <w:rFonts w:eastAsiaTheme="minorHAnsi"/>
          <w:sz w:val="20"/>
          <w:szCs w:val="20"/>
          <w:vertAlign w:val="superscript"/>
          <w:lang w:eastAsia="en-US"/>
        </w:rPr>
        <w:t>9</w:t>
      </w:r>
      <w:r>
        <w:rPr>
          <w:rFonts w:eastAsiaTheme="minorHAnsi"/>
          <w:sz w:val="20"/>
          <w:szCs w:val="20"/>
          <w:lang w:eastAsia="en-US"/>
        </w:rPr>
        <w:fldChar w:fldCharType="end"/>
      </w:r>
      <w:r>
        <w:rPr>
          <w:sz w:val="20"/>
          <w:szCs w:val="20"/>
          <w:lang w:val="en-GB"/>
        </w:rPr>
        <w:t>.</w:t>
      </w:r>
      <w:proofErr w:type="spellStart"/>
      <w:r>
        <w:rPr>
          <w:sz w:val="20"/>
          <w:szCs w:val="20"/>
          <w:lang w:val="en-GB"/>
        </w:rPr>
        <w:t>Abbr</w:t>
      </w:r>
      <w:proofErr w:type="spellEnd"/>
      <w:r>
        <w:rPr>
          <w:sz w:val="20"/>
          <w:szCs w:val="20"/>
          <w:lang w:val="en-GB"/>
        </w:rPr>
        <w:t xml:space="preserve">: </w:t>
      </w:r>
      <w:r w:rsidRPr="00066750">
        <w:rPr>
          <w:sz w:val="20"/>
          <w:szCs w:val="20"/>
          <w:lang w:val="en-GB"/>
        </w:rPr>
        <w:t xml:space="preserve">Abbreviation; AAL: </w:t>
      </w:r>
      <w:r w:rsidRPr="00066750">
        <w:rPr>
          <w:color w:val="222222"/>
          <w:sz w:val="20"/>
          <w:szCs w:val="20"/>
          <w:shd w:val="clear" w:color="auto" w:fill="FFFFFF"/>
        </w:rPr>
        <w:t xml:space="preserve">Automated </w:t>
      </w:r>
      <w:proofErr w:type="spellStart"/>
      <w:r w:rsidRPr="00066750">
        <w:rPr>
          <w:color w:val="222222"/>
          <w:sz w:val="20"/>
          <w:szCs w:val="20"/>
          <w:shd w:val="clear" w:color="auto" w:fill="FFFFFF"/>
        </w:rPr>
        <w:t>Anatomical</w:t>
      </w:r>
      <w:proofErr w:type="spellEnd"/>
      <w:r w:rsidRPr="00066750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66750">
        <w:rPr>
          <w:color w:val="222222"/>
          <w:sz w:val="20"/>
          <w:szCs w:val="20"/>
          <w:shd w:val="clear" w:color="auto" w:fill="FFFFFF"/>
        </w:rPr>
        <w:t>Labeling</w:t>
      </w:r>
      <w:proofErr w:type="spellEnd"/>
      <w:r>
        <w:rPr>
          <w:color w:val="222222"/>
          <w:sz w:val="20"/>
          <w:szCs w:val="20"/>
          <w:shd w:val="clear" w:color="auto" w:fill="FFFFFF"/>
        </w:rPr>
        <w:t>.</w:t>
      </w:r>
      <w:r w:rsidRPr="00066750">
        <w:rPr>
          <w:rStyle w:val="apple-converted-space"/>
          <w:rFonts w:eastAsiaTheme="majorEastAsia"/>
          <w:color w:val="222222"/>
          <w:sz w:val="20"/>
          <w:szCs w:val="20"/>
          <w:shd w:val="clear" w:color="auto" w:fill="FFFFFF"/>
        </w:rPr>
        <w:t> </w:t>
      </w:r>
    </w:p>
    <w:p w:rsidR="008D195F" w:rsidRPr="00066750" w:rsidRDefault="008D195F" w:rsidP="008D195F">
      <w:pPr>
        <w:ind w:left="-426"/>
        <w:rPr>
          <w:sz w:val="20"/>
          <w:szCs w:val="20"/>
          <w:lang w:val="en-GB"/>
        </w:rPr>
      </w:pPr>
    </w:p>
    <w:p w:rsidR="008D195F" w:rsidRPr="00D654A6" w:rsidRDefault="008D195F" w:rsidP="008D195F">
      <w:pPr>
        <w:rPr>
          <w:rFonts w:cstheme="minorHAnsi"/>
          <w:sz w:val="20"/>
          <w:szCs w:val="20"/>
          <w:lang w:val="en-GB"/>
        </w:rPr>
      </w:pPr>
    </w:p>
    <w:p w:rsidR="003A4E87" w:rsidRDefault="003A4E87"/>
    <w:sectPr w:rsidR="003A4E87" w:rsidSect="00DE152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3F9"/>
    <w:multiLevelType w:val="hybridMultilevel"/>
    <w:tmpl w:val="112052DE"/>
    <w:lvl w:ilvl="0" w:tplc="B3C082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5008"/>
    <w:multiLevelType w:val="hybridMultilevel"/>
    <w:tmpl w:val="759EB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CC5"/>
    <w:multiLevelType w:val="hybridMultilevel"/>
    <w:tmpl w:val="DADE0634"/>
    <w:lvl w:ilvl="0" w:tplc="B28AC5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4D0E"/>
    <w:multiLevelType w:val="hybridMultilevel"/>
    <w:tmpl w:val="ABECF012"/>
    <w:lvl w:ilvl="0" w:tplc="46D862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80D82"/>
    <w:multiLevelType w:val="hybridMultilevel"/>
    <w:tmpl w:val="BD10B590"/>
    <w:lvl w:ilvl="0" w:tplc="7EECBE6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203DE"/>
    <w:multiLevelType w:val="hybridMultilevel"/>
    <w:tmpl w:val="9360426E"/>
    <w:lvl w:ilvl="0" w:tplc="121AC7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1ACC"/>
    <w:multiLevelType w:val="hybridMultilevel"/>
    <w:tmpl w:val="2F206F08"/>
    <w:lvl w:ilvl="0" w:tplc="06705B7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5031"/>
    <w:multiLevelType w:val="hybridMultilevel"/>
    <w:tmpl w:val="4E544C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F79ED"/>
    <w:multiLevelType w:val="hybridMultilevel"/>
    <w:tmpl w:val="0A8268E0"/>
    <w:lvl w:ilvl="0" w:tplc="B43277A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B214F"/>
    <w:multiLevelType w:val="hybridMultilevel"/>
    <w:tmpl w:val="BEF438E4"/>
    <w:lvl w:ilvl="0" w:tplc="9C24B33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5F"/>
    <w:rsid w:val="00054E77"/>
    <w:rsid w:val="000F2B35"/>
    <w:rsid w:val="003A4E87"/>
    <w:rsid w:val="003F04CA"/>
    <w:rsid w:val="0044037B"/>
    <w:rsid w:val="004907E9"/>
    <w:rsid w:val="004D62CE"/>
    <w:rsid w:val="00626DA6"/>
    <w:rsid w:val="008D195F"/>
    <w:rsid w:val="009F23E7"/>
    <w:rsid w:val="00C40744"/>
    <w:rsid w:val="00C5041E"/>
    <w:rsid w:val="00DA2454"/>
    <w:rsid w:val="00DE152C"/>
    <w:rsid w:val="00E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08F3C6"/>
  <w14:defaultImageDpi w14:val="32767"/>
  <w15:chartTrackingRefBased/>
  <w15:docId w15:val="{8213CAE0-0D80-1345-B31C-0168C977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195F"/>
    <w:pPr>
      <w:tabs>
        <w:tab w:val="left" w:pos="284"/>
      </w:tabs>
    </w:pPr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D1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195F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D1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19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D19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D195F"/>
    <w:rPr>
      <w:rFonts w:asciiTheme="majorHAnsi" w:eastAsiaTheme="majorEastAsia" w:hAnsiTheme="majorHAnsi" w:cstheme="majorBidi"/>
      <w:color w:val="1F3763" w:themeColor="accent1" w:themeShade="7F"/>
      <w:lang w:val="en-US" w:eastAsia="da-DK"/>
    </w:rPr>
  </w:style>
  <w:style w:type="paragraph" w:styleId="Listeafsnit">
    <w:name w:val="List Paragraph"/>
    <w:basedOn w:val="Normal"/>
    <w:uiPriority w:val="34"/>
    <w:qFormat/>
    <w:rsid w:val="008D195F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Titel">
    <w:name w:val="Title"/>
    <w:basedOn w:val="Normal"/>
    <w:next w:val="Normal"/>
    <w:link w:val="TitelTegn"/>
    <w:uiPriority w:val="10"/>
    <w:qFormat/>
    <w:rsid w:val="008D19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8D195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da-DK"/>
    </w:rPr>
  </w:style>
  <w:style w:type="character" w:styleId="Hyperlink">
    <w:name w:val="Hyperlink"/>
    <w:basedOn w:val="Standardskrifttypeiafsnit"/>
    <w:uiPriority w:val="99"/>
    <w:unhideWhenUsed/>
    <w:rsid w:val="008D195F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8D195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D19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D195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D195F"/>
    <w:rPr>
      <w:rFonts w:eastAsiaTheme="minorEastAsia"/>
      <w:sz w:val="20"/>
      <w:szCs w:val="20"/>
      <w:lang w:val="en-US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D195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D195F"/>
    <w:rPr>
      <w:rFonts w:eastAsiaTheme="minorEastAsia"/>
      <w:b/>
      <w:bCs/>
      <w:sz w:val="20"/>
      <w:szCs w:val="20"/>
      <w:lang w:val="en-US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195F"/>
    <w:rPr>
      <w:rFonts w:eastAsiaTheme="minorEastAsia"/>
      <w:sz w:val="18"/>
      <w:szCs w:val="18"/>
      <w:lang w:val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195F"/>
    <w:rPr>
      <w:rFonts w:ascii="Times New Roman" w:eastAsiaTheme="minorEastAsia" w:hAnsi="Times New Roman" w:cs="Times New Roman"/>
      <w:sz w:val="18"/>
      <w:szCs w:val="18"/>
      <w:lang w:val="en-US" w:eastAsia="da-DK"/>
    </w:rPr>
  </w:style>
  <w:style w:type="table" w:styleId="Tabel-Gitter">
    <w:name w:val="Table Grid"/>
    <w:basedOn w:val="Tabel-Normal"/>
    <w:uiPriority w:val="59"/>
    <w:rsid w:val="008D195F"/>
    <w:rPr>
      <w:rFonts w:eastAsiaTheme="minorEastAsia"/>
      <w:lang w:val="en-US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195F"/>
    <w:pPr>
      <w:spacing w:before="100" w:beforeAutospacing="1" w:after="100" w:afterAutospacing="1"/>
    </w:pPr>
  </w:style>
  <w:style w:type="paragraph" w:customStyle="1" w:styleId="Titel1">
    <w:name w:val="Titel1"/>
    <w:basedOn w:val="Normal"/>
    <w:rsid w:val="008D195F"/>
    <w:pPr>
      <w:spacing w:before="100" w:beforeAutospacing="1" w:after="100" w:afterAutospacing="1"/>
    </w:pPr>
    <w:rPr>
      <w:lang w:val="de-DE" w:eastAsia="de-DE"/>
    </w:rPr>
  </w:style>
  <w:style w:type="paragraph" w:customStyle="1" w:styleId="desc">
    <w:name w:val="desc"/>
    <w:basedOn w:val="Normal"/>
    <w:rsid w:val="008D195F"/>
    <w:pPr>
      <w:spacing w:before="100" w:beforeAutospacing="1" w:after="100" w:afterAutospacing="1"/>
    </w:pPr>
    <w:rPr>
      <w:lang w:val="de-DE" w:eastAsia="de-DE"/>
    </w:rPr>
  </w:style>
  <w:style w:type="paragraph" w:customStyle="1" w:styleId="details">
    <w:name w:val="details"/>
    <w:basedOn w:val="Normal"/>
    <w:rsid w:val="008D195F"/>
    <w:pPr>
      <w:spacing w:before="100" w:beforeAutospacing="1" w:after="100" w:afterAutospacing="1"/>
    </w:pPr>
    <w:rPr>
      <w:lang w:val="de-DE" w:eastAsia="de-DE"/>
    </w:rPr>
  </w:style>
  <w:style w:type="character" w:customStyle="1" w:styleId="jrnl">
    <w:name w:val="jrnl"/>
    <w:basedOn w:val="Standardskrifttypeiafsnit"/>
    <w:rsid w:val="008D195F"/>
  </w:style>
  <w:style w:type="paragraph" w:styleId="Korrektur">
    <w:name w:val="Revision"/>
    <w:hidden/>
    <w:uiPriority w:val="99"/>
    <w:semiHidden/>
    <w:rsid w:val="008D195F"/>
    <w:rPr>
      <w:rFonts w:eastAsiaTheme="minorEastAsia"/>
      <w:lang w:val="en-US" w:eastAsia="da-DK"/>
    </w:rPr>
  </w:style>
  <w:style w:type="character" w:customStyle="1" w:styleId="apple-converted-space">
    <w:name w:val="apple-converted-space"/>
    <w:basedOn w:val="Standardskrifttypeiafsnit"/>
    <w:rsid w:val="008D195F"/>
  </w:style>
  <w:style w:type="paragraph" w:styleId="Sidehoved">
    <w:name w:val="header"/>
    <w:basedOn w:val="Normal"/>
    <w:link w:val="SidehovedTegn"/>
    <w:uiPriority w:val="99"/>
    <w:unhideWhenUsed/>
    <w:rsid w:val="008D195F"/>
    <w:pPr>
      <w:tabs>
        <w:tab w:val="clear" w:pos="284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D195F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D195F"/>
    <w:pPr>
      <w:tabs>
        <w:tab w:val="clear" w:pos="284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D195F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1323</Words>
  <Characters>8071</Characters>
  <Application>Microsoft Office Word</Application>
  <DocSecurity>0</DocSecurity>
  <Lines>67</Lines>
  <Paragraphs>18</Paragraphs>
  <ScaleCrop>false</ScaleCrop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Fjaeldstad</dc:creator>
  <cp:keywords/>
  <dc:description/>
  <cp:lastModifiedBy>Alexander Fjaeldstad</cp:lastModifiedBy>
  <cp:revision>5</cp:revision>
  <dcterms:created xsi:type="dcterms:W3CDTF">2021-02-11T09:36:00Z</dcterms:created>
  <dcterms:modified xsi:type="dcterms:W3CDTF">2021-02-11T14:28:00Z</dcterms:modified>
</cp:coreProperties>
</file>