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93B1A" w14:textId="7F6C03B0" w:rsidR="008864B6" w:rsidRDefault="006560D9" w:rsidP="00805337">
      <w:pPr>
        <w:pStyle w:val="Caption"/>
        <w:keepNext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8"/>
          <w:szCs w:val="28"/>
          <w:lang w:val="en-US"/>
        </w:rPr>
      </w:pPr>
      <w:r w:rsidRPr="006560D9">
        <w:rPr>
          <w:rFonts w:asciiTheme="majorBidi" w:hAnsiTheme="majorBidi" w:cstheme="majorBidi"/>
          <w:b/>
          <w:bCs/>
          <w:i w:val="0"/>
          <w:iCs w:val="0"/>
          <w:color w:val="auto"/>
          <w:sz w:val="28"/>
          <w:szCs w:val="28"/>
          <w:lang w:val="en-US"/>
        </w:rPr>
        <w:t xml:space="preserve">Supplementary </w:t>
      </w:r>
      <w:r w:rsidR="0012134A">
        <w:rPr>
          <w:rFonts w:asciiTheme="majorBidi" w:hAnsiTheme="majorBidi" w:cstheme="majorBidi"/>
          <w:b/>
          <w:bCs/>
          <w:i w:val="0"/>
          <w:iCs w:val="0"/>
          <w:color w:val="auto"/>
          <w:sz w:val="28"/>
          <w:szCs w:val="28"/>
          <w:lang w:val="en-US"/>
        </w:rPr>
        <w:t>M</w:t>
      </w:r>
      <w:r w:rsidRPr="006560D9">
        <w:rPr>
          <w:rFonts w:asciiTheme="majorBidi" w:hAnsiTheme="majorBidi" w:cstheme="majorBidi"/>
          <w:b/>
          <w:bCs/>
          <w:i w:val="0"/>
          <w:iCs w:val="0"/>
          <w:color w:val="auto"/>
          <w:sz w:val="28"/>
          <w:szCs w:val="28"/>
          <w:lang w:val="en-US"/>
        </w:rPr>
        <w:t>aterial</w:t>
      </w:r>
    </w:p>
    <w:p w14:paraId="67088EB2" w14:textId="033A4102" w:rsidR="00805337" w:rsidRPr="00805337" w:rsidRDefault="00805337" w:rsidP="008053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C90094"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for paper </w:t>
      </w:r>
      <w:r w:rsidRPr="00742763">
        <w:rPr>
          <w:rFonts w:ascii="Times New Roman" w:hAnsi="Times New Roman" w:cs="Times New Roman"/>
          <w:color w:val="000000"/>
          <w:sz w:val="23"/>
          <w:szCs w:val="23"/>
          <w:lang w:val="en-US"/>
        </w:rPr>
        <w:t>638441</w:t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br/>
      </w:r>
    </w:p>
    <w:p w14:paraId="6986AEBC" w14:textId="782FF189" w:rsidR="006560D9" w:rsidRDefault="00805337" w:rsidP="006560D9">
      <w:pPr>
        <w:pStyle w:val="papertitle"/>
        <w:spacing w:line="240" w:lineRule="auto"/>
        <w:rPr>
          <w:rFonts w:eastAsiaTheme="minorHAnsi"/>
          <w:b w:val="0"/>
          <w:bCs/>
          <w:sz w:val="24"/>
          <w:szCs w:val="24"/>
        </w:rPr>
      </w:pPr>
      <w:r>
        <w:rPr>
          <w:rFonts w:eastAsiaTheme="minorHAnsi"/>
          <w:b w:val="0"/>
          <w:bCs/>
          <w:sz w:val="24"/>
          <w:szCs w:val="24"/>
        </w:rPr>
        <w:t>“</w:t>
      </w:r>
      <w:r w:rsidR="006560D9" w:rsidRPr="006560D9">
        <w:rPr>
          <w:rFonts w:eastAsiaTheme="minorHAnsi"/>
          <w:b w:val="0"/>
          <w:bCs/>
          <w:sz w:val="24"/>
          <w:szCs w:val="24"/>
        </w:rPr>
        <w:t>Linking the variation of Sediment Accumulation Rate to short term sea-level change using cyclostratigraphy: case study of the Lower Berriasian hemipelagic sediments in central Tunisia (Southern Tethys)</w:t>
      </w:r>
      <w:r>
        <w:rPr>
          <w:rFonts w:eastAsiaTheme="minorHAnsi"/>
          <w:b w:val="0"/>
          <w:bCs/>
          <w:sz w:val="24"/>
          <w:szCs w:val="24"/>
        </w:rPr>
        <w:t>”</w:t>
      </w:r>
    </w:p>
    <w:p w14:paraId="70D599D5" w14:textId="77777777" w:rsidR="0012134A" w:rsidRPr="00B650F7" w:rsidRDefault="0012134A" w:rsidP="0012134A">
      <w:pPr>
        <w:pStyle w:val="author"/>
        <w:spacing w:line="480" w:lineRule="auto"/>
        <w:rPr>
          <w:rFonts w:eastAsiaTheme="minorHAnsi"/>
          <w:b/>
          <w:sz w:val="24"/>
          <w:szCs w:val="24"/>
          <w:vertAlign w:val="superscript"/>
        </w:rPr>
      </w:pPr>
      <w:r w:rsidRPr="00B650F7">
        <w:rPr>
          <w:rFonts w:eastAsiaTheme="minorHAnsi"/>
          <w:b/>
          <w:sz w:val="24"/>
          <w:szCs w:val="24"/>
        </w:rPr>
        <w:t>Hamdi Omar</w:t>
      </w:r>
      <w:r w:rsidRPr="00B650F7">
        <w:rPr>
          <w:rFonts w:eastAsiaTheme="minorHAnsi"/>
          <w:b/>
          <w:sz w:val="24"/>
          <w:szCs w:val="24"/>
          <w:vertAlign w:val="superscript"/>
        </w:rPr>
        <w:t>1,2</w:t>
      </w:r>
      <w:r w:rsidRPr="00376CC5">
        <w:rPr>
          <w:b/>
          <w:szCs w:val="24"/>
        </w:rPr>
        <w:t>*</w:t>
      </w:r>
      <w:r w:rsidRPr="00B650F7">
        <w:rPr>
          <w:rFonts w:eastAsiaTheme="minorHAnsi"/>
          <w:b/>
          <w:sz w:val="24"/>
          <w:szCs w:val="24"/>
        </w:rPr>
        <w:t>, Anne-Christine Da Silva</w:t>
      </w:r>
      <w:r w:rsidRPr="00B650F7">
        <w:rPr>
          <w:rFonts w:eastAsiaTheme="minorHAnsi"/>
          <w:b/>
          <w:sz w:val="24"/>
          <w:szCs w:val="24"/>
          <w:vertAlign w:val="superscript"/>
        </w:rPr>
        <w:t>3</w:t>
      </w:r>
      <w:r w:rsidRPr="00B650F7">
        <w:rPr>
          <w:rFonts w:eastAsiaTheme="minorHAnsi"/>
          <w:b/>
          <w:sz w:val="24"/>
          <w:szCs w:val="24"/>
        </w:rPr>
        <w:t xml:space="preserve"> and </w:t>
      </w:r>
      <w:proofErr w:type="spellStart"/>
      <w:r w:rsidRPr="00B650F7">
        <w:rPr>
          <w:rFonts w:eastAsiaTheme="minorHAnsi"/>
          <w:b/>
          <w:sz w:val="24"/>
          <w:szCs w:val="24"/>
        </w:rPr>
        <w:t>Chokri</w:t>
      </w:r>
      <w:proofErr w:type="spellEnd"/>
      <w:r w:rsidRPr="00B650F7">
        <w:rPr>
          <w:rFonts w:eastAsiaTheme="minorHAnsi"/>
          <w:b/>
          <w:sz w:val="24"/>
          <w:szCs w:val="24"/>
        </w:rPr>
        <w:t xml:space="preserve"> Yaich</w:t>
      </w:r>
      <w:r w:rsidRPr="00B650F7">
        <w:rPr>
          <w:rFonts w:eastAsiaTheme="minorHAnsi"/>
          <w:b/>
          <w:sz w:val="24"/>
          <w:szCs w:val="24"/>
          <w:vertAlign w:val="superscript"/>
        </w:rPr>
        <w:t>1,2</w:t>
      </w:r>
    </w:p>
    <w:p w14:paraId="4D7B64B5" w14:textId="77777777" w:rsidR="0012134A" w:rsidRPr="0012134A" w:rsidRDefault="0012134A" w:rsidP="0012134A">
      <w:pPr>
        <w:ind w:left="142" w:firstLine="142"/>
        <w:rPr>
          <w:rFonts w:cs="Times New Roman"/>
          <w:sz w:val="20"/>
          <w:szCs w:val="24"/>
          <w:lang w:val="en-US"/>
        </w:rPr>
      </w:pPr>
      <w:r w:rsidRPr="0012134A">
        <w:rPr>
          <w:rFonts w:asciiTheme="majorBidi" w:hAnsiTheme="majorBidi" w:cstheme="majorBidi"/>
          <w:vertAlign w:val="superscript"/>
          <w:lang w:val="en-US"/>
        </w:rPr>
        <w:t>1</w:t>
      </w:r>
      <w:r w:rsidRPr="0012134A">
        <w:rPr>
          <w:rFonts w:cs="Times New Roman"/>
          <w:sz w:val="20"/>
          <w:szCs w:val="24"/>
          <w:lang w:val="en-US"/>
        </w:rPr>
        <w:t xml:space="preserve">Department of Geological Engineering, National Engineering School of Sfax, Sfax University, Tunisia. </w:t>
      </w:r>
    </w:p>
    <w:p w14:paraId="11D355FD" w14:textId="77777777" w:rsidR="0012134A" w:rsidRPr="0012134A" w:rsidRDefault="0012134A" w:rsidP="0012134A">
      <w:pPr>
        <w:ind w:firstLine="284"/>
        <w:rPr>
          <w:rFonts w:cs="Times New Roman"/>
          <w:sz w:val="20"/>
          <w:szCs w:val="24"/>
          <w:lang w:val="en-US"/>
        </w:rPr>
      </w:pPr>
      <w:r w:rsidRPr="0012134A">
        <w:rPr>
          <w:rFonts w:cs="Times New Roman"/>
          <w:sz w:val="20"/>
          <w:szCs w:val="24"/>
          <w:vertAlign w:val="superscript"/>
          <w:lang w:val="en-US"/>
        </w:rPr>
        <w:t>2</w:t>
      </w:r>
      <w:r w:rsidRPr="0012134A">
        <w:rPr>
          <w:rFonts w:cs="Times New Roman"/>
          <w:sz w:val="20"/>
          <w:szCs w:val="24"/>
          <w:lang w:val="en-US"/>
        </w:rPr>
        <w:t xml:space="preserve">Laboratory of </w:t>
      </w:r>
      <w:proofErr w:type="spellStart"/>
      <w:r w:rsidRPr="0012134A">
        <w:rPr>
          <w:rFonts w:cs="Times New Roman"/>
          <w:sz w:val="20"/>
          <w:szCs w:val="24"/>
          <w:lang w:val="en-US"/>
        </w:rPr>
        <w:t>Georessources</w:t>
      </w:r>
      <w:proofErr w:type="spellEnd"/>
      <w:r w:rsidRPr="0012134A">
        <w:rPr>
          <w:rFonts w:cs="Times New Roman"/>
          <w:sz w:val="20"/>
          <w:szCs w:val="24"/>
          <w:lang w:val="en-US"/>
        </w:rPr>
        <w:t xml:space="preserve">, Materials Environment and Global Change, Faculty of Sciences of Sfax, Street of </w:t>
      </w:r>
      <w:proofErr w:type="spellStart"/>
      <w:r w:rsidRPr="0012134A">
        <w:rPr>
          <w:rFonts w:cs="Times New Roman"/>
          <w:sz w:val="20"/>
          <w:szCs w:val="24"/>
          <w:lang w:val="en-US"/>
        </w:rPr>
        <w:t>Soukra</w:t>
      </w:r>
      <w:proofErr w:type="spellEnd"/>
      <w:r w:rsidRPr="0012134A">
        <w:rPr>
          <w:rFonts w:cs="Times New Roman"/>
          <w:sz w:val="20"/>
          <w:szCs w:val="24"/>
          <w:lang w:val="en-US"/>
        </w:rPr>
        <w:t xml:space="preserve"> km 3.5, PB 1171, 3000, Univ. of Sfax, Tunisia.</w:t>
      </w:r>
    </w:p>
    <w:p w14:paraId="73968367" w14:textId="69308727" w:rsidR="0012134A" w:rsidRDefault="0012134A" w:rsidP="0012134A">
      <w:pPr>
        <w:ind w:firstLine="284"/>
        <w:rPr>
          <w:rFonts w:cs="Times New Roman"/>
          <w:sz w:val="20"/>
          <w:szCs w:val="24"/>
        </w:rPr>
      </w:pPr>
      <w:r w:rsidRPr="00486956">
        <w:rPr>
          <w:rFonts w:cs="Times New Roman"/>
          <w:sz w:val="20"/>
          <w:szCs w:val="24"/>
          <w:vertAlign w:val="superscript"/>
        </w:rPr>
        <w:t>3</w:t>
      </w:r>
      <w:r w:rsidRPr="00486956">
        <w:rPr>
          <w:rFonts w:cs="Times New Roman"/>
          <w:sz w:val="20"/>
          <w:szCs w:val="24"/>
        </w:rPr>
        <w:t xml:space="preserve">Sedimentary </w:t>
      </w:r>
      <w:proofErr w:type="spellStart"/>
      <w:r w:rsidRPr="00486956">
        <w:rPr>
          <w:rFonts w:cs="Times New Roman"/>
          <w:sz w:val="20"/>
          <w:szCs w:val="24"/>
        </w:rPr>
        <w:t>Petrology</w:t>
      </w:r>
      <w:proofErr w:type="spellEnd"/>
      <w:r w:rsidRPr="00486956">
        <w:rPr>
          <w:rFonts w:cs="Times New Roman"/>
          <w:sz w:val="20"/>
          <w:szCs w:val="24"/>
        </w:rPr>
        <w:t xml:space="preserve"> </w:t>
      </w:r>
      <w:proofErr w:type="spellStart"/>
      <w:r w:rsidRPr="00486956">
        <w:rPr>
          <w:rFonts w:cs="Times New Roman"/>
          <w:sz w:val="20"/>
          <w:szCs w:val="24"/>
        </w:rPr>
        <w:t>Laboratory</w:t>
      </w:r>
      <w:proofErr w:type="spellEnd"/>
      <w:r w:rsidRPr="00486956">
        <w:rPr>
          <w:rFonts w:cs="Times New Roman"/>
          <w:sz w:val="20"/>
          <w:szCs w:val="24"/>
        </w:rPr>
        <w:t xml:space="preserve">, Liège </w:t>
      </w:r>
      <w:proofErr w:type="spellStart"/>
      <w:r w:rsidRPr="00486956">
        <w:rPr>
          <w:rFonts w:cs="Times New Roman"/>
          <w:sz w:val="20"/>
          <w:szCs w:val="24"/>
        </w:rPr>
        <w:t>University</w:t>
      </w:r>
      <w:proofErr w:type="spellEnd"/>
      <w:r w:rsidRPr="00486956">
        <w:rPr>
          <w:rFonts w:cs="Times New Roman"/>
          <w:sz w:val="20"/>
          <w:szCs w:val="24"/>
        </w:rPr>
        <w:t xml:space="preserve">, Allée du Six Août, 12, 4000 Liège, </w:t>
      </w:r>
      <w:proofErr w:type="spellStart"/>
      <w:r w:rsidRPr="00486956">
        <w:rPr>
          <w:rFonts w:cs="Times New Roman"/>
          <w:sz w:val="20"/>
          <w:szCs w:val="24"/>
        </w:rPr>
        <w:t>Belgium</w:t>
      </w:r>
      <w:proofErr w:type="spellEnd"/>
    </w:p>
    <w:p w14:paraId="05BDDBBB" w14:textId="5FA35260" w:rsidR="00715E84" w:rsidRDefault="00715E84" w:rsidP="0012134A">
      <w:pPr>
        <w:ind w:firstLine="284"/>
        <w:rPr>
          <w:rFonts w:cs="Times New Roman"/>
          <w:sz w:val="20"/>
          <w:szCs w:val="24"/>
        </w:rPr>
      </w:pPr>
    </w:p>
    <w:p w14:paraId="179C049E" w14:textId="77777777" w:rsidR="00715E84" w:rsidRPr="00486956" w:rsidRDefault="00715E84" w:rsidP="0012134A">
      <w:pPr>
        <w:ind w:firstLine="284"/>
        <w:rPr>
          <w:rFonts w:cs="Times New Roman"/>
          <w:sz w:val="20"/>
          <w:szCs w:val="24"/>
        </w:rPr>
      </w:pPr>
    </w:p>
    <w:p w14:paraId="496AA8FF" w14:textId="77777777" w:rsidR="00843A33" w:rsidRDefault="00843A33" w:rsidP="00843A33">
      <w:pPr>
        <w:keepNext/>
        <w:autoSpaceDE w:val="0"/>
        <w:autoSpaceDN w:val="0"/>
        <w:adjustRightInd w:val="0"/>
        <w:spacing w:after="0"/>
        <w:jc w:val="both"/>
      </w:pPr>
      <w:r>
        <w:rPr>
          <w:rFonts w:asciiTheme="majorBidi" w:hAnsiTheme="majorBidi" w:cstheme="majorBidi"/>
          <w:b/>
          <w:bCs/>
          <w:noProof/>
          <w:szCs w:val="24"/>
          <w:lang w:val="en-US"/>
        </w:rPr>
        <w:drawing>
          <wp:inline distT="0" distB="0" distL="0" distR="0" wp14:anchorId="7B3EEE36" wp14:editId="6355D96C">
            <wp:extent cx="5760720" cy="407590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03EF" w14:textId="1C6BEEEE" w:rsidR="00843A33" w:rsidRPr="00C526C8" w:rsidRDefault="00C526C8" w:rsidP="00C526C8">
      <w:pPr>
        <w:pStyle w:val="Caption"/>
        <w:jc w:val="both"/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</w:pPr>
      <w:r w:rsidRPr="00C526C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Supplementary </w:t>
      </w:r>
      <w:r w:rsidR="00843A33" w:rsidRPr="00C526C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Pr="00C526C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843A33" w:rsidRPr="00C526C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843A33" w:rsidRPr="00C526C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="00843A33" w:rsidRPr="00C526C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185A2C"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1</w:t>
      </w:r>
      <w:r w:rsidR="00843A33" w:rsidRPr="00C526C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526C8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Amplitude modulation </w:t>
      </w:r>
      <w:r w:rsidR="00446E83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applied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on the frequency</w:t>
      </w:r>
      <w:r w:rsidR="0087435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bandwidth</w:t>
      </w:r>
      <w:r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87435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that we consider to be the 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precession </w:t>
      </w:r>
      <w:r w:rsidR="0087435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band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. (</w:t>
      </w:r>
      <w:r w:rsidR="00F0444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A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) The </w:t>
      </w:r>
      <w:r w:rsidR="00CD041B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MS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time series was filtered at </w:t>
      </w:r>
      <w:r w:rsidR="0087435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a bandwidth</w:t>
      </w:r>
      <w:r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87435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centered around the 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frequency of </w:t>
      </w:r>
      <w:r w:rsidR="000679BB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2.45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m</w:t>
      </w:r>
      <w:r w:rsidR="00CD041B" w:rsidRPr="00CD041B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vertAlign w:val="superscript"/>
          <w:lang w:val="en-US"/>
        </w:rPr>
        <w:t>-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1</w:t>
      </w:r>
      <w:r w:rsidR="0087435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(precession band)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and the </w:t>
      </w:r>
      <w:r w:rsidR="0087435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MTM applied on the 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envelope of the</w:t>
      </w:r>
      <w:r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amplitude variation yields a power spectrum (</w:t>
      </w:r>
      <w:r w:rsidR="00F0444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B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with a significant</w:t>
      </w:r>
      <w:r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peak at the frequency </w:t>
      </w:r>
      <w:r w:rsidR="00AE634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that corresponds to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short eccentricity (0.</w:t>
      </w:r>
      <w:r w:rsidR="00895757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411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CA1264"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m</w:t>
      </w:r>
      <w:r w:rsidR="00CA1264" w:rsidRPr="00CD041B"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  <w:vertAlign w:val="superscript"/>
          <w:lang w:val="en-US"/>
        </w:rPr>
        <w:t>-</w:t>
      </w:r>
      <w:r w:rsidR="00CA1264"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1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). This result supports our</w:t>
      </w:r>
      <w:r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87435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interpreted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Milankovitch frequencies </w:t>
      </w:r>
      <w:r w:rsidR="00874359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revealed by the MTM in </w:t>
      </w:r>
      <w:r w:rsidR="00874359" w:rsidRPr="00874359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Figure 5</w:t>
      </w:r>
      <w:r w:rsidRPr="00C526C8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.</w:t>
      </w:r>
    </w:p>
    <w:p w14:paraId="6BAE0073" w14:textId="77777777" w:rsidR="00185A2C" w:rsidRDefault="00185A2C" w:rsidP="00185A2C">
      <w:pPr>
        <w:keepNext/>
        <w:autoSpaceDE w:val="0"/>
        <w:autoSpaceDN w:val="0"/>
        <w:adjustRightInd w:val="0"/>
        <w:spacing w:after="0"/>
        <w:jc w:val="both"/>
      </w:pPr>
      <w:r>
        <w:rPr>
          <w:rFonts w:asciiTheme="majorBidi" w:hAnsiTheme="majorBidi" w:cstheme="majorBidi"/>
          <w:b/>
          <w:bCs/>
          <w:noProof/>
          <w:szCs w:val="24"/>
          <w:lang w:val="en-US"/>
        </w:rPr>
        <w:lastRenderedPageBreak/>
        <w:drawing>
          <wp:inline distT="0" distB="0" distL="0" distR="0" wp14:anchorId="2B1ACBDE" wp14:editId="5F76E2B0">
            <wp:extent cx="5760720" cy="44551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9227" w14:textId="25B974BD" w:rsidR="00843A33" w:rsidRPr="00185A2C" w:rsidRDefault="00185A2C" w:rsidP="00185A2C">
      <w:pPr>
        <w:pStyle w:val="Caption"/>
        <w:jc w:val="both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</w:pPr>
      <w:r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Supplementary Figure S</w:t>
      </w:r>
      <w:r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2</w:t>
      </w:r>
      <w:r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r w:rsidR="00715E84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TimeOpt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A–F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) analysis, evolutive 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TimeOpt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(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eTimeOpt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G–I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analysis using a moving normalized) window of 12 meters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G–I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and Monte Carlo simulation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J–L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results for the lower Sidi Khalif MS series for 200 test sedimentation rates from 1 to 5 cm/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. The 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Taner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filter passband was set to flow = 0.045 cycles/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and 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fhigh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= 0.069 cycles/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; the roll-off was set to 1012. The input orbital eccentricity model frequencies and precession index frequencies are from the La2004 solution.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A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The combined Pearson correlation coefficient 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perscript"/>
          <w:lang w:val="en-US"/>
        </w:rPr>
        <w:t>2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opt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= 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perscript"/>
          <w:lang w:val="en-US"/>
        </w:rPr>
        <w:t>2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envelope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× 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perscript"/>
          <w:lang w:val="en-US"/>
        </w:rPr>
        <w:t>2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power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indicating an optimal sedimentation rate of 2.952 cm/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B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Comparison of the precession band amplitude envelope (red) and eccentricity model (black) for the optimal sedimentation rate of 2.9522 cm/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C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Pearson correlation coefficient vs. test sedimentation rate for the amplitude envelope of the precession index band (r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perscript"/>
          <w:lang w:val="en-US"/>
        </w:rPr>
        <w:t>2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envelope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and eccentricity model (r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perscript"/>
          <w:lang w:val="en-US"/>
        </w:rPr>
        <w:t>2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power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D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) 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Taner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-filtered precession band and amplitude envelope.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E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Paired amplitude envelope and eccentricity model points illustrating the correlation at the optimal sedimentation rate of 2.952 cm/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F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). Unsmoothed power spectrum of the MS series evaluated as a time series at the optimal sedimentation rate of 4.642 cm/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G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Squared Pearson correlation coefficient for the amplitude envelope fit (r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perscript"/>
          <w:lang w:val="en-US"/>
        </w:rPr>
        <w:t>2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envelope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H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Squared Pearson correlation coefficient for the spectral power fit (r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perscript"/>
          <w:lang w:val="en-US"/>
        </w:rPr>
        <w:t>2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power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I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Results from the combined envelope and spectral fit (r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perscript"/>
          <w:lang w:val="en-US"/>
        </w:rPr>
        <w:t>2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opt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J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50000 Monte Carlo simulations of AR1 red noise at the sedimentation rate indicated by the amplitude envelope of the precession index band (4.5 cm/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; r2envelope = 0.23118; p = 0.56668).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K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50000 Monte Carlo simulations of AR1 red noise at the sedimentation rate indicated by the orbital eccentricity model (2.7 cm/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; 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perscript"/>
          <w:lang w:val="en-US"/>
        </w:rPr>
        <w:t>2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power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= 0.31519; p = 0.00358). (</w:t>
      </w:r>
      <w:r w:rsidR="00843A33" w:rsidRPr="00185A2C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L</w:t>
      </w:r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) 50000 Monte Carlo simulations of AR1 red noise at the optimal sedimentation rate (2.9522 cm/</w:t>
      </w:r>
      <w:proofErr w:type="spellStart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kyr</w:t>
      </w:r>
      <w:proofErr w:type="spellEnd"/>
      <w:r w:rsidR="00843A33" w:rsidRPr="00185A2C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; r2opt = 0.027776, p = 0.05776).</w:t>
      </w:r>
    </w:p>
    <w:p w14:paraId="17B7C8F4" w14:textId="77777777" w:rsidR="00185A2C" w:rsidRDefault="0081557D" w:rsidP="00185A2C">
      <w:pPr>
        <w:keepNext/>
      </w:pPr>
      <w:r w:rsidRPr="00185A2C">
        <w:rPr>
          <w:rFonts w:asciiTheme="majorBidi" w:hAnsiTheme="majorBidi" w:cstheme="majorBidi"/>
          <w:b/>
          <w:bCs/>
          <w:sz w:val="24"/>
          <w:szCs w:val="24"/>
          <w:lang w:val="en-US"/>
        </w:rPr>
        <w:br w:type="page"/>
      </w:r>
      <w:r w:rsidR="00185A2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lastRenderedPageBreak/>
        <w:drawing>
          <wp:inline distT="0" distB="0" distL="0" distR="0" wp14:anchorId="31F3C02F" wp14:editId="4B70335C">
            <wp:extent cx="5760720" cy="5838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CD4A" w14:textId="074086E8" w:rsidR="00185A2C" w:rsidRPr="00864AEE" w:rsidRDefault="00185A2C" w:rsidP="00864AEE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4"/>
          <w:szCs w:val="28"/>
          <w:lang w:val="en-US"/>
        </w:rPr>
      </w:pPr>
      <w:r w:rsidRPr="00185A2C">
        <w:rPr>
          <w:rFonts w:asciiTheme="majorBidi" w:hAnsiTheme="majorBidi" w:cstheme="majorBidi"/>
          <w:b/>
          <w:bCs/>
          <w:sz w:val="24"/>
          <w:szCs w:val="24"/>
          <w:lang w:val="en-US"/>
        </w:rPr>
        <w:t>Supplementary Figure S</w:t>
      </w:r>
      <w:r w:rsidRPr="00185A2C">
        <w:rPr>
          <w:rFonts w:asciiTheme="majorBidi" w:hAnsiTheme="majorBidi" w:cstheme="majorBidi"/>
          <w:b/>
          <w:bCs/>
          <w:sz w:val="24"/>
          <w:szCs w:val="24"/>
        </w:rPr>
        <w:fldChar w:fldCharType="begin"/>
      </w:r>
      <w:r w:rsidRPr="00185A2C">
        <w:rPr>
          <w:rFonts w:asciiTheme="majorBidi" w:hAnsiTheme="majorBidi" w:cstheme="majorBidi"/>
          <w:b/>
          <w:bCs/>
          <w:sz w:val="24"/>
          <w:szCs w:val="24"/>
          <w:lang w:val="en-US"/>
        </w:rPr>
        <w:instrText xml:space="preserve"> SEQ Figure \* ARABIC </w:instrText>
      </w:r>
      <w:r w:rsidRPr="00185A2C">
        <w:rPr>
          <w:rFonts w:asciiTheme="majorBidi" w:hAnsiTheme="majorBidi" w:cstheme="majorBidi"/>
          <w:b/>
          <w:bCs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t>3</w:t>
      </w:r>
      <w:r w:rsidRPr="00185A2C">
        <w:rPr>
          <w:rFonts w:asciiTheme="majorBidi" w:hAnsiTheme="majorBidi" w:cstheme="majorBidi"/>
          <w:b/>
          <w:bCs/>
          <w:sz w:val="24"/>
          <w:szCs w:val="24"/>
        </w:rPr>
        <w:fldChar w:fldCharType="end"/>
      </w:r>
      <w:r w:rsidRPr="00185A2C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Pr="00185A2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185A2C">
        <w:rPr>
          <w:rFonts w:asciiTheme="majorBidi" w:hAnsiTheme="majorBidi" w:cstheme="majorBidi"/>
          <w:color w:val="000000"/>
          <w:sz w:val="24"/>
          <w:szCs w:val="28"/>
          <w:lang w:val="en-US"/>
        </w:rPr>
        <w:t>ASM of untuned MS series applied over a range of sedimentation rates from 1 to 5 cm/</w:t>
      </w:r>
      <w:proofErr w:type="spellStart"/>
      <w:r w:rsidRPr="00185A2C">
        <w:rPr>
          <w:rFonts w:asciiTheme="majorBidi" w:hAnsiTheme="majorBidi" w:cstheme="majorBidi"/>
          <w:color w:val="000000"/>
          <w:sz w:val="24"/>
          <w:szCs w:val="28"/>
          <w:lang w:val="en-US"/>
        </w:rPr>
        <w:t>kyr</w:t>
      </w:r>
      <w:proofErr w:type="spellEnd"/>
      <w:r w:rsidRPr="00185A2C">
        <w:rPr>
          <w:rFonts w:asciiTheme="majorBidi" w:hAnsiTheme="majorBidi" w:cstheme="majorBidi"/>
          <w:color w:val="000000"/>
          <w:sz w:val="24"/>
          <w:szCs w:val="28"/>
          <w:lang w:val="en-US"/>
        </w:rPr>
        <w:t xml:space="preserve">, using the astronomical target frequencies of </w:t>
      </w:r>
      <w:r w:rsidRPr="00185A2C">
        <w:rPr>
          <w:rFonts w:asciiTheme="majorBidi" w:hAnsiTheme="majorBidi" w:cstheme="majorBidi"/>
          <w:color w:val="0000FF"/>
          <w:sz w:val="24"/>
          <w:szCs w:val="28"/>
          <w:lang w:val="en-US"/>
        </w:rPr>
        <w:t xml:space="preserve">Berger et al., 1992 </w:t>
      </w:r>
      <w:r w:rsidRPr="00185A2C">
        <w:rPr>
          <w:rFonts w:asciiTheme="majorBidi" w:hAnsiTheme="majorBidi" w:cstheme="majorBidi"/>
          <w:color w:val="000000"/>
          <w:sz w:val="24"/>
          <w:szCs w:val="28"/>
          <w:lang w:val="en-US"/>
        </w:rPr>
        <w:t xml:space="preserve">around 145 Ma. The analysis was performed using </w:t>
      </w:r>
      <w:proofErr w:type="spellStart"/>
      <w:r w:rsidRPr="00185A2C">
        <w:rPr>
          <w:rFonts w:asciiTheme="majorBidi" w:hAnsiTheme="majorBidi" w:cstheme="majorBidi"/>
          <w:color w:val="000000"/>
          <w:sz w:val="24"/>
          <w:szCs w:val="28"/>
          <w:lang w:val="en-US"/>
        </w:rPr>
        <w:t>Astrochron</w:t>
      </w:r>
      <w:proofErr w:type="spellEnd"/>
      <w:r w:rsidRPr="00185A2C">
        <w:rPr>
          <w:rFonts w:asciiTheme="majorBidi" w:hAnsiTheme="majorBidi" w:cstheme="majorBidi"/>
          <w:color w:val="000000"/>
          <w:sz w:val="24"/>
          <w:szCs w:val="28"/>
          <w:lang w:val="en-US"/>
        </w:rPr>
        <w:t xml:space="preserve"> package (</w:t>
      </w:r>
      <w:r w:rsidRPr="00185A2C">
        <w:rPr>
          <w:rFonts w:asciiTheme="majorBidi" w:hAnsiTheme="majorBidi" w:cstheme="majorBidi"/>
          <w:color w:val="0000FF"/>
          <w:sz w:val="24"/>
          <w:szCs w:val="28"/>
          <w:lang w:val="en-US"/>
        </w:rPr>
        <w:t>Meyers, 2014</w:t>
      </w:r>
      <w:r w:rsidRPr="00185A2C">
        <w:rPr>
          <w:rFonts w:asciiTheme="majorBidi" w:hAnsiTheme="majorBidi" w:cstheme="majorBidi"/>
          <w:color w:val="000000"/>
          <w:sz w:val="24"/>
          <w:szCs w:val="28"/>
          <w:lang w:val="en-US"/>
        </w:rPr>
        <w:t xml:space="preserve">) under R software as updated in Meyers et al., 2012 (following the approach outlined in </w:t>
      </w:r>
      <w:r w:rsidRPr="00185A2C">
        <w:rPr>
          <w:rFonts w:asciiTheme="majorBidi" w:hAnsiTheme="majorBidi" w:cstheme="majorBidi"/>
          <w:color w:val="0000FF"/>
          <w:sz w:val="24"/>
          <w:szCs w:val="28"/>
          <w:lang w:val="en-US"/>
        </w:rPr>
        <w:t>Meyers and Sageman (2007)</w:t>
      </w:r>
      <w:r w:rsidRPr="00185A2C">
        <w:rPr>
          <w:rFonts w:asciiTheme="majorBidi" w:hAnsiTheme="majorBidi" w:cstheme="majorBidi"/>
          <w:color w:val="000000"/>
          <w:sz w:val="24"/>
          <w:szCs w:val="28"/>
          <w:lang w:val="en-US"/>
        </w:rPr>
        <w:t xml:space="preserve">, and the improvements of </w:t>
      </w:r>
      <w:r w:rsidRPr="00185A2C">
        <w:rPr>
          <w:rFonts w:asciiTheme="majorBidi" w:hAnsiTheme="majorBidi" w:cstheme="majorBidi"/>
          <w:color w:val="0000FF"/>
          <w:sz w:val="24"/>
          <w:szCs w:val="28"/>
          <w:lang w:val="en-US"/>
        </w:rPr>
        <w:t>Meyers et al., (2012)</w:t>
      </w:r>
      <w:r w:rsidRPr="00185A2C">
        <w:rPr>
          <w:rFonts w:asciiTheme="majorBidi" w:hAnsiTheme="majorBidi" w:cstheme="majorBidi"/>
          <w:color w:val="000000"/>
          <w:sz w:val="24"/>
          <w:szCs w:val="28"/>
          <w:lang w:val="en-US"/>
        </w:rPr>
        <w:t>).</w:t>
      </w:r>
      <w:r w:rsidRPr="00185A2C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br w:type="page"/>
      </w:r>
    </w:p>
    <w:p w14:paraId="265A4964" w14:textId="56B53929" w:rsidR="00BF7387" w:rsidRPr="0081557D" w:rsidRDefault="0081557D" w:rsidP="00BF7387">
      <w:pPr>
        <w:pStyle w:val="Caption"/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lastRenderedPageBreak/>
        <w:t xml:space="preserve">Supplementary </w:t>
      </w:r>
      <w:r w:rsidRPr="0081557D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Table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1</w:t>
      </w:r>
      <w:r w:rsidR="00BF7387" w:rsidRPr="0081557D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="00BF7387" w:rsidRPr="0081557D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Frequency ratios of orbital periods of the Berriasian stage (</w:t>
      </w:r>
      <w:proofErr w:type="spellStart"/>
      <w:r w:rsidR="00BF7387" w:rsidRPr="0081557D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>Laskar</w:t>
      </w:r>
      <w:proofErr w:type="spellEnd"/>
      <w:r w:rsidR="00BF7387" w:rsidRPr="0081557D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et al., 2004)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BF7387" w:rsidRPr="00ED169D" w14:paraId="1ED327AC" w14:textId="77777777" w:rsidTr="00222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70BE3DDE" w14:textId="77777777" w:rsidR="00BF7387" w:rsidRPr="00ED169D" w:rsidRDefault="00BF7387" w:rsidP="00755BB2">
            <w:pPr>
              <w:rPr>
                <w:szCs w:val="24"/>
              </w:rPr>
            </w:pPr>
            <w:proofErr w:type="gramStart"/>
            <w:r w:rsidRPr="00ED169D">
              <w:rPr>
                <w:szCs w:val="24"/>
              </w:rPr>
              <w:t>in</w:t>
            </w:r>
            <w:proofErr w:type="gramEnd"/>
            <w:r w:rsidRPr="00ED169D">
              <w:rPr>
                <w:szCs w:val="24"/>
              </w:rPr>
              <w:t xml:space="preserve"> </w:t>
            </w:r>
            <w:proofErr w:type="spellStart"/>
            <w:r w:rsidRPr="00ED169D">
              <w:rPr>
                <w:szCs w:val="24"/>
              </w:rPr>
              <w:t>kyr</w:t>
            </w:r>
            <w:proofErr w:type="spellEnd"/>
          </w:p>
        </w:tc>
        <w:tc>
          <w:tcPr>
            <w:tcW w:w="1132" w:type="dxa"/>
          </w:tcPr>
          <w:p w14:paraId="4D5864DC" w14:textId="77777777" w:rsidR="00BF7387" w:rsidRPr="00ED169D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 xml:space="preserve">P2 (18) </w:t>
            </w:r>
          </w:p>
        </w:tc>
        <w:tc>
          <w:tcPr>
            <w:tcW w:w="1133" w:type="dxa"/>
          </w:tcPr>
          <w:p w14:paraId="53222576" w14:textId="77777777" w:rsidR="00BF7387" w:rsidRPr="00ED169D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P1 (22)</w:t>
            </w:r>
          </w:p>
        </w:tc>
        <w:tc>
          <w:tcPr>
            <w:tcW w:w="1133" w:type="dxa"/>
          </w:tcPr>
          <w:p w14:paraId="6003FC07" w14:textId="77777777" w:rsidR="00BF7387" w:rsidRPr="00ED169D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O (27)</w:t>
            </w:r>
          </w:p>
        </w:tc>
        <w:tc>
          <w:tcPr>
            <w:tcW w:w="1133" w:type="dxa"/>
          </w:tcPr>
          <w:p w14:paraId="13E8826B" w14:textId="77777777" w:rsidR="00BF7387" w:rsidRPr="00ED169D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O (36)</w:t>
            </w:r>
          </w:p>
        </w:tc>
        <w:tc>
          <w:tcPr>
            <w:tcW w:w="1133" w:type="dxa"/>
          </w:tcPr>
          <w:p w14:paraId="59E00F99" w14:textId="77777777" w:rsidR="00BF7387" w:rsidRPr="00ED169D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O (45)</w:t>
            </w:r>
          </w:p>
        </w:tc>
        <w:tc>
          <w:tcPr>
            <w:tcW w:w="1133" w:type="dxa"/>
          </w:tcPr>
          <w:p w14:paraId="03C33A6D" w14:textId="77777777" w:rsidR="00BF7387" w:rsidRPr="00ED169D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proofErr w:type="gramStart"/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e</w:t>
            </w:r>
            <w:proofErr w:type="gramEnd"/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 xml:space="preserve"> (100)</w:t>
            </w:r>
          </w:p>
        </w:tc>
        <w:tc>
          <w:tcPr>
            <w:tcW w:w="1133" w:type="dxa"/>
          </w:tcPr>
          <w:p w14:paraId="73A512E7" w14:textId="77777777" w:rsidR="00BF7387" w:rsidRPr="00ED169D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E (405)</w:t>
            </w:r>
          </w:p>
        </w:tc>
      </w:tr>
      <w:tr w:rsidR="00BF7387" w:rsidRPr="00ED169D" w14:paraId="13D66EC3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25A5BFC9" w14:textId="77777777" w:rsidR="00BF7387" w:rsidRPr="00ED169D" w:rsidRDefault="00BF7387" w:rsidP="00755BB2">
            <w:pPr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P2 (18)</w:t>
            </w:r>
          </w:p>
        </w:tc>
        <w:tc>
          <w:tcPr>
            <w:tcW w:w="1132" w:type="dxa"/>
          </w:tcPr>
          <w:p w14:paraId="62BB54BD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47AEC4E1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16C3CCFF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709C23A2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310FE541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49DABB90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675A720E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F7387" w:rsidRPr="00ED169D" w14:paraId="76DE5CEA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2463E2FE" w14:textId="77777777" w:rsidR="00BF7387" w:rsidRPr="00ED169D" w:rsidRDefault="00BF7387" w:rsidP="00755BB2">
            <w:pPr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P1 (18)</w:t>
            </w:r>
          </w:p>
        </w:tc>
        <w:tc>
          <w:tcPr>
            <w:tcW w:w="1132" w:type="dxa"/>
          </w:tcPr>
          <w:p w14:paraId="2707EDEF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0.81</w:t>
            </w:r>
          </w:p>
        </w:tc>
        <w:tc>
          <w:tcPr>
            <w:tcW w:w="1133" w:type="dxa"/>
          </w:tcPr>
          <w:p w14:paraId="763FC47C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0761C103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4C363C39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57B13005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438C1D70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7152218F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F7387" w:rsidRPr="00ED169D" w14:paraId="358F9F1D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4B9F617C" w14:textId="77777777" w:rsidR="00BF7387" w:rsidRPr="00ED169D" w:rsidRDefault="00BF7387" w:rsidP="00755BB2">
            <w:pPr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O (27)</w:t>
            </w:r>
          </w:p>
        </w:tc>
        <w:tc>
          <w:tcPr>
            <w:tcW w:w="1132" w:type="dxa"/>
          </w:tcPr>
          <w:p w14:paraId="3C6BC237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0.66</w:t>
            </w:r>
          </w:p>
        </w:tc>
        <w:tc>
          <w:tcPr>
            <w:tcW w:w="1133" w:type="dxa"/>
          </w:tcPr>
          <w:p w14:paraId="0D068E9A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0.81</w:t>
            </w:r>
          </w:p>
        </w:tc>
        <w:tc>
          <w:tcPr>
            <w:tcW w:w="1133" w:type="dxa"/>
          </w:tcPr>
          <w:p w14:paraId="4F995C85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497F4B75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337EABFC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1D98AC47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0515EF72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F7387" w:rsidRPr="00ED169D" w14:paraId="01870B52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61D7E5F0" w14:textId="77777777" w:rsidR="00BF7387" w:rsidRPr="00ED169D" w:rsidRDefault="00BF7387" w:rsidP="00755BB2">
            <w:pPr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O (36)</w:t>
            </w:r>
          </w:p>
        </w:tc>
        <w:tc>
          <w:tcPr>
            <w:tcW w:w="1132" w:type="dxa"/>
          </w:tcPr>
          <w:p w14:paraId="329D1030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0.5</w:t>
            </w:r>
          </w:p>
        </w:tc>
        <w:tc>
          <w:tcPr>
            <w:tcW w:w="1133" w:type="dxa"/>
          </w:tcPr>
          <w:p w14:paraId="4E82DFC6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0.61</w:t>
            </w:r>
          </w:p>
        </w:tc>
        <w:tc>
          <w:tcPr>
            <w:tcW w:w="1133" w:type="dxa"/>
          </w:tcPr>
          <w:p w14:paraId="0DCF7CB5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0.75</w:t>
            </w:r>
          </w:p>
        </w:tc>
        <w:tc>
          <w:tcPr>
            <w:tcW w:w="1133" w:type="dxa"/>
          </w:tcPr>
          <w:p w14:paraId="6BEFF40F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6F72C826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21755ECE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2EC2C833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F7387" w:rsidRPr="00ED169D" w14:paraId="6856AE53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34CA0482" w14:textId="77777777" w:rsidR="00BF7387" w:rsidRPr="00ED169D" w:rsidRDefault="00BF7387" w:rsidP="00755BB2">
            <w:pPr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O (45)</w:t>
            </w:r>
          </w:p>
        </w:tc>
        <w:tc>
          <w:tcPr>
            <w:tcW w:w="1132" w:type="dxa"/>
          </w:tcPr>
          <w:p w14:paraId="451BC026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0.4</w:t>
            </w:r>
          </w:p>
        </w:tc>
        <w:tc>
          <w:tcPr>
            <w:tcW w:w="1133" w:type="dxa"/>
          </w:tcPr>
          <w:p w14:paraId="54A75DBD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0.48</w:t>
            </w:r>
          </w:p>
        </w:tc>
        <w:tc>
          <w:tcPr>
            <w:tcW w:w="1133" w:type="dxa"/>
          </w:tcPr>
          <w:p w14:paraId="33C3FB6B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0.6</w:t>
            </w:r>
          </w:p>
        </w:tc>
        <w:tc>
          <w:tcPr>
            <w:tcW w:w="1133" w:type="dxa"/>
          </w:tcPr>
          <w:p w14:paraId="009116F6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0.8</w:t>
            </w:r>
          </w:p>
        </w:tc>
        <w:tc>
          <w:tcPr>
            <w:tcW w:w="1133" w:type="dxa"/>
          </w:tcPr>
          <w:p w14:paraId="592A7BBC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4DD9C71F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1133" w:type="dxa"/>
          </w:tcPr>
          <w:p w14:paraId="36B8BDD0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F7387" w:rsidRPr="00ED169D" w14:paraId="77361B66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606A9738" w14:textId="77777777" w:rsidR="00BF7387" w:rsidRPr="00ED169D" w:rsidRDefault="00BF7387" w:rsidP="00755BB2">
            <w:pPr>
              <w:rPr>
                <w:szCs w:val="24"/>
              </w:rPr>
            </w:pPr>
            <w:proofErr w:type="gramStart"/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e</w:t>
            </w:r>
            <w:proofErr w:type="gramEnd"/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 xml:space="preserve"> (100)</w:t>
            </w:r>
          </w:p>
        </w:tc>
        <w:tc>
          <w:tcPr>
            <w:tcW w:w="1132" w:type="dxa"/>
          </w:tcPr>
          <w:p w14:paraId="74381CDA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0.18</w:t>
            </w:r>
          </w:p>
        </w:tc>
        <w:tc>
          <w:tcPr>
            <w:tcW w:w="1133" w:type="dxa"/>
          </w:tcPr>
          <w:p w14:paraId="27B7CB69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0.22</w:t>
            </w:r>
          </w:p>
        </w:tc>
        <w:tc>
          <w:tcPr>
            <w:tcW w:w="1133" w:type="dxa"/>
          </w:tcPr>
          <w:p w14:paraId="51034A7E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0.27</w:t>
            </w:r>
          </w:p>
        </w:tc>
        <w:tc>
          <w:tcPr>
            <w:tcW w:w="1133" w:type="dxa"/>
          </w:tcPr>
          <w:p w14:paraId="064DAB54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0.36</w:t>
            </w:r>
          </w:p>
        </w:tc>
        <w:tc>
          <w:tcPr>
            <w:tcW w:w="1133" w:type="dxa"/>
          </w:tcPr>
          <w:p w14:paraId="6CB26A0A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0.45</w:t>
            </w:r>
          </w:p>
        </w:tc>
        <w:tc>
          <w:tcPr>
            <w:tcW w:w="1133" w:type="dxa"/>
          </w:tcPr>
          <w:p w14:paraId="139AE823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38C84CC6" w14:textId="77777777" w:rsidR="00BF7387" w:rsidRPr="00ED169D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F7387" w:rsidRPr="00ED169D" w14:paraId="09FD3269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71C5FF3A" w14:textId="77777777" w:rsidR="00BF7387" w:rsidRPr="00ED169D" w:rsidRDefault="00BF7387" w:rsidP="00755BB2">
            <w:pPr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i/>
                <w:iCs/>
                <w:szCs w:val="24"/>
              </w:rPr>
              <w:t>E (405)</w:t>
            </w:r>
          </w:p>
        </w:tc>
        <w:tc>
          <w:tcPr>
            <w:tcW w:w="1132" w:type="dxa"/>
          </w:tcPr>
          <w:p w14:paraId="53DD58EB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0.044</w:t>
            </w:r>
          </w:p>
        </w:tc>
        <w:tc>
          <w:tcPr>
            <w:tcW w:w="1133" w:type="dxa"/>
          </w:tcPr>
          <w:p w14:paraId="6DA90B28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0.054</w:t>
            </w:r>
          </w:p>
        </w:tc>
        <w:tc>
          <w:tcPr>
            <w:tcW w:w="1133" w:type="dxa"/>
          </w:tcPr>
          <w:p w14:paraId="091DEAEE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0.066</w:t>
            </w:r>
          </w:p>
        </w:tc>
        <w:tc>
          <w:tcPr>
            <w:tcW w:w="1133" w:type="dxa"/>
          </w:tcPr>
          <w:p w14:paraId="5BCA676E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0.088</w:t>
            </w:r>
          </w:p>
        </w:tc>
        <w:tc>
          <w:tcPr>
            <w:tcW w:w="1133" w:type="dxa"/>
          </w:tcPr>
          <w:p w14:paraId="7EEEBEEC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0.11</w:t>
            </w:r>
          </w:p>
        </w:tc>
        <w:tc>
          <w:tcPr>
            <w:tcW w:w="1133" w:type="dxa"/>
          </w:tcPr>
          <w:p w14:paraId="281F6D61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0.246</w:t>
            </w:r>
          </w:p>
        </w:tc>
        <w:tc>
          <w:tcPr>
            <w:tcW w:w="1133" w:type="dxa"/>
          </w:tcPr>
          <w:p w14:paraId="58B3EFA3" w14:textId="77777777" w:rsidR="00BF7387" w:rsidRPr="00ED169D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ED169D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</w:tbl>
    <w:p w14:paraId="57DCBBCD" w14:textId="77777777" w:rsidR="00864AEE" w:rsidRDefault="00864AEE" w:rsidP="00BF7387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</w:pPr>
    </w:p>
    <w:p w14:paraId="3A949B45" w14:textId="77777777" w:rsidR="00864AEE" w:rsidRDefault="00864AEE" w:rsidP="00BF7387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</w:pPr>
    </w:p>
    <w:p w14:paraId="3C6E8940" w14:textId="77777777" w:rsidR="00864AEE" w:rsidRDefault="00864AEE" w:rsidP="00BF7387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</w:pPr>
    </w:p>
    <w:p w14:paraId="3FA0C655" w14:textId="72157676" w:rsidR="00BF7387" w:rsidRPr="0081557D" w:rsidRDefault="0081557D" w:rsidP="00BF7387">
      <w:pPr>
        <w:pStyle w:val="Caption"/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Supplementary </w:t>
      </w:r>
      <w:r w:rsidR="00BF7387" w:rsidRPr="0081557D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Table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S</w:t>
      </w:r>
      <w:r w:rsidR="00BF7387" w:rsidRPr="0081557D"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2</w:t>
      </w:r>
      <w:r w:rsidR="00BF7387" w:rsidRPr="0081557D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="00BF7387" w:rsidRPr="0081557D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Frequency ratios of the untuned MS (black) and %CaCO</w:t>
      </w:r>
      <w:r w:rsidR="00BF7387" w:rsidRPr="0081557D">
        <w:rPr>
          <w:rFonts w:asciiTheme="majorBidi" w:hAnsiTheme="majorBidi" w:cstheme="majorBidi"/>
          <w:i w:val="0"/>
          <w:iCs w:val="0"/>
          <w:color w:val="auto"/>
          <w:sz w:val="24"/>
          <w:szCs w:val="24"/>
          <w:vertAlign w:val="subscript"/>
          <w:lang w:val="en-US"/>
        </w:rPr>
        <w:t>3</w:t>
      </w:r>
      <w:r w:rsidR="00BF7387" w:rsidRPr="0081557D">
        <w:rPr>
          <w:rFonts w:asciiTheme="majorBidi" w:hAnsiTheme="majorBidi" w:cstheme="majorBidi"/>
          <w:i w:val="0"/>
          <w:iCs w:val="0"/>
          <w:color w:val="auto"/>
          <w:sz w:val="24"/>
          <w:szCs w:val="24"/>
          <w:lang w:val="en-US"/>
        </w:rPr>
        <w:t xml:space="preserve"> (dark blue) MTM significant peaks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 w:rsidR="00BF7387" w:rsidRPr="002D7A91" w14:paraId="7F661D5A" w14:textId="77777777" w:rsidTr="00222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15E57FC7" w14:textId="77777777" w:rsidR="00BF7387" w:rsidRPr="002D7A91" w:rsidRDefault="00BF7387" w:rsidP="00755BB2">
            <w:pPr>
              <w:rPr>
                <w:rFonts w:asciiTheme="majorBidi" w:hAnsiTheme="majorBidi" w:cstheme="majorBidi"/>
                <w:szCs w:val="24"/>
              </w:rPr>
            </w:pPr>
            <w:proofErr w:type="gramStart"/>
            <w:r w:rsidRPr="002D7A91">
              <w:rPr>
                <w:rFonts w:asciiTheme="majorBidi" w:hAnsiTheme="majorBidi" w:cstheme="majorBidi"/>
                <w:szCs w:val="24"/>
              </w:rPr>
              <w:t>in</w:t>
            </w:r>
            <w:proofErr w:type="gramEnd"/>
            <w:r w:rsidRPr="002D7A91">
              <w:rPr>
                <w:rFonts w:asciiTheme="majorBidi" w:hAnsiTheme="majorBidi" w:cstheme="majorBidi"/>
                <w:szCs w:val="24"/>
              </w:rPr>
              <w:t xml:space="preserve"> </w:t>
            </w:r>
            <w:proofErr w:type="spellStart"/>
            <w:r w:rsidRPr="002D7A91">
              <w:rPr>
                <w:rFonts w:asciiTheme="majorBidi" w:hAnsiTheme="majorBidi" w:cstheme="majorBidi"/>
                <w:szCs w:val="24"/>
              </w:rPr>
              <w:t>meter</w:t>
            </w:r>
            <w:proofErr w:type="spellEnd"/>
          </w:p>
        </w:tc>
        <w:tc>
          <w:tcPr>
            <w:tcW w:w="1132" w:type="dxa"/>
          </w:tcPr>
          <w:p w14:paraId="2063A10E" w14:textId="77777777" w:rsidR="00BF7387" w:rsidRPr="002D7A91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 xml:space="preserve">0.34 </w:t>
            </w:r>
          </w:p>
        </w:tc>
        <w:tc>
          <w:tcPr>
            <w:tcW w:w="1133" w:type="dxa"/>
          </w:tcPr>
          <w:p w14:paraId="29264C8F" w14:textId="77777777" w:rsidR="00BF7387" w:rsidRPr="002D7A91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0.41</w:t>
            </w:r>
          </w:p>
        </w:tc>
        <w:tc>
          <w:tcPr>
            <w:tcW w:w="1133" w:type="dxa"/>
          </w:tcPr>
          <w:p w14:paraId="3D53E5D0" w14:textId="77777777" w:rsidR="00BF7387" w:rsidRPr="002D7A91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0.57</w:t>
            </w:r>
          </w:p>
        </w:tc>
        <w:tc>
          <w:tcPr>
            <w:tcW w:w="1133" w:type="dxa"/>
          </w:tcPr>
          <w:p w14:paraId="56A42A90" w14:textId="77777777" w:rsidR="00BF7387" w:rsidRPr="002D7A91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0.66</w:t>
            </w:r>
          </w:p>
        </w:tc>
        <w:tc>
          <w:tcPr>
            <w:tcW w:w="1133" w:type="dxa"/>
          </w:tcPr>
          <w:p w14:paraId="7301B385" w14:textId="77777777" w:rsidR="00BF7387" w:rsidRPr="002D7A91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0.87</w:t>
            </w:r>
          </w:p>
        </w:tc>
        <w:tc>
          <w:tcPr>
            <w:tcW w:w="1133" w:type="dxa"/>
          </w:tcPr>
          <w:p w14:paraId="2350F406" w14:textId="77777777" w:rsidR="00BF7387" w:rsidRPr="002D7A91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2.25</w:t>
            </w:r>
          </w:p>
        </w:tc>
        <w:tc>
          <w:tcPr>
            <w:tcW w:w="1133" w:type="dxa"/>
          </w:tcPr>
          <w:p w14:paraId="73AE43A6" w14:textId="77777777" w:rsidR="00BF7387" w:rsidRPr="002D7A91" w:rsidRDefault="00BF7387" w:rsidP="00755B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10</w:t>
            </w:r>
          </w:p>
        </w:tc>
      </w:tr>
      <w:tr w:rsidR="00BF7387" w:rsidRPr="002D7A91" w14:paraId="22494575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0B811530" w14:textId="77777777" w:rsidR="00BF7387" w:rsidRPr="002D7A91" w:rsidRDefault="00BF7387" w:rsidP="00755BB2">
            <w:pPr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0.34</w:t>
            </w:r>
          </w:p>
        </w:tc>
        <w:tc>
          <w:tcPr>
            <w:tcW w:w="1132" w:type="dxa"/>
          </w:tcPr>
          <w:p w14:paraId="72167FEB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64363E06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0FF65C80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794758B0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41224F00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5C3D7E9A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3E2EBE5A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</w:tr>
      <w:tr w:rsidR="00BF7387" w:rsidRPr="002D7A91" w14:paraId="69D44618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6FFA6D45" w14:textId="77777777" w:rsidR="00BF7387" w:rsidRPr="002D7A91" w:rsidRDefault="00BF7387" w:rsidP="00755BB2">
            <w:pPr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0.41</w:t>
            </w:r>
          </w:p>
        </w:tc>
        <w:tc>
          <w:tcPr>
            <w:tcW w:w="1132" w:type="dxa"/>
          </w:tcPr>
          <w:p w14:paraId="753EF31D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0.81</w:t>
            </w:r>
          </w:p>
        </w:tc>
        <w:tc>
          <w:tcPr>
            <w:tcW w:w="1133" w:type="dxa"/>
          </w:tcPr>
          <w:p w14:paraId="0B0193E7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5693BBD7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7C9A0669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3BF4EC25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3E1426FA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26280F00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</w:tr>
      <w:tr w:rsidR="00BF7387" w:rsidRPr="002D7A91" w14:paraId="2B6B24AF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0F91F16B" w14:textId="77777777" w:rsidR="00BF7387" w:rsidRPr="002D7A91" w:rsidRDefault="00BF7387" w:rsidP="00755BB2">
            <w:pPr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0.57</w:t>
            </w:r>
          </w:p>
        </w:tc>
        <w:tc>
          <w:tcPr>
            <w:tcW w:w="1132" w:type="dxa"/>
          </w:tcPr>
          <w:p w14:paraId="6CE76285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0.66</w:t>
            </w:r>
          </w:p>
        </w:tc>
        <w:tc>
          <w:tcPr>
            <w:tcW w:w="1133" w:type="dxa"/>
          </w:tcPr>
          <w:p w14:paraId="03BB818E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0.81</w:t>
            </w:r>
          </w:p>
        </w:tc>
        <w:tc>
          <w:tcPr>
            <w:tcW w:w="1133" w:type="dxa"/>
          </w:tcPr>
          <w:p w14:paraId="4B65D42A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1C893636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56F17F1F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09A6A95F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59BC6492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</w:tr>
      <w:tr w:rsidR="00BF7387" w:rsidRPr="002D7A91" w14:paraId="1A7E9EE3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486B19C7" w14:textId="77777777" w:rsidR="00BF7387" w:rsidRPr="002D7A91" w:rsidRDefault="00BF7387" w:rsidP="00755BB2">
            <w:pPr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0.66</w:t>
            </w:r>
          </w:p>
        </w:tc>
        <w:tc>
          <w:tcPr>
            <w:tcW w:w="1132" w:type="dxa"/>
          </w:tcPr>
          <w:p w14:paraId="4FC8B6B7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0.5</w:t>
            </w:r>
          </w:p>
        </w:tc>
        <w:tc>
          <w:tcPr>
            <w:tcW w:w="1133" w:type="dxa"/>
          </w:tcPr>
          <w:p w14:paraId="621678FF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0.61</w:t>
            </w:r>
          </w:p>
        </w:tc>
        <w:tc>
          <w:tcPr>
            <w:tcW w:w="1133" w:type="dxa"/>
          </w:tcPr>
          <w:p w14:paraId="132CCBC5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0.75</w:t>
            </w:r>
          </w:p>
        </w:tc>
        <w:tc>
          <w:tcPr>
            <w:tcW w:w="1133" w:type="dxa"/>
          </w:tcPr>
          <w:p w14:paraId="38920515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54D9B92A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3FA1657C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2DBF2F19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</w:tr>
      <w:tr w:rsidR="00BF7387" w:rsidRPr="002D7A91" w14:paraId="4311D614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06A224EA" w14:textId="77777777" w:rsidR="00BF7387" w:rsidRPr="002D7A91" w:rsidRDefault="00BF7387" w:rsidP="00755BB2">
            <w:pPr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0.87</w:t>
            </w:r>
          </w:p>
        </w:tc>
        <w:tc>
          <w:tcPr>
            <w:tcW w:w="1132" w:type="dxa"/>
          </w:tcPr>
          <w:p w14:paraId="156ECC33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0.4</w:t>
            </w:r>
          </w:p>
        </w:tc>
        <w:tc>
          <w:tcPr>
            <w:tcW w:w="1133" w:type="dxa"/>
          </w:tcPr>
          <w:p w14:paraId="569C73ED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0.48</w:t>
            </w:r>
          </w:p>
        </w:tc>
        <w:tc>
          <w:tcPr>
            <w:tcW w:w="1133" w:type="dxa"/>
          </w:tcPr>
          <w:p w14:paraId="4B183C2A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0.6</w:t>
            </w:r>
          </w:p>
        </w:tc>
        <w:tc>
          <w:tcPr>
            <w:tcW w:w="1133" w:type="dxa"/>
          </w:tcPr>
          <w:p w14:paraId="7BC8F4C4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0.8</w:t>
            </w:r>
          </w:p>
        </w:tc>
        <w:tc>
          <w:tcPr>
            <w:tcW w:w="1133" w:type="dxa"/>
          </w:tcPr>
          <w:p w14:paraId="6762F76A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5ABA9338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133" w:type="dxa"/>
          </w:tcPr>
          <w:p w14:paraId="42AEB2E5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</w:tr>
      <w:tr w:rsidR="00BF7387" w:rsidRPr="002D7A91" w14:paraId="2FB307FB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1E4EA3C5" w14:textId="77777777" w:rsidR="00BF7387" w:rsidRPr="002D7A91" w:rsidRDefault="00BF7387" w:rsidP="00755BB2">
            <w:pPr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2.25</w:t>
            </w:r>
          </w:p>
        </w:tc>
        <w:tc>
          <w:tcPr>
            <w:tcW w:w="1132" w:type="dxa"/>
          </w:tcPr>
          <w:p w14:paraId="49ED82A0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0.18</w:t>
            </w:r>
          </w:p>
        </w:tc>
        <w:tc>
          <w:tcPr>
            <w:tcW w:w="1133" w:type="dxa"/>
          </w:tcPr>
          <w:p w14:paraId="37B90799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0.22</w:t>
            </w:r>
          </w:p>
        </w:tc>
        <w:tc>
          <w:tcPr>
            <w:tcW w:w="1133" w:type="dxa"/>
          </w:tcPr>
          <w:p w14:paraId="50653965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0.27</w:t>
            </w:r>
          </w:p>
        </w:tc>
        <w:tc>
          <w:tcPr>
            <w:tcW w:w="1133" w:type="dxa"/>
          </w:tcPr>
          <w:p w14:paraId="5657B61A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0.36</w:t>
            </w:r>
          </w:p>
        </w:tc>
        <w:tc>
          <w:tcPr>
            <w:tcW w:w="1133" w:type="dxa"/>
          </w:tcPr>
          <w:p w14:paraId="7DF1D830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0.45</w:t>
            </w:r>
          </w:p>
        </w:tc>
        <w:tc>
          <w:tcPr>
            <w:tcW w:w="1133" w:type="dxa"/>
          </w:tcPr>
          <w:p w14:paraId="41FF93FC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1</w:t>
            </w:r>
          </w:p>
        </w:tc>
        <w:tc>
          <w:tcPr>
            <w:tcW w:w="1133" w:type="dxa"/>
          </w:tcPr>
          <w:p w14:paraId="04DD0FC7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</w:p>
        </w:tc>
      </w:tr>
      <w:tr w:rsidR="00BF7387" w:rsidRPr="002D7A91" w14:paraId="25FBFD06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0245F4FD" w14:textId="77777777" w:rsidR="00BF7387" w:rsidRPr="002D7A91" w:rsidRDefault="00BF7387" w:rsidP="00755BB2">
            <w:pPr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10</w:t>
            </w:r>
          </w:p>
        </w:tc>
        <w:tc>
          <w:tcPr>
            <w:tcW w:w="1132" w:type="dxa"/>
          </w:tcPr>
          <w:p w14:paraId="50D4485B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0.044</w:t>
            </w:r>
          </w:p>
        </w:tc>
        <w:tc>
          <w:tcPr>
            <w:tcW w:w="1133" w:type="dxa"/>
          </w:tcPr>
          <w:p w14:paraId="7AE8989C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0.054</w:t>
            </w:r>
          </w:p>
        </w:tc>
        <w:tc>
          <w:tcPr>
            <w:tcW w:w="1133" w:type="dxa"/>
          </w:tcPr>
          <w:p w14:paraId="48338970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0.066</w:t>
            </w:r>
          </w:p>
        </w:tc>
        <w:tc>
          <w:tcPr>
            <w:tcW w:w="1133" w:type="dxa"/>
          </w:tcPr>
          <w:p w14:paraId="7C2C75C2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0.088</w:t>
            </w:r>
          </w:p>
        </w:tc>
        <w:tc>
          <w:tcPr>
            <w:tcW w:w="1133" w:type="dxa"/>
          </w:tcPr>
          <w:p w14:paraId="50AE9F24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0.11</w:t>
            </w:r>
          </w:p>
        </w:tc>
        <w:tc>
          <w:tcPr>
            <w:tcW w:w="1133" w:type="dxa"/>
          </w:tcPr>
          <w:p w14:paraId="561C1818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0.246</w:t>
            </w:r>
          </w:p>
        </w:tc>
        <w:tc>
          <w:tcPr>
            <w:tcW w:w="1133" w:type="dxa"/>
          </w:tcPr>
          <w:p w14:paraId="0ED53FC4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Cs w:val="24"/>
              </w:rPr>
            </w:pPr>
            <w:r w:rsidRPr="002D7A91">
              <w:rPr>
                <w:rFonts w:asciiTheme="majorBidi" w:hAnsiTheme="majorBidi" w:cstheme="majorBidi"/>
                <w:szCs w:val="24"/>
              </w:rPr>
              <w:t>1</w:t>
            </w:r>
          </w:p>
        </w:tc>
      </w:tr>
      <w:tr w:rsidR="00BF7387" w:rsidRPr="002D7A91" w14:paraId="0B696220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4F269935" w14:textId="77777777" w:rsidR="00BF7387" w:rsidRPr="002D7A91" w:rsidRDefault="00BF7387" w:rsidP="00755BB2">
            <w:pPr>
              <w:rPr>
                <w:rFonts w:asciiTheme="majorBidi" w:hAnsiTheme="majorBidi" w:cstheme="majorBidi"/>
                <w:i/>
                <w:iCs/>
                <w:color w:val="2F5496" w:themeColor="accent1" w:themeShade="BF"/>
                <w:szCs w:val="24"/>
              </w:rPr>
            </w:pPr>
            <w:proofErr w:type="gramStart"/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in</w:t>
            </w:r>
            <w:proofErr w:type="gramEnd"/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 xml:space="preserve"> </w:t>
            </w:r>
            <w:proofErr w:type="spellStart"/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meter</w:t>
            </w:r>
            <w:proofErr w:type="spellEnd"/>
          </w:p>
        </w:tc>
        <w:tc>
          <w:tcPr>
            <w:tcW w:w="1132" w:type="dxa"/>
          </w:tcPr>
          <w:p w14:paraId="16D071C7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  <w:t xml:space="preserve">0.31 </w:t>
            </w:r>
          </w:p>
        </w:tc>
        <w:tc>
          <w:tcPr>
            <w:tcW w:w="1133" w:type="dxa"/>
          </w:tcPr>
          <w:p w14:paraId="55A9ABDE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  <w:t>0.43</w:t>
            </w:r>
          </w:p>
        </w:tc>
        <w:tc>
          <w:tcPr>
            <w:tcW w:w="1133" w:type="dxa"/>
          </w:tcPr>
          <w:p w14:paraId="693355E9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  <w:t>0.56</w:t>
            </w:r>
          </w:p>
        </w:tc>
        <w:tc>
          <w:tcPr>
            <w:tcW w:w="1133" w:type="dxa"/>
          </w:tcPr>
          <w:p w14:paraId="7173CBEB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  <w:t>0.63</w:t>
            </w:r>
          </w:p>
        </w:tc>
        <w:tc>
          <w:tcPr>
            <w:tcW w:w="1133" w:type="dxa"/>
          </w:tcPr>
          <w:p w14:paraId="0262F561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  <w:t>0.83</w:t>
            </w:r>
          </w:p>
        </w:tc>
        <w:tc>
          <w:tcPr>
            <w:tcW w:w="1133" w:type="dxa"/>
          </w:tcPr>
          <w:p w14:paraId="296C3938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  <w:t>2.14</w:t>
            </w:r>
          </w:p>
        </w:tc>
        <w:tc>
          <w:tcPr>
            <w:tcW w:w="1133" w:type="dxa"/>
          </w:tcPr>
          <w:p w14:paraId="37DBEEEA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b/>
                <w:bCs/>
                <w:color w:val="2F5496" w:themeColor="accent1" w:themeShade="BF"/>
                <w:szCs w:val="24"/>
              </w:rPr>
              <w:t>10.15</w:t>
            </w:r>
          </w:p>
        </w:tc>
      </w:tr>
      <w:tr w:rsidR="00BF7387" w:rsidRPr="002D7A91" w14:paraId="50BF0AB7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64E6144E" w14:textId="77777777" w:rsidR="00BF7387" w:rsidRPr="002D7A91" w:rsidRDefault="00BF7387" w:rsidP="00755BB2">
            <w:pPr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0.34</w:t>
            </w:r>
          </w:p>
        </w:tc>
        <w:tc>
          <w:tcPr>
            <w:tcW w:w="1132" w:type="dxa"/>
          </w:tcPr>
          <w:p w14:paraId="69A5D464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1</w:t>
            </w:r>
          </w:p>
        </w:tc>
        <w:tc>
          <w:tcPr>
            <w:tcW w:w="1133" w:type="dxa"/>
          </w:tcPr>
          <w:p w14:paraId="19D1FB4A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27A1FC22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0C526B50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50EB9010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780291E5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15A40777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</w:tr>
      <w:tr w:rsidR="00BF7387" w:rsidRPr="002D7A91" w14:paraId="2D9D9302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4C0AE7F2" w14:textId="77777777" w:rsidR="00BF7387" w:rsidRPr="002D7A91" w:rsidRDefault="00BF7387" w:rsidP="00755BB2">
            <w:pPr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0.43</w:t>
            </w:r>
          </w:p>
        </w:tc>
        <w:tc>
          <w:tcPr>
            <w:tcW w:w="1132" w:type="dxa"/>
          </w:tcPr>
          <w:p w14:paraId="5971041B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0.72</w:t>
            </w:r>
          </w:p>
        </w:tc>
        <w:tc>
          <w:tcPr>
            <w:tcW w:w="1133" w:type="dxa"/>
          </w:tcPr>
          <w:p w14:paraId="5FB76DCD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1</w:t>
            </w:r>
          </w:p>
        </w:tc>
        <w:tc>
          <w:tcPr>
            <w:tcW w:w="1133" w:type="dxa"/>
          </w:tcPr>
          <w:p w14:paraId="1AFC4431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5AD0C2CC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15CDF264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18D8977C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48382984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</w:tr>
      <w:tr w:rsidR="00BF7387" w:rsidRPr="002D7A91" w14:paraId="5B820D9D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111D7657" w14:textId="77777777" w:rsidR="00BF7387" w:rsidRPr="002D7A91" w:rsidRDefault="00BF7387" w:rsidP="00755BB2">
            <w:pPr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0.56</w:t>
            </w:r>
          </w:p>
        </w:tc>
        <w:tc>
          <w:tcPr>
            <w:tcW w:w="1132" w:type="dxa"/>
          </w:tcPr>
          <w:p w14:paraId="3251AD71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0.55</w:t>
            </w:r>
          </w:p>
        </w:tc>
        <w:tc>
          <w:tcPr>
            <w:tcW w:w="1133" w:type="dxa"/>
          </w:tcPr>
          <w:p w14:paraId="0277869F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0.76</w:t>
            </w:r>
          </w:p>
        </w:tc>
        <w:tc>
          <w:tcPr>
            <w:tcW w:w="1133" w:type="dxa"/>
          </w:tcPr>
          <w:p w14:paraId="3E742893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1</w:t>
            </w:r>
          </w:p>
        </w:tc>
        <w:tc>
          <w:tcPr>
            <w:tcW w:w="1133" w:type="dxa"/>
          </w:tcPr>
          <w:p w14:paraId="09456CB2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47679240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6B6273D2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3B021F93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</w:tr>
      <w:tr w:rsidR="00BF7387" w:rsidRPr="002D7A91" w14:paraId="70DA252F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27511741" w14:textId="77777777" w:rsidR="00BF7387" w:rsidRPr="002D7A91" w:rsidRDefault="00BF7387" w:rsidP="00755BB2">
            <w:pPr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0.63</w:t>
            </w:r>
          </w:p>
        </w:tc>
        <w:tc>
          <w:tcPr>
            <w:tcW w:w="1132" w:type="dxa"/>
          </w:tcPr>
          <w:p w14:paraId="6CF5DC92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0.49</w:t>
            </w:r>
          </w:p>
        </w:tc>
        <w:tc>
          <w:tcPr>
            <w:tcW w:w="1133" w:type="dxa"/>
          </w:tcPr>
          <w:p w14:paraId="2F1BC394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0.68</w:t>
            </w:r>
          </w:p>
        </w:tc>
        <w:tc>
          <w:tcPr>
            <w:tcW w:w="1133" w:type="dxa"/>
          </w:tcPr>
          <w:p w14:paraId="572AC607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0.88</w:t>
            </w:r>
          </w:p>
        </w:tc>
        <w:tc>
          <w:tcPr>
            <w:tcW w:w="1133" w:type="dxa"/>
          </w:tcPr>
          <w:p w14:paraId="1EFBDC67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1</w:t>
            </w:r>
          </w:p>
        </w:tc>
        <w:tc>
          <w:tcPr>
            <w:tcW w:w="1133" w:type="dxa"/>
          </w:tcPr>
          <w:p w14:paraId="3F431770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0BE6EA20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34B07736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</w:tr>
      <w:tr w:rsidR="00BF7387" w:rsidRPr="002D7A91" w14:paraId="2D3B488D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7BD182B8" w14:textId="77777777" w:rsidR="00BF7387" w:rsidRPr="002D7A91" w:rsidRDefault="00BF7387" w:rsidP="00755BB2">
            <w:pPr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0.83</w:t>
            </w:r>
          </w:p>
        </w:tc>
        <w:tc>
          <w:tcPr>
            <w:tcW w:w="1132" w:type="dxa"/>
          </w:tcPr>
          <w:p w14:paraId="2F90B66B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0.37</w:t>
            </w:r>
          </w:p>
        </w:tc>
        <w:tc>
          <w:tcPr>
            <w:tcW w:w="1133" w:type="dxa"/>
          </w:tcPr>
          <w:p w14:paraId="5DB2FE29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0.51</w:t>
            </w:r>
          </w:p>
        </w:tc>
        <w:tc>
          <w:tcPr>
            <w:tcW w:w="1133" w:type="dxa"/>
          </w:tcPr>
          <w:p w14:paraId="36CD5C30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0.67</w:t>
            </w:r>
          </w:p>
        </w:tc>
        <w:tc>
          <w:tcPr>
            <w:tcW w:w="1133" w:type="dxa"/>
          </w:tcPr>
          <w:p w14:paraId="7F56697C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0.75</w:t>
            </w:r>
          </w:p>
        </w:tc>
        <w:tc>
          <w:tcPr>
            <w:tcW w:w="1133" w:type="dxa"/>
          </w:tcPr>
          <w:p w14:paraId="3119C843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1</w:t>
            </w:r>
          </w:p>
        </w:tc>
        <w:tc>
          <w:tcPr>
            <w:tcW w:w="1133" w:type="dxa"/>
          </w:tcPr>
          <w:p w14:paraId="452482E3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  <w:tc>
          <w:tcPr>
            <w:tcW w:w="1133" w:type="dxa"/>
          </w:tcPr>
          <w:p w14:paraId="24BE226C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</w:tr>
      <w:tr w:rsidR="00BF7387" w:rsidRPr="002D7A91" w14:paraId="537662E0" w14:textId="77777777" w:rsidTr="00222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565B0F5B" w14:textId="77777777" w:rsidR="00BF7387" w:rsidRPr="002D7A91" w:rsidRDefault="00BF7387" w:rsidP="00755BB2">
            <w:pPr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2.14</w:t>
            </w:r>
          </w:p>
        </w:tc>
        <w:tc>
          <w:tcPr>
            <w:tcW w:w="1132" w:type="dxa"/>
          </w:tcPr>
          <w:p w14:paraId="7E68F07E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0.14</w:t>
            </w:r>
          </w:p>
        </w:tc>
        <w:tc>
          <w:tcPr>
            <w:tcW w:w="1133" w:type="dxa"/>
          </w:tcPr>
          <w:p w14:paraId="1ADF1B32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0.2</w:t>
            </w:r>
          </w:p>
        </w:tc>
        <w:tc>
          <w:tcPr>
            <w:tcW w:w="1133" w:type="dxa"/>
          </w:tcPr>
          <w:p w14:paraId="7C2305BB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0.26</w:t>
            </w:r>
          </w:p>
        </w:tc>
        <w:tc>
          <w:tcPr>
            <w:tcW w:w="1133" w:type="dxa"/>
          </w:tcPr>
          <w:p w14:paraId="669FDC74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0.29</w:t>
            </w:r>
          </w:p>
        </w:tc>
        <w:tc>
          <w:tcPr>
            <w:tcW w:w="1133" w:type="dxa"/>
          </w:tcPr>
          <w:p w14:paraId="1DD9425B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0.38</w:t>
            </w:r>
          </w:p>
        </w:tc>
        <w:tc>
          <w:tcPr>
            <w:tcW w:w="1133" w:type="dxa"/>
          </w:tcPr>
          <w:p w14:paraId="32D36C55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1</w:t>
            </w:r>
          </w:p>
        </w:tc>
        <w:tc>
          <w:tcPr>
            <w:tcW w:w="1133" w:type="dxa"/>
          </w:tcPr>
          <w:p w14:paraId="73EFD975" w14:textId="77777777" w:rsidR="00BF7387" w:rsidRPr="002D7A91" w:rsidRDefault="00BF7387" w:rsidP="00755B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</w:p>
        </w:tc>
      </w:tr>
      <w:tr w:rsidR="00BF7387" w:rsidRPr="002D7A91" w14:paraId="3AE26E13" w14:textId="77777777" w:rsidTr="00222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" w:type="dxa"/>
          </w:tcPr>
          <w:p w14:paraId="7FBC1180" w14:textId="77777777" w:rsidR="00BF7387" w:rsidRPr="002D7A91" w:rsidRDefault="00BF7387" w:rsidP="00755BB2">
            <w:pPr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10.15</w:t>
            </w:r>
          </w:p>
        </w:tc>
        <w:tc>
          <w:tcPr>
            <w:tcW w:w="1132" w:type="dxa"/>
          </w:tcPr>
          <w:p w14:paraId="6CF84B71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0.03</w:t>
            </w:r>
          </w:p>
        </w:tc>
        <w:tc>
          <w:tcPr>
            <w:tcW w:w="1133" w:type="dxa"/>
          </w:tcPr>
          <w:p w14:paraId="0C731648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0.04</w:t>
            </w:r>
          </w:p>
        </w:tc>
        <w:tc>
          <w:tcPr>
            <w:tcW w:w="1133" w:type="dxa"/>
          </w:tcPr>
          <w:p w14:paraId="362A6EBF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0.055</w:t>
            </w:r>
          </w:p>
        </w:tc>
        <w:tc>
          <w:tcPr>
            <w:tcW w:w="1133" w:type="dxa"/>
          </w:tcPr>
          <w:p w14:paraId="14E75DC5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0.062</w:t>
            </w:r>
          </w:p>
        </w:tc>
        <w:tc>
          <w:tcPr>
            <w:tcW w:w="1133" w:type="dxa"/>
          </w:tcPr>
          <w:p w14:paraId="0B0513E1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0.081</w:t>
            </w:r>
          </w:p>
        </w:tc>
        <w:tc>
          <w:tcPr>
            <w:tcW w:w="1133" w:type="dxa"/>
          </w:tcPr>
          <w:p w14:paraId="5CD852E3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0.21</w:t>
            </w:r>
          </w:p>
        </w:tc>
        <w:tc>
          <w:tcPr>
            <w:tcW w:w="1133" w:type="dxa"/>
          </w:tcPr>
          <w:p w14:paraId="71F0B87C" w14:textId="77777777" w:rsidR="00BF7387" w:rsidRPr="002D7A91" w:rsidRDefault="00BF7387" w:rsidP="00755B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F5496" w:themeColor="accent1" w:themeShade="BF"/>
                <w:szCs w:val="24"/>
              </w:rPr>
            </w:pPr>
            <w:r w:rsidRPr="002D7A91">
              <w:rPr>
                <w:rFonts w:asciiTheme="majorBidi" w:hAnsiTheme="majorBidi" w:cstheme="majorBidi"/>
                <w:color w:val="2F5496" w:themeColor="accent1" w:themeShade="BF"/>
                <w:szCs w:val="24"/>
              </w:rPr>
              <w:t>1</w:t>
            </w:r>
          </w:p>
        </w:tc>
      </w:tr>
    </w:tbl>
    <w:p w14:paraId="302213B1" w14:textId="77777777" w:rsidR="00BF7387" w:rsidRPr="009868B5" w:rsidRDefault="00BF7387" w:rsidP="009868B5">
      <w:pPr>
        <w:jc w:val="both"/>
        <w:rPr>
          <w:lang w:val="en-US"/>
        </w:rPr>
      </w:pPr>
    </w:p>
    <w:sectPr w:rsidR="00BF7387" w:rsidRPr="00986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EB"/>
    <w:rsid w:val="000679BB"/>
    <w:rsid w:val="000A0574"/>
    <w:rsid w:val="001122A8"/>
    <w:rsid w:val="0012134A"/>
    <w:rsid w:val="00185A2C"/>
    <w:rsid w:val="001D2BD9"/>
    <w:rsid w:val="00222C0D"/>
    <w:rsid w:val="002562E4"/>
    <w:rsid w:val="002D7A91"/>
    <w:rsid w:val="003D2E2D"/>
    <w:rsid w:val="00446E83"/>
    <w:rsid w:val="006560D9"/>
    <w:rsid w:val="006E373D"/>
    <w:rsid w:val="00715E84"/>
    <w:rsid w:val="00805337"/>
    <w:rsid w:val="0081557D"/>
    <w:rsid w:val="00843A33"/>
    <w:rsid w:val="00864AEE"/>
    <w:rsid w:val="00874359"/>
    <w:rsid w:val="008864B6"/>
    <w:rsid w:val="00895757"/>
    <w:rsid w:val="008A2F06"/>
    <w:rsid w:val="008A6D21"/>
    <w:rsid w:val="008B1AC7"/>
    <w:rsid w:val="008F6CB8"/>
    <w:rsid w:val="009868B5"/>
    <w:rsid w:val="009D1933"/>
    <w:rsid w:val="00AE146B"/>
    <w:rsid w:val="00AE6349"/>
    <w:rsid w:val="00BF7387"/>
    <w:rsid w:val="00C02EEB"/>
    <w:rsid w:val="00C526C8"/>
    <w:rsid w:val="00C73FDA"/>
    <w:rsid w:val="00CA1264"/>
    <w:rsid w:val="00CD041B"/>
    <w:rsid w:val="00D8688C"/>
    <w:rsid w:val="00DD46C3"/>
    <w:rsid w:val="00F04444"/>
    <w:rsid w:val="00F3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1E24F"/>
  <w15:chartTrackingRefBased/>
  <w15:docId w15:val="{9678820C-2439-4289-A1B0-05357D744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6E373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864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pertitle">
    <w:name w:val="papertitle"/>
    <w:basedOn w:val="Normal"/>
    <w:next w:val="Normal"/>
    <w:rsid w:val="006560D9"/>
    <w:pPr>
      <w:keepNext/>
      <w:keepLines/>
      <w:suppressAutoHyphens/>
      <w:overflowPunct w:val="0"/>
      <w:autoSpaceDE w:val="0"/>
      <w:autoSpaceDN w:val="0"/>
      <w:adjustRightInd w:val="0"/>
      <w:spacing w:after="480" w:line="360" w:lineRule="atLeast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customStyle="1" w:styleId="author">
    <w:name w:val="author"/>
    <w:basedOn w:val="Normal"/>
    <w:next w:val="Normal"/>
    <w:rsid w:val="0012134A"/>
    <w:pPr>
      <w:overflowPunct w:val="0"/>
      <w:autoSpaceDE w:val="0"/>
      <w:autoSpaceDN w:val="0"/>
      <w:adjustRightInd w:val="0"/>
      <w:spacing w:after="200" w:line="220" w:lineRule="atLeast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GridTable1Light-Accent3">
    <w:name w:val="Grid Table 1 Light Accent 3"/>
    <w:basedOn w:val="TableNormal"/>
    <w:uiPriority w:val="46"/>
    <w:rsid w:val="00BF738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</Pages>
  <Words>714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Hamdi</dc:creator>
  <cp:keywords/>
  <dc:description/>
  <cp:lastModifiedBy>Hamdi</cp:lastModifiedBy>
  <cp:revision>28</cp:revision>
  <dcterms:created xsi:type="dcterms:W3CDTF">2021-02-02T20:58:00Z</dcterms:created>
  <dcterms:modified xsi:type="dcterms:W3CDTF">2021-02-20T16:47:00Z</dcterms:modified>
</cp:coreProperties>
</file>