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6AB3A" w14:textId="77777777" w:rsidR="00BE6870" w:rsidRPr="008D2E96" w:rsidRDefault="00BE6870" w:rsidP="00BE6870">
      <w:pPr>
        <w:spacing w:before="240"/>
        <w:rPr>
          <w:b/>
          <w:bCs/>
        </w:rPr>
      </w:pPr>
      <w:r>
        <w:rPr>
          <w:b/>
          <w:bCs/>
        </w:rPr>
        <w:t xml:space="preserve">Supplemental Table 4: Recommendations for maximizing out-of-course time </w:t>
      </w:r>
    </w:p>
    <w:tbl>
      <w:tblPr>
        <w:tblW w:w="0" w:type="auto"/>
        <w:tblCellMar>
          <w:top w:w="15" w:type="dxa"/>
          <w:left w:w="15" w:type="dxa"/>
          <w:bottom w:w="15" w:type="dxa"/>
          <w:right w:w="15" w:type="dxa"/>
        </w:tblCellMar>
        <w:tblLook w:val="04A0" w:firstRow="1" w:lastRow="0" w:firstColumn="1" w:lastColumn="0" w:noHBand="0" w:noVBand="1"/>
      </w:tblPr>
      <w:tblGrid>
        <w:gridCol w:w="3105"/>
        <w:gridCol w:w="3026"/>
        <w:gridCol w:w="3209"/>
      </w:tblGrid>
      <w:tr w:rsidR="00BE6870" w:rsidRPr="008D2E96" w14:paraId="5F224639" w14:textId="77777777" w:rsidTr="00D0722E">
        <w:trPr>
          <w:trHeight w:val="37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63D24B" w14:textId="77777777" w:rsidR="00BE6870" w:rsidRPr="008D2E96" w:rsidRDefault="00BE6870" w:rsidP="00D0722E">
            <w:pPr>
              <w:spacing w:before="240"/>
            </w:pPr>
            <w:r w:rsidRPr="008D2E96">
              <w:rPr>
                <w:b/>
                <w:bCs/>
              </w:rPr>
              <w:t>Techniques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877BC2" w14:textId="77777777" w:rsidR="00BE6870" w:rsidRPr="008D2E96" w:rsidRDefault="00BE6870" w:rsidP="00D0722E">
            <w:pPr>
              <w:spacing w:before="240"/>
            </w:pPr>
            <w:r w:rsidRPr="008D2E96">
              <w:rPr>
                <w:b/>
                <w:bCs/>
              </w:rPr>
              <w:t>Example literature to learn more about these techniques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A3AC9F" w14:textId="77777777" w:rsidR="00BE6870" w:rsidRPr="008D2E96" w:rsidRDefault="00BE6870" w:rsidP="00D0722E">
            <w:pPr>
              <w:spacing w:before="240"/>
            </w:pPr>
            <w:r w:rsidRPr="008D2E96">
              <w:rPr>
                <w:b/>
                <w:bCs/>
              </w:rPr>
              <w:t>Example evidence that these strategies help students in undergraduate STEM courses</w:t>
            </w:r>
          </w:p>
        </w:tc>
      </w:tr>
      <w:tr w:rsidR="00BE6870" w:rsidRPr="008D2E96" w14:paraId="5E369A61" w14:textId="77777777" w:rsidTr="00D0722E">
        <w:trPr>
          <w:trHeight w:val="10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ECD937" w14:textId="77777777" w:rsidR="00BE6870" w:rsidRPr="008D2E96" w:rsidRDefault="00BE6870" w:rsidP="00D0722E">
            <w:pPr>
              <w:spacing w:before="240"/>
            </w:pPr>
            <w:r w:rsidRPr="008D2E96">
              <w:t>Dedicate time at the beginning at the semester to helping students plan their time </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5955EB05" w14:textId="77777777" w:rsidR="00BE6870" w:rsidRPr="008D2E96" w:rsidRDefault="00BE6870" w:rsidP="00BE6870">
            <w:pPr>
              <w:numPr>
                <w:ilvl w:val="0"/>
                <w:numId w:val="2"/>
              </w:numPr>
              <w:spacing w:before="240"/>
              <w:ind w:left="360"/>
            </w:pPr>
            <w:r w:rsidRPr="008D2E96">
              <w:rPr>
                <w:b/>
                <w:bCs/>
              </w:rPr>
              <w:t>Recommendations</w:t>
            </w:r>
            <w:r w:rsidRPr="008D2E96">
              <w:t xml:space="preserve"> on how to structure this discussion provided in </w:t>
            </w:r>
            <w:r>
              <w:fldChar w:fldCharType="begin" w:fldLock="1"/>
            </w:r>
            <w:r>
              <w:instrText>ADDIN CSL_CITATION {"citationItems":[{"id":"ITEM-1","itemData":{"URL":"https://www.insidehighered.com/advice/2018/09/18/how-teach-students-time-management-skills-opinion","accessed":{"date-parts":[["2020","7","27"]]},"author":[{"dropping-particle":"","family":"Kent","given":"Charlotte","non-dropping-particle":"","parse-names":false,"suffix":""}],"container-title":"Inside Higher Ed","id":"ITEM-1","issued":{"date-parts":[["2018"]]},"title":"Teaching Students to Manage Their Time","type":"webpage"},"uris":["http://www.mendeley.com/documents/?uuid=95352a65-24cc-305b-96ea-dd893ec089bb"]}],"mendeley":{"formattedCitation":"(Kent, 2018)","plainTextFormattedCitation":"(Kent, 2018)","previouslyFormattedCitation":"(Kent, 2018)"},"properties":{"noteIndex":0},"schema":"https://github.com/citation-style-language/schema/raw/master/csl-citation.json"}</w:instrText>
            </w:r>
            <w:r>
              <w:fldChar w:fldCharType="separate"/>
            </w:r>
            <w:r w:rsidRPr="0071624E">
              <w:rPr>
                <w:noProof/>
              </w:rPr>
              <w:t>(Kent, 2018)</w:t>
            </w:r>
            <w:r>
              <w:fldChar w:fldCharType="end"/>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50260910" w14:textId="77777777" w:rsidR="00BE6870" w:rsidRPr="008D2E96" w:rsidRDefault="00BE6870" w:rsidP="00BE6870">
            <w:pPr>
              <w:numPr>
                <w:ilvl w:val="0"/>
                <w:numId w:val="3"/>
              </w:numPr>
              <w:spacing w:before="240"/>
              <w:ind w:left="360"/>
            </w:pPr>
            <w:r w:rsidRPr="008D2E96">
              <w:t xml:space="preserve">A study showing this approach is effective for first-year students is highlighted in </w:t>
            </w:r>
            <w:r>
              <w:fldChar w:fldCharType="begin" w:fldLock="1"/>
            </w:r>
            <w:r>
              <w:instrText>ADDIN CSL_CITATION {"citationItems":[{"id":"ITEM-1","itemData":{"DOI":"10.1080/23794925.2018.1551093","ISSN":"2379-4925","abstract":"ABSTRACTCollege freshmen who are at greater risk to fail or drop out before attaining a bachelor’s degree are at a distinct disadvantage occupationally, economically, and socially. At-risk students...","author":[{"dropping-particle":"","family":"Stevens","given":"Anne E.","non-dropping-particle":"","parse-names":false,"suffix":""},{"dropping-particle":"","family":"Hartung","given":"Cynthia M.","non-dropping-particle":"","parse-names":false,"suffix":""},{"dropping-particle":"","family":"Shelton","given":"Christopher R.","non-dropping-particle":"","parse-names":false,"suffix":""},{"dropping-particle":"","family":"LaCount","given":"Patrick A.","non-dropping-particle":"","parse-names":false,"suffix":""},{"dropping-particle":"","family":"Heaney","given":"April","non-dropping-particle":"","parse-names":false,"suffix":""}],"container-title":"Evidence-Based Practice in Child and Adolescent Mental Health","id":"ITEM-1","issue":"2","issued":{"date-parts":[["2019"]]},"page":"202-218","title":"The Effects of a Brief Organization, Time Management, and Planning Intervention for At-Risk College Freshmen","type":"article-journal","volume":"4"},"uris":["http://www.mendeley.com/documents/?uuid=efb5c13d-bd73-4e82-836f-a8df1583052f"]}],"mendeley":{"formattedCitation":"(Stevens et al., 2019)","plainTextFormattedCitation":"(Stevens et al., 2019)","previouslyFormattedCitation":"(Stevens et al., 2019)"},"properties":{"noteIndex":0},"schema":"https://github.com/citation-style-language/schema/raw/master/csl-citation.json"}</w:instrText>
            </w:r>
            <w:r>
              <w:fldChar w:fldCharType="separate"/>
            </w:r>
            <w:r w:rsidRPr="00C9640C">
              <w:rPr>
                <w:noProof/>
              </w:rPr>
              <w:t>(Stevens et al., 2019)</w:t>
            </w:r>
            <w:r>
              <w:fldChar w:fldCharType="end"/>
            </w:r>
          </w:p>
        </w:tc>
      </w:tr>
      <w:tr w:rsidR="00BE6870" w:rsidRPr="008D2E96" w14:paraId="0CCCA4EC" w14:textId="77777777" w:rsidTr="00D0722E">
        <w:trPr>
          <w:trHeight w:val="94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CD66D5" w14:textId="77777777" w:rsidR="00BE6870" w:rsidRPr="008D2E96" w:rsidRDefault="00BE6870" w:rsidP="00D0722E">
            <w:pPr>
              <w:spacing w:before="240"/>
            </w:pPr>
            <w:r w:rsidRPr="008D2E96">
              <w:t>Increase course structure to scaffold the process of students learning independently throughout the week and to provide guidance for scheduling blocks of time and coursework</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35EEF34A" w14:textId="77777777" w:rsidR="00BE6870" w:rsidRPr="008D2E96" w:rsidRDefault="00BE6870" w:rsidP="00BE6870">
            <w:pPr>
              <w:numPr>
                <w:ilvl w:val="0"/>
                <w:numId w:val="4"/>
              </w:numPr>
              <w:spacing w:before="240"/>
              <w:ind w:left="360"/>
            </w:pPr>
            <w:r w:rsidRPr="008D2E96">
              <w:rPr>
                <w:b/>
                <w:bCs/>
              </w:rPr>
              <w:t>Article</w:t>
            </w:r>
            <w:r w:rsidRPr="008D2E96">
              <w:t xml:space="preserve"> using highly structured course designs:</w:t>
            </w:r>
            <w:r>
              <w:t xml:space="preserve"> </w:t>
            </w:r>
            <w:r>
              <w:fldChar w:fldCharType="begin" w:fldLock="1"/>
            </w:r>
            <w:r>
              <w:instrText>ADDIN CSL_CITATION {"citationItems":[{"id":"ITEM-1","itemData":{"DOI":"10.1126/science.1204820","ISBN":"1095-9203 (Electronic)\\n0036-8075 (Linking)","ISSN":"00368075","PMID":"21636776","abstract":"Science, technology, engineering, and mathematics instructors have been charged with improving the performance and retention of students from diverse backgrounds. To date, programs that close the achievement gap between students from disadvantaged versus nondisadvantaged educational backgrounds have required extensive extramural funding. We show that a highly structured course design, based on daily and weekly practice with problem-solving, data analysis, and other higher-order cognitive skills, improved the performance of all students in a college-level introductory biology class and reduced the achievement gap between disadvantaged and nondisadvantaged students—without increased expenditures. These results support the Carnegie Hall hypothesis: Intensive practice, via active-learning exercises, has a disproportionate benefit for capable but poorly prepared students.","author":[{"dropping-particle":"","family":"Haak","given":"David C.","non-dropping-particle":"","parse-names":false,"suffix":""},{"dropping-particle":"","family":"HilleRisLambers","given":"Janneke","non-dropping-particle":"","parse-names":false,"suffix":""},{"dropping-particle":"","family":"Pitre","given":"Emile","non-dropping-particle":"","parse-names":false,"suffix":""},{"dropping-particle":"","family":"Freeman","given":"Scott","non-dropping-particle":"","parse-names":false,"suffix":""}],"container-title":"Science","id":"ITEM-1","issue":"6034","issued":{"date-parts":[["2011"]]},"note":"Haak, D. C., HilleRisLambers, J., Pitre, E., &amp;amp; Freeman, S. (2011). Increased structure and active learning reduce the achievement gap in introductory biology. Science, 332(6034), 1213–1216. https://doi.org/10.1126/science.1204820","page":"1213-1216","title":"Increased structure and active learning reduce the achievement gap in introductory biology","type":"article-journal","volume":"332"},"uris":["http://www.mendeley.com/documents/?uuid=12d45dce-0f9f-4360-9958-6b30e5ecc1f4"]}],"mendeley":{"formattedCitation":"(Haak, HilleRisLambers, Pitre, et al., 2011)","plainTextFormattedCitation":"(Haak, HilleRisLambers, Pitre, et al., 2011)","previouslyFormattedCitation":"(Haak, HilleRisLambers, Pitre, et al., 2011)"},"properties":{"noteIndex":0},"schema":"https://github.com/citation-style-language/schema/raw/master/csl-citation.json"}</w:instrText>
            </w:r>
            <w:r>
              <w:fldChar w:fldCharType="separate"/>
            </w:r>
            <w:r w:rsidRPr="00FE696E">
              <w:rPr>
                <w:noProof/>
              </w:rPr>
              <w:t>(Haak, HilleRisLambers, Pitre, et al., 2011)</w:t>
            </w:r>
            <w:r>
              <w:fldChar w:fldCharType="end"/>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2AF825BE" w14:textId="77777777" w:rsidR="00BE6870" w:rsidRPr="008D2E96" w:rsidRDefault="00BE6870" w:rsidP="00BE6870">
            <w:pPr>
              <w:numPr>
                <w:ilvl w:val="0"/>
                <w:numId w:val="5"/>
              </w:numPr>
              <w:spacing w:before="240"/>
              <w:ind w:left="360"/>
            </w:pPr>
            <w:r w:rsidRPr="008D2E96">
              <w:t>Increased structure improves student performance</w:t>
            </w:r>
            <w:r>
              <w:t xml:space="preserve"> </w:t>
            </w:r>
            <w:r>
              <w:fldChar w:fldCharType="begin" w:fldLock="1"/>
            </w:r>
            <w:r>
              <w:instrText>ADDIN CSL_CITATION {"citationItems":[{"id":"ITEM-1","itemData":{"DOI":"10.12980/JCLM.2.2014C1291","ISBN":"0125444222","author":[{"dropping-particle":"","family":"Haak","given":"David C.","non-dropping-particle":"","parse-names":false,"suffix":""},{"dropping-particle":"","family":"HilleRisLambers","given":"Janeeke","non-dropping-particle":"","parse-names":false,"suffix":""},{"dropping-particle":"","family":"Pietre","given":"Emile","non-dropping-particle":"","parse-names":false,"suffix":""},{"dropping-particle":"","family":"Freeman","given":"Scott","non-dropping-particle":"","parse-names":false,"suffix":""}],"container-title":"Science","id":"ITEM-1","issue":"June","issued":{"date-parts":[["2011"]]},"page":"1213-1217","title":"Increased Structure and Active Learning Reduce the Achievement Gap in Introductory Biology","type":"article-journal","volume":"332"},"uris":["http://www.mendeley.com/documents/?uuid=22d47d0f-10ed-444c-aa55-ff6076c0ee4a"]},{"id":"ITEM-2","itemData":{"DOI":"10.1073/pnas.1319030111","ISBN":"1091-6490 (Electronic)\\r0027-8424 (Linking)","ISSN":"0027-8424","PMID":"24821756","abstract":"To test the hypothesis that lecturing maximizes learning and course performance, we metaanalyzed 225 studies that reported data on examination scores or failure rates when comparing student performance in undergraduate science, technology, engineering, and mathematics (STEM) courses under traditional lecturing versus active learning. The effect sizes indicate that on average, student performance on examinations and concept inventories increased by 0.47 SDs under active learning (n = 158 studies), and that the odds ratio for failing was 1.95 under traditional lecturing (n = 67 studies). These results indicate that average examination scores improved by about 6% in active learning sections, and that students in classes with traditional lecturing were 1.5 times more likely to fail than were students in classes with active learning. Heterogeneity analyses indicated that both results hold across the STEM disciplines, that active learning increases scores on concept inventories more than on course examinations, and that active learning appears effective across all class sizes--although the greatest effects are in small (n [&amp;le;] 50) classes. Trim and fill analyses and fail-safe n calculations suggest that the results are not due to publication bias. The results also appear robust to variation in the methodological rigor of the included studies, based on the quality of controls over student quality and instructor identity. This is the largest and most comprehensive metaanalysis of undergraduate STEM education published to date. The results raise questions about the continued use of traditional lecturing as a control in research studies, and support active learning as the preferred, empirically validated teaching practice in regular classrooms.","author":[{"dropping-particle":"","family":"Freeman","given":"S.","non-dropping-particle":"","parse-names":false,"suffix":""},{"dropping-particle":"","family":"Eddy","given":"S. L.","non-dropping-particle":"","parse-names":false,"suffix":""},{"dropping-particle":"","family":"McDonough","given":"M.","non-dropping-particle":"","parse-names":false,"suffix":""},{"dropping-particle":"","family":"Smith","given":"M. K.","non-dropping-particle":"","parse-names":false,"suffix":""},{"dropping-particle":"","family":"Okoroafor","given":"N.","non-dropping-particle":"","parse-names":false,"suffix":""},{"dropping-particle":"","family":"Jordt","given":"H.","non-dropping-particle":"","parse-names":false,"suffix":""},{"dropping-particle":"","family":"Wenderoth","given":"M. P.","non-dropping-particle":"","parse-names":false,"suffix":""}],"container-title":"Proceedings of the National Academy of Sciences","id":"ITEM-2","issue":"23","issued":{"date-parts":[["2014"]]},"page":"8410-8415","title":"Active learning increases student performance in science, engineering, and mathematics","type":"article-journal","volume":"111"},"uris":["http://www.mendeley.com/documents/?uuid=3b5643c4-99f2-4b3c-8e8b-cc708d8c417d"]}],"mendeley":{"formattedCitation":"(Freeman et al., 2014; Haak, HilleRisLambers, Pietre, et al., 2011)","manualFormatting":"(Freeman et al., 2014; Haak et al., 2011)","plainTextFormattedCitation":"(Freeman et al., 2014; Haak, HilleRisLambers, Pietre, et al., 2011)","previouslyFormattedCitation":"(Freeman et al., 2014; Haak, HilleRisLambers, Pietre, et al., 2011)"},"properties":{"noteIndex":0},"schema":"https://github.com/citation-style-language/schema/raw/master/csl-citation.json"}</w:instrText>
            </w:r>
            <w:r>
              <w:fldChar w:fldCharType="separate"/>
            </w:r>
            <w:r w:rsidRPr="00FE696E">
              <w:rPr>
                <w:noProof/>
              </w:rPr>
              <w:t>(Freeman et al., 2014; Haak</w:t>
            </w:r>
            <w:r>
              <w:rPr>
                <w:noProof/>
              </w:rPr>
              <w:t xml:space="preserve"> </w:t>
            </w:r>
            <w:r w:rsidRPr="00FE696E">
              <w:rPr>
                <w:noProof/>
              </w:rPr>
              <w:t>et al., 2011)</w:t>
            </w:r>
            <w:r>
              <w:fldChar w:fldCharType="end"/>
            </w:r>
            <w:r w:rsidRPr="008D2E96">
              <w:t xml:space="preserve"> in particular for Black and first-generation students</w:t>
            </w:r>
            <w:r>
              <w:t xml:space="preserve"> </w:t>
            </w:r>
            <w:r>
              <w:fldChar w:fldCharType="begin" w:fldLock="1"/>
            </w:r>
            <w:r>
              <w:instrText>ADDIN CSL_CITATION {"citationItems":[{"id":"ITEM-1","itemData":{"DOI":"10.1187/cbe.14-03-0050","ISBN":"1931-7913","ISSN":"19317913","PMID":"25185229","abstract":"At the college level, the effectiveness of active-learning interventions is typically measured at the broadest scales: the achievement or retention of all students in a course. Coarse-grained measures like these cannot inform instructors about an intervention's relative effectiveness for the different student populations in their classrooms or about the proximate factors responsible for the observed changes in student achievement. In this study, we disaggregate student data by racial/ethnic groups and first-generation status to identify whether a particular intervention-increased course structure-works better for particular populations of students. We also explore possible factors that may mediate the observed changes in student achievement. We found that a \"moderate-structure\" intervention increased course performance for all student populations, but worked disproportionately well for black students-halving the black-white achievement gap-and first-generation students-closing the achievement gap with continuing-generation students. We also found that students consistently reported completing the assigned readings more frequently, spending more time studying for class, and feeling an increased sense of community in the moderate-structure course. These changes imply that increased course structure improves student achievement at least partially through increasing student use of distributed learning and creating a more interdependent classroom community.","author":[{"dropping-particle":"","family":"Eddy","given":"Sarah L.","non-dropping-particle":"","parse-names":false,"suffix":""},{"dropping-particle":"","family":"Hogan","given":"Kelly A.","non-dropping-particle":"","parse-names":false,"suffix":""}],"container-title":"CBE Life Sciences Education","id":"ITEM-1","issue":"3","issued":{"date-parts":[["2014"]]},"page":"453-468","title":"Getting under the hood: How and for whom does increasing course structure work?","type":"article-journal","volume":"13"},"uris":["http://www.mendeley.com/documents/?uuid=cffd6db0-986d-4bda-bcb9-2800038cc7ed"]}],"mendeley":{"formattedCitation":"(Eddy &amp; Hogan, 2014)","plainTextFormattedCitation":"(Eddy &amp; Hogan, 2014)","previouslyFormattedCitation":"(Eddy &amp; Hogan, 2014)"},"properties":{"noteIndex":0},"schema":"https://github.com/citation-style-language/schema/raw/master/csl-citation.json"}</w:instrText>
            </w:r>
            <w:r>
              <w:fldChar w:fldCharType="separate"/>
            </w:r>
            <w:r w:rsidRPr="00234623">
              <w:rPr>
                <w:noProof/>
              </w:rPr>
              <w:t>(Eddy &amp; Hogan, 2014)</w:t>
            </w:r>
            <w:r>
              <w:fldChar w:fldCharType="end"/>
            </w:r>
            <w:r>
              <w:t xml:space="preserve">. </w:t>
            </w:r>
          </w:p>
        </w:tc>
      </w:tr>
    </w:tbl>
    <w:p w14:paraId="751F46AF" w14:textId="59F0C518" w:rsidR="00BE6870" w:rsidRPr="00BE6870" w:rsidRDefault="00BE6870" w:rsidP="00BE6870">
      <w:pPr>
        <w:widowControl w:val="0"/>
        <w:autoSpaceDE w:val="0"/>
        <w:autoSpaceDN w:val="0"/>
        <w:adjustRightInd w:val="0"/>
        <w:spacing w:before="240"/>
        <w:ind w:left="480" w:hanging="480"/>
        <w:rPr>
          <w:b/>
          <w:bCs/>
        </w:rPr>
      </w:pPr>
      <w:r w:rsidRPr="00BE6870">
        <w:rPr>
          <w:b/>
          <w:bCs/>
        </w:rPr>
        <w:t>Supplemental References:</w:t>
      </w:r>
    </w:p>
    <w:p w14:paraId="5CD85E8D" w14:textId="37A5F7C6" w:rsidR="00BE6870" w:rsidRPr="00BE6870" w:rsidRDefault="00BE6870" w:rsidP="00BE6870">
      <w:pPr>
        <w:widowControl w:val="0"/>
        <w:autoSpaceDE w:val="0"/>
        <w:autoSpaceDN w:val="0"/>
        <w:adjustRightInd w:val="0"/>
        <w:spacing w:before="240"/>
        <w:ind w:left="480" w:hanging="480"/>
        <w:rPr>
          <w:rFonts w:cs="Times New Roman"/>
          <w:noProof/>
        </w:rPr>
      </w:pPr>
      <w:r>
        <w:rPr>
          <w:b/>
          <w:bCs/>
        </w:rPr>
        <w:fldChar w:fldCharType="begin" w:fldLock="1"/>
      </w:r>
      <w:r>
        <w:rPr>
          <w:b/>
          <w:bCs/>
        </w:rPr>
        <w:instrText xml:space="preserve">ADDIN Mendeley Bibliography CSL_BIBLIOGRAPHY </w:instrText>
      </w:r>
      <w:r>
        <w:rPr>
          <w:b/>
          <w:bCs/>
        </w:rPr>
        <w:fldChar w:fldCharType="separate"/>
      </w:r>
      <w:r w:rsidRPr="00BE6870">
        <w:rPr>
          <w:rFonts w:cs="Times New Roman"/>
          <w:noProof/>
        </w:rPr>
        <w:t xml:space="preserve">Eddy, S. L., &amp; Hogan, K. A. (2014). Getting under the hood: How and for whom does increasing course structure work? </w:t>
      </w:r>
      <w:r w:rsidRPr="00BE6870">
        <w:rPr>
          <w:rFonts w:cs="Times New Roman"/>
          <w:i/>
          <w:iCs/>
          <w:noProof/>
        </w:rPr>
        <w:t>CBE Life Sciences Education</w:t>
      </w:r>
      <w:r w:rsidRPr="00BE6870">
        <w:rPr>
          <w:rFonts w:cs="Times New Roman"/>
          <w:noProof/>
        </w:rPr>
        <w:t xml:space="preserve">, </w:t>
      </w:r>
      <w:r w:rsidRPr="00BE6870">
        <w:rPr>
          <w:rFonts w:cs="Times New Roman"/>
          <w:i/>
          <w:iCs/>
          <w:noProof/>
        </w:rPr>
        <w:t>13</w:t>
      </w:r>
      <w:r w:rsidRPr="00BE6870">
        <w:rPr>
          <w:rFonts w:cs="Times New Roman"/>
          <w:noProof/>
        </w:rPr>
        <w:t>(3), 453–468. https://doi.org/10.1187/cbe.14-03-0050</w:t>
      </w:r>
    </w:p>
    <w:p w14:paraId="73B02A20" w14:textId="77777777" w:rsidR="00BE6870" w:rsidRPr="00BE6870" w:rsidRDefault="00BE6870" w:rsidP="00BE6870">
      <w:pPr>
        <w:widowControl w:val="0"/>
        <w:autoSpaceDE w:val="0"/>
        <w:autoSpaceDN w:val="0"/>
        <w:adjustRightInd w:val="0"/>
        <w:spacing w:before="240"/>
        <w:ind w:left="480" w:hanging="480"/>
        <w:rPr>
          <w:rFonts w:cs="Times New Roman"/>
          <w:noProof/>
        </w:rPr>
      </w:pPr>
      <w:r w:rsidRPr="00BE6870">
        <w:rPr>
          <w:rFonts w:cs="Times New Roman"/>
          <w:noProof/>
        </w:rPr>
        <w:t xml:space="preserve">Freeman, S., Eddy, S. L., McDonough, M., Smith, M. K., Okoroafor, N., Jordt, H., &amp; Wenderoth, M. P. (2014). Active learning increases student performance in science, engineering, and mathematics. </w:t>
      </w:r>
      <w:r w:rsidRPr="00BE6870">
        <w:rPr>
          <w:rFonts w:cs="Times New Roman"/>
          <w:i/>
          <w:iCs/>
          <w:noProof/>
        </w:rPr>
        <w:t>Proceedings of the National Academy of Sciences</w:t>
      </w:r>
      <w:r w:rsidRPr="00BE6870">
        <w:rPr>
          <w:rFonts w:cs="Times New Roman"/>
          <w:noProof/>
        </w:rPr>
        <w:t xml:space="preserve">, </w:t>
      </w:r>
      <w:r w:rsidRPr="00BE6870">
        <w:rPr>
          <w:rFonts w:cs="Times New Roman"/>
          <w:i/>
          <w:iCs/>
          <w:noProof/>
        </w:rPr>
        <w:t>111</w:t>
      </w:r>
      <w:r w:rsidRPr="00BE6870">
        <w:rPr>
          <w:rFonts w:cs="Times New Roman"/>
          <w:noProof/>
        </w:rPr>
        <w:t>(23), 8410–8415. https://doi.org/10.1073/pnas.1319030111</w:t>
      </w:r>
    </w:p>
    <w:p w14:paraId="484D04D6" w14:textId="77777777" w:rsidR="00BE6870" w:rsidRPr="00BE6870" w:rsidRDefault="00BE6870" w:rsidP="00BE6870">
      <w:pPr>
        <w:widowControl w:val="0"/>
        <w:autoSpaceDE w:val="0"/>
        <w:autoSpaceDN w:val="0"/>
        <w:adjustRightInd w:val="0"/>
        <w:spacing w:before="240"/>
        <w:ind w:left="480" w:hanging="480"/>
        <w:rPr>
          <w:rFonts w:cs="Times New Roman"/>
          <w:noProof/>
        </w:rPr>
      </w:pPr>
      <w:r w:rsidRPr="00BE6870">
        <w:rPr>
          <w:rFonts w:cs="Times New Roman"/>
          <w:noProof/>
        </w:rPr>
        <w:t xml:space="preserve">Haak, D. C., HilleRisLambers, J., Pietre, E., &amp; Freeman, S. (2011). Increased Structure and Active Learning Reduce the Achievement Gap in Introductory Biology. </w:t>
      </w:r>
      <w:r w:rsidRPr="00BE6870">
        <w:rPr>
          <w:rFonts w:cs="Times New Roman"/>
          <w:i/>
          <w:iCs/>
          <w:noProof/>
        </w:rPr>
        <w:t>Science</w:t>
      </w:r>
      <w:r w:rsidRPr="00BE6870">
        <w:rPr>
          <w:rFonts w:cs="Times New Roman"/>
          <w:noProof/>
        </w:rPr>
        <w:t xml:space="preserve">, </w:t>
      </w:r>
      <w:r w:rsidRPr="00BE6870">
        <w:rPr>
          <w:rFonts w:cs="Times New Roman"/>
          <w:i/>
          <w:iCs/>
          <w:noProof/>
        </w:rPr>
        <w:t>332</w:t>
      </w:r>
      <w:r w:rsidRPr="00BE6870">
        <w:rPr>
          <w:rFonts w:cs="Times New Roman"/>
          <w:noProof/>
        </w:rPr>
        <w:t>(June), 1213–1217. https://doi.org/10.12980/JCLM.2.2014C1291</w:t>
      </w:r>
    </w:p>
    <w:p w14:paraId="4DBF5F48" w14:textId="77777777" w:rsidR="00BE6870" w:rsidRPr="00BE6870" w:rsidRDefault="00BE6870" w:rsidP="00BE6870">
      <w:pPr>
        <w:widowControl w:val="0"/>
        <w:autoSpaceDE w:val="0"/>
        <w:autoSpaceDN w:val="0"/>
        <w:adjustRightInd w:val="0"/>
        <w:spacing w:before="240"/>
        <w:ind w:left="480" w:hanging="480"/>
        <w:rPr>
          <w:rFonts w:cs="Times New Roman"/>
          <w:noProof/>
        </w:rPr>
      </w:pPr>
      <w:r w:rsidRPr="00BE6870">
        <w:rPr>
          <w:rFonts w:cs="Times New Roman"/>
          <w:noProof/>
        </w:rPr>
        <w:t xml:space="preserve">Haak, D. C., HilleRisLambers, J., Pitre, E., &amp; Freeman, S. (2011). Increased structure and active learning reduce the achievement gap in introductory biology. </w:t>
      </w:r>
      <w:r w:rsidRPr="00BE6870">
        <w:rPr>
          <w:rFonts w:cs="Times New Roman"/>
          <w:i/>
          <w:iCs/>
          <w:noProof/>
        </w:rPr>
        <w:t>Science</w:t>
      </w:r>
      <w:r w:rsidRPr="00BE6870">
        <w:rPr>
          <w:rFonts w:cs="Times New Roman"/>
          <w:noProof/>
        </w:rPr>
        <w:t xml:space="preserve">, </w:t>
      </w:r>
      <w:r w:rsidRPr="00BE6870">
        <w:rPr>
          <w:rFonts w:cs="Times New Roman"/>
          <w:i/>
          <w:iCs/>
          <w:noProof/>
        </w:rPr>
        <w:t>332</w:t>
      </w:r>
      <w:r w:rsidRPr="00BE6870">
        <w:rPr>
          <w:rFonts w:cs="Times New Roman"/>
          <w:noProof/>
        </w:rPr>
        <w:t>(6034), 1213–1216. https://doi.org/10.1126/science.1204820</w:t>
      </w:r>
    </w:p>
    <w:p w14:paraId="41B72951" w14:textId="77777777" w:rsidR="00BE6870" w:rsidRPr="00BE6870" w:rsidRDefault="00BE6870" w:rsidP="00BE6870">
      <w:pPr>
        <w:widowControl w:val="0"/>
        <w:autoSpaceDE w:val="0"/>
        <w:autoSpaceDN w:val="0"/>
        <w:adjustRightInd w:val="0"/>
        <w:spacing w:before="240"/>
        <w:ind w:left="480" w:hanging="480"/>
        <w:rPr>
          <w:rFonts w:cs="Times New Roman"/>
          <w:noProof/>
        </w:rPr>
      </w:pPr>
      <w:r w:rsidRPr="00BE6870">
        <w:rPr>
          <w:rFonts w:cs="Times New Roman"/>
          <w:noProof/>
        </w:rPr>
        <w:t xml:space="preserve">Kent, C. (2018). </w:t>
      </w:r>
      <w:r w:rsidRPr="00BE6870">
        <w:rPr>
          <w:rFonts w:cs="Times New Roman"/>
          <w:i/>
          <w:iCs/>
          <w:noProof/>
        </w:rPr>
        <w:t>Teaching Students to Manage Their Time</w:t>
      </w:r>
      <w:r w:rsidRPr="00BE6870">
        <w:rPr>
          <w:rFonts w:cs="Times New Roman"/>
          <w:noProof/>
        </w:rPr>
        <w:t xml:space="preserve">. Inside Higher Ed. </w:t>
      </w:r>
      <w:r w:rsidRPr="00BE6870">
        <w:rPr>
          <w:rFonts w:cs="Times New Roman"/>
          <w:noProof/>
        </w:rPr>
        <w:lastRenderedPageBreak/>
        <w:t>https://www.insidehighered.com/advice/2018/09/18/how-teach-students-time-management-skills-opinion</w:t>
      </w:r>
    </w:p>
    <w:p w14:paraId="2AB8F24D" w14:textId="77777777" w:rsidR="00BE6870" w:rsidRPr="00BE6870" w:rsidRDefault="00BE6870" w:rsidP="00BE6870">
      <w:pPr>
        <w:widowControl w:val="0"/>
        <w:autoSpaceDE w:val="0"/>
        <w:autoSpaceDN w:val="0"/>
        <w:adjustRightInd w:val="0"/>
        <w:spacing w:before="240"/>
        <w:ind w:left="480" w:hanging="480"/>
        <w:rPr>
          <w:rFonts w:cs="Times New Roman"/>
          <w:noProof/>
        </w:rPr>
      </w:pPr>
      <w:r w:rsidRPr="00BE6870">
        <w:rPr>
          <w:rFonts w:cs="Times New Roman"/>
          <w:noProof/>
        </w:rPr>
        <w:t xml:space="preserve">Stevens, A. E., Hartung, C. M., Shelton, C. R., LaCount, P. A., &amp; Heaney, A. (2019). The Effects of a Brief Organization, Time Management, and Planning Intervention for At-Risk College Freshmen. </w:t>
      </w:r>
      <w:r w:rsidRPr="00BE6870">
        <w:rPr>
          <w:rFonts w:cs="Times New Roman"/>
          <w:i/>
          <w:iCs/>
          <w:noProof/>
        </w:rPr>
        <w:t>Evidence-Based Practice in Child and Adolescent Mental Health</w:t>
      </w:r>
      <w:r w:rsidRPr="00BE6870">
        <w:rPr>
          <w:rFonts w:cs="Times New Roman"/>
          <w:noProof/>
        </w:rPr>
        <w:t xml:space="preserve">, </w:t>
      </w:r>
      <w:r w:rsidRPr="00BE6870">
        <w:rPr>
          <w:rFonts w:cs="Times New Roman"/>
          <w:i/>
          <w:iCs/>
          <w:noProof/>
        </w:rPr>
        <w:t>4</w:t>
      </w:r>
      <w:r w:rsidRPr="00BE6870">
        <w:rPr>
          <w:rFonts w:cs="Times New Roman"/>
          <w:noProof/>
        </w:rPr>
        <w:t>(2), 202–218. https://doi.org/10.1080/23794925.2018.1551093</w:t>
      </w:r>
    </w:p>
    <w:p w14:paraId="4C2DA34F" w14:textId="143440B4" w:rsidR="00BE6870" w:rsidRDefault="00BE6870" w:rsidP="00BE6870">
      <w:pPr>
        <w:spacing w:before="240"/>
        <w:rPr>
          <w:b/>
          <w:bCs/>
        </w:rPr>
      </w:pPr>
      <w:r>
        <w:rPr>
          <w:b/>
          <w:bCs/>
        </w:rPr>
        <w:fldChar w:fldCharType="end"/>
      </w:r>
    </w:p>
    <w:p w14:paraId="6F5CB110" w14:textId="77777777" w:rsidR="0037516A" w:rsidRDefault="0037516A"/>
    <w:sectPr w:rsidR="0037516A" w:rsidSect="00FF0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858C3"/>
    <w:multiLevelType w:val="multilevel"/>
    <w:tmpl w:val="D70A2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C41FB"/>
    <w:multiLevelType w:val="multilevel"/>
    <w:tmpl w:val="0948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F72EE"/>
    <w:multiLevelType w:val="multilevel"/>
    <w:tmpl w:val="B4C0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02F4A"/>
    <w:multiLevelType w:val="multilevel"/>
    <w:tmpl w:val="E008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3157E5"/>
    <w:multiLevelType w:val="multilevel"/>
    <w:tmpl w:val="7152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58B6E79"/>
    <w:multiLevelType w:val="multilevel"/>
    <w:tmpl w:val="D242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6663BE"/>
    <w:multiLevelType w:val="multilevel"/>
    <w:tmpl w:val="9550B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785284"/>
    <w:multiLevelType w:val="multilevel"/>
    <w:tmpl w:val="C220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0745BD"/>
    <w:multiLevelType w:val="multilevel"/>
    <w:tmpl w:val="707E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E35B29"/>
    <w:multiLevelType w:val="multilevel"/>
    <w:tmpl w:val="EEB8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3B2E74"/>
    <w:multiLevelType w:val="multilevel"/>
    <w:tmpl w:val="CBE4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5A70E9"/>
    <w:multiLevelType w:val="multilevel"/>
    <w:tmpl w:val="EA2E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58609A"/>
    <w:multiLevelType w:val="multilevel"/>
    <w:tmpl w:val="A2181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350562"/>
    <w:multiLevelType w:val="multilevel"/>
    <w:tmpl w:val="608A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432FA4"/>
    <w:multiLevelType w:val="multilevel"/>
    <w:tmpl w:val="B2527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396127"/>
    <w:multiLevelType w:val="multilevel"/>
    <w:tmpl w:val="A1B0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A12259"/>
    <w:multiLevelType w:val="multilevel"/>
    <w:tmpl w:val="D15C2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2C1E26"/>
    <w:multiLevelType w:val="multilevel"/>
    <w:tmpl w:val="BCCC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4E7AED"/>
    <w:multiLevelType w:val="multilevel"/>
    <w:tmpl w:val="39BE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C80537"/>
    <w:multiLevelType w:val="multilevel"/>
    <w:tmpl w:val="6E78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EB1E76"/>
    <w:multiLevelType w:val="multilevel"/>
    <w:tmpl w:val="B3B0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4"/>
  </w:num>
  <w:num w:numId="4">
    <w:abstractNumId w:val="10"/>
  </w:num>
  <w:num w:numId="5">
    <w:abstractNumId w:val="15"/>
  </w:num>
  <w:num w:numId="6">
    <w:abstractNumId w:val="6"/>
  </w:num>
  <w:num w:numId="7">
    <w:abstractNumId w:val="18"/>
  </w:num>
  <w:num w:numId="8">
    <w:abstractNumId w:val="20"/>
  </w:num>
  <w:num w:numId="9">
    <w:abstractNumId w:val="7"/>
  </w:num>
  <w:num w:numId="10">
    <w:abstractNumId w:val="9"/>
  </w:num>
  <w:num w:numId="11">
    <w:abstractNumId w:val="0"/>
  </w:num>
  <w:num w:numId="12">
    <w:abstractNumId w:val="3"/>
  </w:num>
  <w:num w:numId="13">
    <w:abstractNumId w:val="13"/>
  </w:num>
  <w:num w:numId="14">
    <w:abstractNumId w:val="14"/>
  </w:num>
  <w:num w:numId="15">
    <w:abstractNumId w:val="16"/>
  </w:num>
  <w:num w:numId="16">
    <w:abstractNumId w:val="19"/>
  </w:num>
  <w:num w:numId="17">
    <w:abstractNumId w:val="11"/>
  </w:num>
  <w:num w:numId="18">
    <w:abstractNumId w:val="17"/>
  </w:num>
  <w:num w:numId="19">
    <w:abstractNumId w:val="2"/>
  </w:num>
  <w:num w:numId="20">
    <w:abstractNumId w:val="1"/>
  </w:num>
  <w:num w:numId="21">
    <w:abstractNumId w:val="1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870"/>
    <w:rsid w:val="0037516A"/>
    <w:rsid w:val="00BE6870"/>
    <w:rsid w:val="00FF0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4A2D4"/>
  <w15:chartTrackingRefBased/>
  <w15:docId w15:val="{7AAE53FA-E88D-414C-B649-AA7C359E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870"/>
    <w:pPr>
      <w:spacing w:before="120" w:after="240"/>
    </w:pPr>
    <w:rPr>
      <w:rFonts w:ascii="Times New Roman" w:hAnsi="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
    <w:qFormat/>
    <w:rsid w:val="00BE6870"/>
    <w:pPr>
      <w:numPr>
        <w:numId w:val="1"/>
      </w:numPr>
      <w:contextualSpacing/>
    </w:pPr>
    <w:rPr>
      <w:rFonts w:eastAsia="Cambr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15CE8-2F82-3C4F-B076-6627F5623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2177</Words>
  <Characters>12414</Characters>
  <Application>Microsoft Office Word</Application>
  <DocSecurity>0</DocSecurity>
  <Lines>103</Lines>
  <Paragraphs>29</Paragraphs>
  <ScaleCrop>false</ScaleCrop>
  <Company/>
  <LinksUpToDate>false</LinksUpToDate>
  <CharactersWithSpaces>14562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Meaders, Claire</dc:creator>
  <cp:keywords/>
  <dc:description/>
  <cp:lastModifiedBy>Meaders, Claire</cp:lastModifiedBy>
  <cp:revision>1</cp:revision>
  <dcterms:created xsi:type="dcterms:W3CDTF">2020-12-07T17:22:00Z</dcterms:created>
  <dcterms:modified xsi:type="dcterms:W3CDTF">2020-12-07T17:25:00Z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68bc8367-899a-3faf-b85d-6ac61954659f</vt:lpwstr>
  </property>
  <property fmtid="{D5CDD505-2E9C-101B-9397-08002B2CF9AE}" pid="24" name="Mendeley Citation Style_1">
    <vt:lpwstr>http://www.zotero.org/styles/apa</vt:lpwstr>
  </property>
</Properties>
</file>