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E552B" w14:textId="77777777" w:rsidR="00082199" w:rsidRPr="00082199" w:rsidRDefault="00082199" w:rsidP="00082199">
      <w:pPr>
        <w:rPr>
          <w:lang w:val="en-US"/>
        </w:rPr>
      </w:pPr>
    </w:p>
    <w:p w14:paraId="73133373" w14:textId="4D78EE7B" w:rsidR="00F32574" w:rsidRPr="00A4031D" w:rsidRDefault="00F32574" w:rsidP="00F32574">
      <w:pPr>
        <w:jc w:val="both"/>
        <w:rPr>
          <w:color w:val="000000" w:themeColor="text1"/>
          <w:sz w:val="20"/>
          <w:szCs w:val="20"/>
          <w:lang w:val="en-US"/>
        </w:rPr>
      </w:pPr>
      <w:r w:rsidRPr="00A4031D">
        <w:rPr>
          <w:b/>
          <w:bCs/>
          <w:sz w:val="20"/>
          <w:szCs w:val="20"/>
          <w:lang w:val="en-US"/>
        </w:rPr>
        <w:t xml:space="preserve">Table S1 - </w:t>
      </w:r>
      <w:r w:rsidRPr="00A4031D">
        <w:rPr>
          <w:color w:val="000000" w:themeColor="text1"/>
          <w:sz w:val="20"/>
          <w:szCs w:val="20"/>
          <w:lang w:val="en-US"/>
        </w:rPr>
        <w:t>Multiple logistic regression model. The sum of pain intensity (SPI) (fluctuation of pain) is the dependent variable and interferon (IFN)-</w:t>
      </w:r>
      <w:r w:rsidRPr="00A4031D">
        <w:rPr>
          <w:color w:val="000000" w:themeColor="text1"/>
          <w:sz w:val="20"/>
          <w:szCs w:val="20"/>
        </w:rPr>
        <w:sym w:font="Symbol" w:char="F067"/>
      </w:r>
      <w:r w:rsidRPr="00A4031D">
        <w:rPr>
          <w:color w:val="000000" w:themeColor="text1"/>
          <w:sz w:val="20"/>
          <w:szCs w:val="20"/>
          <w:lang w:val="en-US"/>
        </w:rPr>
        <w:t xml:space="preserve">, interleukin (IL)-2, </w:t>
      </w:r>
      <w:r>
        <w:rPr>
          <w:color w:val="000000"/>
          <w:sz w:val="20"/>
          <w:szCs w:val="20"/>
          <w:lang w:val="en-US"/>
        </w:rPr>
        <w:t>(</w:t>
      </w:r>
      <w:r w:rsidRPr="00A4031D">
        <w:rPr>
          <w:color w:val="000000"/>
          <w:sz w:val="20"/>
          <w:szCs w:val="20"/>
          <w:lang w:val="en-US"/>
        </w:rPr>
        <w:t>IL</w:t>
      </w:r>
      <w:r>
        <w:rPr>
          <w:color w:val="000000"/>
          <w:sz w:val="20"/>
          <w:szCs w:val="20"/>
          <w:lang w:val="en-US"/>
        </w:rPr>
        <w:t>)</w:t>
      </w:r>
      <w:r w:rsidRPr="00A4031D">
        <w:rPr>
          <w:color w:val="000000"/>
          <w:sz w:val="20"/>
          <w:szCs w:val="20"/>
          <w:lang w:val="en-US"/>
        </w:rPr>
        <w:t>-6</w:t>
      </w:r>
      <w:r w:rsidRPr="00A4031D">
        <w:rPr>
          <w:color w:val="000000" w:themeColor="text1"/>
          <w:sz w:val="20"/>
          <w:szCs w:val="20"/>
          <w:lang w:val="en-US"/>
        </w:rPr>
        <w:t>, tumor necrosis factor (TNF)-</w:t>
      </w:r>
      <w:r w:rsidRPr="00A4031D">
        <w:rPr>
          <w:color w:val="000000" w:themeColor="text1"/>
          <w:sz w:val="20"/>
          <w:szCs w:val="20"/>
        </w:rPr>
        <w:sym w:font="Symbol" w:char="F061"/>
      </w:r>
      <w:r w:rsidRPr="00A4031D">
        <w:rPr>
          <w:color w:val="000000" w:themeColor="text1"/>
          <w:sz w:val="20"/>
          <w:szCs w:val="20"/>
          <w:lang w:val="en-US"/>
        </w:rPr>
        <w:t>, body mass index (BMI), surgery difficulty and duration, opioid receptor (</w:t>
      </w:r>
      <w:r w:rsidRPr="00A4031D">
        <w:rPr>
          <w:i/>
          <w:color w:val="000000" w:themeColor="text1"/>
          <w:sz w:val="20"/>
          <w:szCs w:val="20"/>
          <w:lang w:val="en-US"/>
        </w:rPr>
        <w:t>OPRM1)</w:t>
      </w:r>
      <w:r w:rsidRPr="00A4031D">
        <w:rPr>
          <w:color w:val="000000" w:themeColor="text1"/>
          <w:sz w:val="20"/>
          <w:szCs w:val="20"/>
          <w:lang w:val="en-US"/>
        </w:rPr>
        <w:t xml:space="preserve"> and catechol-O-methyltransferase (</w:t>
      </w:r>
      <w:r w:rsidRPr="00A4031D">
        <w:rPr>
          <w:i/>
          <w:color w:val="000000" w:themeColor="text1"/>
          <w:sz w:val="20"/>
          <w:szCs w:val="20"/>
          <w:lang w:val="en-US"/>
        </w:rPr>
        <w:t>COMT)</w:t>
      </w:r>
      <w:r w:rsidRPr="00A4031D">
        <w:rPr>
          <w:color w:val="000000" w:themeColor="text1"/>
          <w:sz w:val="20"/>
          <w:szCs w:val="20"/>
          <w:lang w:val="en-US"/>
        </w:rPr>
        <w:t xml:space="preserve"> haplotype, pain modulation capacity (CPM), and pain catastrophizing scale (PCS) are independent variables</w:t>
      </w:r>
      <w:r>
        <w:rPr>
          <w:color w:val="000000" w:themeColor="text1"/>
          <w:sz w:val="20"/>
          <w:szCs w:val="20"/>
          <w:lang w:val="en-US"/>
        </w:rPr>
        <w:t>.</w:t>
      </w:r>
    </w:p>
    <w:tbl>
      <w:tblPr>
        <w:tblpPr w:leftFromText="141" w:rightFromText="141" w:vertAnchor="text" w:horzAnchor="margin" w:tblpXSpec="center" w:tblpY="354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1167"/>
        <w:gridCol w:w="1459"/>
        <w:gridCol w:w="1314"/>
        <w:gridCol w:w="1897"/>
        <w:gridCol w:w="71"/>
      </w:tblGrid>
      <w:tr w:rsidR="00F32574" w:rsidRPr="00082199" w14:paraId="234D44DA" w14:textId="77777777" w:rsidTr="004A7D7F">
        <w:trPr>
          <w:trHeight w:val="145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C454" w14:textId="77777777" w:rsidR="00F32574" w:rsidRPr="00082199" w:rsidRDefault="00F32574" w:rsidP="004A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A69B" w14:textId="45E88298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SPI</w:t>
            </w:r>
          </w:p>
        </w:tc>
      </w:tr>
      <w:tr w:rsidR="00F32574" w:rsidRPr="00082199" w14:paraId="472D0190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300A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Variable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EF76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710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S. 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871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P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value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89C5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β - 95% CI</w:t>
            </w:r>
          </w:p>
        </w:tc>
      </w:tr>
      <w:tr w:rsidR="00F32574" w:rsidRPr="00082199" w14:paraId="746D7878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D797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Intercept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35E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8358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AD18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61AA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</w:t>
            </w:r>
          </w:p>
        </w:tc>
      </w:tr>
      <w:tr w:rsidR="00F32574" w:rsidRPr="00082199" w14:paraId="4B65C574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78E6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IFN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  <w:r w:rsidRPr="00082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sym w:font="Symbol" w:char="F067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935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B54C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05CB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06C7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9544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</w:tr>
      <w:tr w:rsidR="00F32574" w:rsidRPr="00082199" w14:paraId="034BCAF1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BFB8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IL-2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C1BF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964D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E09E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BC4E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-209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922</w:t>
            </w:r>
          </w:p>
        </w:tc>
      </w:tr>
      <w:tr w:rsidR="00F32574" w:rsidRPr="00082199" w14:paraId="0242839E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216C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IL-6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E39B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AB11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B76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100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46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448</w:t>
            </w:r>
          </w:p>
        </w:tc>
      </w:tr>
      <w:tr w:rsidR="00F32574" w:rsidRPr="00082199" w14:paraId="759E4F94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631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TNF-</w:t>
            </w:r>
            <w:r w:rsidRPr="00082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sym w:font="Symbol" w:char="F061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BC91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48D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B6C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E00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780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799</w:t>
            </w:r>
          </w:p>
        </w:tc>
      </w:tr>
      <w:tr w:rsidR="00F32574" w:rsidRPr="00082199" w14:paraId="26E60A18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8D7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BMI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C57B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07904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F6AC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E90B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9633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2C8D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469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311</w:t>
            </w:r>
          </w:p>
        </w:tc>
      </w:tr>
      <w:tr w:rsidR="00F32574" w:rsidRPr="00082199" w14:paraId="535212F2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11B5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Surg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Difficult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4889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C4E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72B0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A86D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080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96</w:t>
            </w:r>
          </w:p>
        </w:tc>
      </w:tr>
      <w:tr w:rsidR="00F32574" w:rsidRPr="00082199" w14:paraId="049BE6F7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B458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Surg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Duration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530F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3E0A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EC6F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4041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869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7265</w:t>
            </w:r>
          </w:p>
        </w:tc>
      </w:tr>
      <w:tr w:rsidR="00F32574" w:rsidRPr="00082199" w14:paraId="2324B2A0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40A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OPMR1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FA52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EAD6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5C8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7564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B508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88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65</w:t>
            </w:r>
          </w:p>
        </w:tc>
      </w:tr>
      <w:tr w:rsidR="00F32574" w:rsidRPr="00082199" w14:paraId="0E7997FD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58E0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COMT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5E6B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0EEE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950E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6B2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37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46</w:t>
            </w:r>
          </w:p>
        </w:tc>
      </w:tr>
      <w:tr w:rsidR="00F32574" w:rsidRPr="00082199" w14:paraId="7571F126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78E8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CPM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5EBB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0ED7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1EF3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8669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01B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16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</w:t>
            </w:r>
          </w:p>
        </w:tc>
      </w:tr>
      <w:tr w:rsidR="00F32574" w:rsidRPr="00082199" w14:paraId="572D8AED" w14:textId="77777777" w:rsidTr="004A7D7F">
        <w:trPr>
          <w:gridAfter w:val="1"/>
          <w:wAfter w:w="71" w:type="dxa"/>
          <w:trHeight w:val="1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3ABD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PCS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28EB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7847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AB6B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8617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FEDD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9B3" w14:textId="77777777" w:rsidR="00F32574" w:rsidRPr="00082199" w:rsidRDefault="00F32574" w:rsidP="004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9173 </w:t>
            </w:r>
            <w:proofErr w:type="spellStart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</w:t>
            </w:r>
            <w:proofErr w:type="spellEnd"/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8219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487</w:t>
            </w:r>
          </w:p>
        </w:tc>
      </w:tr>
    </w:tbl>
    <w:p w14:paraId="3316D622" w14:textId="4AAAA7A0" w:rsidR="00F32574" w:rsidRDefault="00F32574" w:rsidP="00F32574">
      <w:pPr>
        <w:pBdr>
          <w:top w:val="single" w:sz="4" w:space="1" w:color="auto"/>
        </w:pBdr>
        <w:rPr>
          <w:sz w:val="20"/>
          <w:szCs w:val="20"/>
          <w:lang w:val="en-US"/>
        </w:rPr>
      </w:pPr>
    </w:p>
    <w:p w14:paraId="0FED8E7A" w14:textId="77777777" w:rsidR="00F32574" w:rsidRDefault="00F32574" w:rsidP="00F32574">
      <w:pPr>
        <w:pBdr>
          <w:top w:val="single" w:sz="4" w:space="1" w:color="auto"/>
        </w:pBdr>
        <w:rPr>
          <w:sz w:val="20"/>
          <w:szCs w:val="20"/>
          <w:lang w:val="en-US"/>
        </w:rPr>
      </w:pPr>
    </w:p>
    <w:p w14:paraId="0E21ADF2" w14:textId="4D1AC157" w:rsidR="00F32574" w:rsidRDefault="00F32574" w:rsidP="00F32574">
      <w:pPr>
        <w:pBdr>
          <w:top w:val="single" w:sz="4" w:space="1" w:color="auto"/>
        </w:pBdr>
        <w:ind w:left="567" w:right="566"/>
        <w:jc w:val="both"/>
        <w:rPr>
          <w:sz w:val="16"/>
          <w:szCs w:val="16"/>
          <w:lang w:val="en-US"/>
        </w:rPr>
      </w:pPr>
      <w:r>
        <w:rPr>
          <w:color w:val="000000" w:themeColor="text1"/>
          <w:sz w:val="16"/>
          <w:szCs w:val="16"/>
          <w:lang w:val="en-US"/>
        </w:rPr>
        <w:t>S</w:t>
      </w:r>
      <w:r w:rsidRPr="00A4031D">
        <w:rPr>
          <w:color w:val="000000" w:themeColor="text1"/>
          <w:sz w:val="16"/>
          <w:szCs w:val="16"/>
          <w:lang w:val="en-US"/>
        </w:rPr>
        <w:t>um of in pain intensity (SPI),interferon (IFN)-</w:t>
      </w:r>
      <w:r w:rsidRPr="00A4031D">
        <w:rPr>
          <w:color w:val="000000" w:themeColor="text1"/>
          <w:sz w:val="16"/>
          <w:szCs w:val="16"/>
        </w:rPr>
        <w:sym w:font="Symbol" w:char="F067"/>
      </w:r>
      <w:r w:rsidRPr="00A4031D">
        <w:rPr>
          <w:color w:val="000000" w:themeColor="text1"/>
          <w:sz w:val="16"/>
          <w:szCs w:val="16"/>
          <w:lang w:val="en-US"/>
        </w:rPr>
        <w:t>, interleukin (IL)-2, (IL)-6, tumor necrosis factor (TNF)-</w:t>
      </w:r>
      <w:r w:rsidRPr="00A4031D">
        <w:rPr>
          <w:color w:val="000000" w:themeColor="text1"/>
          <w:sz w:val="16"/>
          <w:szCs w:val="16"/>
        </w:rPr>
        <w:sym w:font="Symbol" w:char="F061"/>
      </w:r>
      <w:r w:rsidRPr="00A4031D">
        <w:rPr>
          <w:color w:val="000000" w:themeColor="text1"/>
          <w:sz w:val="16"/>
          <w:szCs w:val="16"/>
          <w:lang w:val="en-US"/>
        </w:rPr>
        <w:t>, body mass index (BMI), opioid receptor (</w:t>
      </w:r>
      <w:r w:rsidRPr="00A4031D">
        <w:rPr>
          <w:i/>
          <w:color w:val="000000" w:themeColor="text1"/>
          <w:sz w:val="16"/>
          <w:szCs w:val="16"/>
          <w:lang w:val="en-US"/>
        </w:rPr>
        <w:t>OPRM1)</w:t>
      </w:r>
      <w:r w:rsidRPr="00A4031D">
        <w:rPr>
          <w:color w:val="000000" w:themeColor="text1"/>
          <w:sz w:val="16"/>
          <w:szCs w:val="16"/>
          <w:lang w:val="en-US"/>
        </w:rPr>
        <w:t xml:space="preserve"> and catechol-O-methyltransferase (</w:t>
      </w:r>
      <w:r w:rsidRPr="00A4031D">
        <w:rPr>
          <w:i/>
          <w:color w:val="000000" w:themeColor="text1"/>
          <w:sz w:val="16"/>
          <w:szCs w:val="16"/>
          <w:lang w:val="en-US"/>
        </w:rPr>
        <w:t>COMT)</w:t>
      </w:r>
      <w:r w:rsidRPr="00A4031D">
        <w:rPr>
          <w:color w:val="000000" w:themeColor="text1"/>
          <w:sz w:val="16"/>
          <w:szCs w:val="16"/>
          <w:lang w:val="en-US"/>
        </w:rPr>
        <w:t xml:space="preserve"> haplotype, pain modulation capacity (CPM), pain catastrophizing scale (PCS),</w:t>
      </w:r>
      <w:r>
        <w:rPr>
          <w:color w:val="000000" w:themeColor="text1"/>
          <w:sz w:val="16"/>
          <w:szCs w:val="16"/>
          <w:lang w:val="en-US"/>
        </w:rPr>
        <w:t xml:space="preserve"> </w:t>
      </w:r>
      <w:r w:rsidRPr="00FD45DD">
        <w:rPr>
          <w:color w:val="000000" w:themeColor="text1"/>
          <w:sz w:val="16"/>
          <w:szCs w:val="16"/>
          <w:lang w:val="en-US"/>
        </w:rPr>
        <w:t>standard errors</w:t>
      </w:r>
      <w:r w:rsidRPr="00A4031D">
        <w:rPr>
          <w:color w:val="000000" w:themeColor="text1"/>
          <w:sz w:val="16"/>
          <w:szCs w:val="16"/>
          <w:lang w:val="en-US"/>
        </w:rPr>
        <w:t xml:space="preserve"> </w:t>
      </w:r>
      <w:r>
        <w:rPr>
          <w:color w:val="000000" w:themeColor="text1"/>
          <w:sz w:val="16"/>
          <w:szCs w:val="16"/>
          <w:lang w:val="en-US"/>
        </w:rPr>
        <w:t xml:space="preserve">(S.E), </w:t>
      </w:r>
      <w:r w:rsidRPr="00A4031D">
        <w:rPr>
          <w:sz w:val="16"/>
          <w:szCs w:val="16"/>
          <w:lang w:val="en-US"/>
        </w:rPr>
        <w:t>confidence interval (CI)</w:t>
      </w:r>
      <w:r>
        <w:rPr>
          <w:sz w:val="16"/>
          <w:szCs w:val="16"/>
          <w:lang w:val="en-US"/>
        </w:rPr>
        <w:t>.</w:t>
      </w:r>
    </w:p>
    <w:p w14:paraId="4D65015E" w14:textId="77777777" w:rsidR="00082199" w:rsidRPr="00082199" w:rsidRDefault="00082199" w:rsidP="00082199">
      <w:pPr>
        <w:rPr>
          <w:lang w:val="en-US"/>
        </w:rPr>
      </w:pPr>
    </w:p>
    <w:sectPr w:rsidR="00082199" w:rsidRPr="00082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39"/>
    <w:rsid w:val="00070FAB"/>
    <w:rsid w:val="00082199"/>
    <w:rsid w:val="000C3EB0"/>
    <w:rsid w:val="00273199"/>
    <w:rsid w:val="003C6D56"/>
    <w:rsid w:val="003D7B91"/>
    <w:rsid w:val="0046627E"/>
    <w:rsid w:val="00474723"/>
    <w:rsid w:val="004B7A90"/>
    <w:rsid w:val="004C6B8A"/>
    <w:rsid w:val="005A36C3"/>
    <w:rsid w:val="005F5D22"/>
    <w:rsid w:val="006C6E35"/>
    <w:rsid w:val="006E2E02"/>
    <w:rsid w:val="006E78C9"/>
    <w:rsid w:val="006F6A67"/>
    <w:rsid w:val="008B1648"/>
    <w:rsid w:val="008C4322"/>
    <w:rsid w:val="008C4F17"/>
    <w:rsid w:val="00916F92"/>
    <w:rsid w:val="00952E2B"/>
    <w:rsid w:val="009A7BA4"/>
    <w:rsid w:val="009F5D53"/>
    <w:rsid w:val="00A71429"/>
    <w:rsid w:val="00AC44D9"/>
    <w:rsid w:val="00B67657"/>
    <w:rsid w:val="00B72593"/>
    <w:rsid w:val="00B83F45"/>
    <w:rsid w:val="00C25439"/>
    <w:rsid w:val="00C50E83"/>
    <w:rsid w:val="00C63CE9"/>
    <w:rsid w:val="00CB0AC0"/>
    <w:rsid w:val="00E60E7A"/>
    <w:rsid w:val="00E9330A"/>
    <w:rsid w:val="00F32574"/>
    <w:rsid w:val="00F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D6F0"/>
  <w15:docId w15:val="{EABE1FF5-9697-A240-95E9-E96335FB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Microsoft Office User</cp:lastModifiedBy>
  <cp:revision>6</cp:revision>
  <dcterms:created xsi:type="dcterms:W3CDTF">2020-06-02T18:24:00Z</dcterms:created>
  <dcterms:modified xsi:type="dcterms:W3CDTF">2021-02-15T01:33:00Z</dcterms:modified>
</cp:coreProperties>
</file>