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73CC5" w14:textId="4EB7A96E" w:rsidR="00DE6392" w:rsidRPr="001E4A0D" w:rsidRDefault="00CA7B87">
      <w:pPr>
        <w:rPr>
          <w:rFonts w:ascii="Arial" w:hAnsi="Arial" w:cs="Arial"/>
          <w:b/>
          <w:bCs/>
        </w:rPr>
      </w:pPr>
      <w:r w:rsidRPr="001E4A0D">
        <w:rPr>
          <w:rFonts w:ascii="Arial" w:hAnsi="Arial" w:cs="Arial"/>
          <w:b/>
          <w:bCs/>
        </w:rPr>
        <w:t xml:space="preserve">Supplementary information </w:t>
      </w:r>
    </w:p>
    <w:p w14:paraId="4E8683D5" w14:textId="46F4D5A2" w:rsidR="00CA7B87" w:rsidRPr="00801EB6" w:rsidRDefault="00CA7B87" w:rsidP="00CA7B87">
      <w:pPr>
        <w:jc w:val="both"/>
        <w:rPr>
          <w:rFonts w:ascii="Arial" w:hAnsi="Arial" w:cs="Arial"/>
        </w:rPr>
      </w:pPr>
      <w:r w:rsidRPr="00801EB6">
        <w:rPr>
          <w:rFonts w:ascii="Arial" w:hAnsi="Arial" w:cs="Arial"/>
        </w:rPr>
        <w:t>Table S1: aiWBO main cell types simulated</w:t>
      </w:r>
    </w:p>
    <w:tbl>
      <w:tblPr>
        <w:tblStyle w:val="TableGrid"/>
        <w:tblW w:w="0" w:type="auto"/>
        <w:tblLook w:val="04A0" w:firstRow="1" w:lastRow="0" w:firstColumn="1" w:lastColumn="0" w:noHBand="0" w:noVBand="1"/>
      </w:tblPr>
      <w:tblGrid>
        <w:gridCol w:w="4675"/>
        <w:gridCol w:w="4675"/>
      </w:tblGrid>
      <w:tr w:rsidR="00CA7B87" w:rsidRPr="00801EB6" w14:paraId="41BB4837" w14:textId="77777777" w:rsidTr="00080C6E">
        <w:tc>
          <w:tcPr>
            <w:tcW w:w="4675" w:type="dxa"/>
          </w:tcPr>
          <w:p w14:paraId="197C546E" w14:textId="77777777" w:rsidR="00CA7B87" w:rsidRPr="00801EB6" w:rsidRDefault="00CA7B87" w:rsidP="00080C6E">
            <w:pPr>
              <w:jc w:val="both"/>
              <w:rPr>
                <w:rFonts w:ascii="Arial" w:hAnsi="Arial" w:cs="Arial"/>
              </w:rPr>
            </w:pPr>
            <w:r w:rsidRPr="00801EB6">
              <w:rPr>
                <w:rFonts w:ascii="Arial" w:hAnsi="Arial" w:cs="Arial"/>
              </w:rPr>
              <w:t>Cell types</w:t>
            </w:r>
          </w:p>
        </w:tc>
        <w:tc>
          <w:tcPr>
            <w:tcW w:w="4675" w:type="dxa"/>
          </w:tcPr>
          <w:p w14:paraId="51BFAF77" w14:textId="77777777" w:rsidR="00CA7B87" w:rsidRPr="00801EB6" w:rsidRDefault="00CA7B87" w:rsidP="00080C6E">
            <w:pPr>
              <w:jc w:val="both"/>
              <w:rPr>
                <w:rFonts w:ascii="Arial" w:hAnsi="Arial" w:cs="Arial"/>
              </w:rPr>
            </w:pPr>
            <w:r w:rsidRPr="00801EB6">
              <w:rPr>
                <w:rFonts w:ascii="Arial" w:hAnsi="Arial" w:cs="Arial"/>
              </w:rPr>
              <w:t>Markers</w:t>
            </w:r>
          </w:p>
        </w:tc>
      </w:tr>
      <w:tr w:rsidR="00CA7B87" w:rsidRPr="00801EB6" w14:paraId="45BB4694" w14:textId="77777777" w:rsidTr="00080C6E">
        <w:tc>
          <w:tcPr>
            <w:tcW w:w="4675" w:type="dxa"/>
          </w:tcPr>
          <w:p w14:paraId="48CE339B" w14:textId="77777777" w:rsidR="00CA7B87" w:rsidRPr="00801EB6" w:rsidRDefault="00CA7B87" w:rsidP="00080C6E">
            <w:pPr>
              <w:jc w:val="both"/>
              <w:rPr>
                <w:rFonts w:ascii="Arial" w:hAnsi="Arial" w:cs="Arial"/>
              </w:rPr>
            </w:pPr>
            <w:r w:rsidRPr="00801EB6">
              <w:rPr>
                <w:rFonts w:ascii="Arial" w:hAnsi="Arial" w:cs="Arial"/>
              </w:rPr>
              <w:t>Neurons (N=6)</w:t>
            </w:r>
          </w:p>
        </w:tc>
        <w:tc>
          <w:tcPr>
            <w:tcW w:w="4675" w:type="dxa"/>
          </w:tcPr>
          <w:p w14:paraId="299EA20B" w14:textId="77777777" w:rsidR="00CA7B87" w:rsidRPr="00801EB6" w:rsidRDefault="00CA7B87" w:rsidP="00080C6E">
            <w:pPr>
              <w:jc w:val="both"/>
              <w:rPr>
                <w:rFonts w:ascii="Arial" w:hAnsi="Arial" w:cs="Arial"/>
              </w:rPr>
            </w:pPr>
            <w:r w:rsidRPr="00801EB6">
              <w:rPr>
                <w:rFonts w:ascii="Arial" w:hAnsi="Arial" w:cs="Arial"/>
              </w:rPr>
              <w:t>DCX/Doublecortin, GAP43, MAP2, NeuN/RBFOX3, SLC17A7/VGLUT1, TUBB3</w:t>
            </w:r>
          </w:p>
        </w:tc>
      </w:tr>
      <w:tr w:rsidR="00CA7B87" w:rsidRPr="00801EB6" w14:paraId="54CAA8AB" w14:textId="77777777" w:rsidTr="00080C6E">
        <w:tc>
          <w:tcPr>
            <w:tcW w:w="4675" w:type="dxa"/>
          </w:tcPr>
          <w:p w14:paraId="3C8F79A7" w14:textId="77777777" w:rsidR="00CA7B87" w:rsidRPr="00801EB6" w:rsidRDefault="00CA7B87" w:rsidP="00080C6E">
            <w:pPr>
              <w:jc w:val="both"/>
              <w:rPr>
                <w:rFonts w:ascii="Arial" w:hAnsi="Arial" w:cs="Arial"/>
              </w:rPr>
            </w:pPr>
            <w:r w:rsidRPr="00801EB6">
              <w:rPr>
                <w:rFonts w:ascii="Arial" w:hAnsi="Arial" w:cs="Arial"/>
              </w:rPr>
              <w:t>Astrocytes (N=7)</w:t>
            </w:r>
          </w:p>
        </w:tc>
        <w:tc>
          <w:tcPr>
            <w:tcW w:w="4675" w:type="dxa"/>
          </w:tcPr>
          <w:p w14:paraId="673AC5FF" w14:textId="77777777" w:rsidR="00CA7B87" w:rsidRPr="00801EB6" w:rsidRDefault="00CA7B87" w:rsidP="00080C6E">
            <w:pPr>
              <w:jc w:val="both"/>
              <w:rPr>
                <w:rFonts w:ascii="Arial" w:hAnsi="Arial" w:cs="Arial"/>
              </w:rPr>
            </w:pPr>
            <w:r w:rsidRPr="00801EB6">
              <w:rPr>
                <w:rFonts w:ascii="Arial" w:hAnsi="Arial" w:cs="Arial"/>
              </w:rPr>
              <w:t>CNTF, GFAP, GLAST-1/EAAT1, GLT-1/EAAT2, Neurotropin3, NGF, S100B</w:t>
            </w:r>
          </w:p>
        </w:tc>
      </w:tr>
      <w:tr w:rsidR="00CA7B87" w:rsidRPr="00801EB6" w14:paraId="5875C686" w14:textId="77777777" w:rsidTr="00080C6E">
        <w:tc>
          <w:tcPr>
            <w:tcW w:w="4675" w:type="dxa"/>
          </w:tcPr>
          <w:p w14:paraId="7DB58A93" w14:textId="77777777" w:rsidR="00CA7B87" w:rsidRPr="00801EB6" w:rsidRDefault="00CA7B87" w:rsidP="00080C6E">
            <w:pPr>
              <w:jc w:val="both"/>
              <w:rPr>
                <w:rFonts w:ascii="Arial" w:hAnsi="Arial" w:cs="Arial"/>
              </w:rPr>
            </w:pPr>
            <w:r w:rsidRPr="00801EB6">
              <w:rPr>
                <w:rFonts w:ascii="Arial" w:hAnsi="Arial" w:cs="Arial"/>
              </w:rPr>
              <w:t>Oligodendrocytes (N=12)</w:t>
            </w:r>
          </w:p>
        </w:tc>
        <w:tc>
          <w:tcPr>
            <w:tcW w:w="4675" w:type="dxa"/>
          </w:tcPr>
          <w:p w14:paraId="38921D2B" w14:textId="77777777" w:rsidR="00CA7B87" w:rsidRPr="00801EB6" w:rsidRDefault="00CA7B87" w:rsidP="00080C6E">
            <w:pPr>
              <w:jc w:val="both"/>
              <w:rPr>
                <w:rFonts w:ascii="Arial" w:hAnsi="Arial" w:cs="Arial"/>
              </w:rPr>
            </w:pPr>
            <w:r w:rsidRPr="00801EB6">
              <w:rPr>
                <w:rFonts w:ascii="Arial" w:hAnsi="Arial" w:cs="Arial"/>
              </w:rPr>
              <w:t>miR-212 (-), Oligodendrocyte Apoptosis (-), BDNF (-), CNTF, Fibrinogen, LNRGF, Neurotropin3, NGF, Olig2, OPC-Differentiation, PDGF-R-alpha, Sox9</w:t>
            </w:r>
          </w:p>
        </w:tc>
      </w:tr>
      <w:tr w:rsidR="00CA7B87" w:rsidRPr="00801EB6" w14:paraId="5E464C30" w14:textId="77777777" w:rsidTr="00080C6E">
        <w:tc>
          <w:tcPr>
            <w:tcW w:w="4675" w:type="dxa"/>
          </w:tcPr>
          <w:p w14:paraId="394DDC98" w14:textId="77777777" w:rsidR="00CA7B87" w:rsidRPr="00801EB6" w:rsidRDefault="00CA7B87" w:rsidP="00080C6E">
            <w:pPr>
              <w:jc w:val="both"/>
              <w:rPr>
                <w:rFonts w:ascii="Arial" w:hAnsi="Arial" w:cs="Arial"/>
              </w:rPr>
            </w:pPr>
            <w:r w:rsidRPr="00801EB6">
              <w:rPr>
                <w:rFonts w:ascii="Arial" w:hAnsi="Arial" w:cs="Arial"/>
              </w:rPr>
              <w:t>Microglia (N=4)</w:t>
            </w:r>
          </w:p>
        </w:tc>
        <w:tc>
          <w:tcPr>
            <w:tcW w:w="4675" w:type="dxa"/>
          </w:tcPr>
          <w:p w14:paraId="7B148BDB" w14:textId="77777777" w:rsidR="00CA7B87" w:rsidRPr="00801EB6" w:rsidRDefault="00CA7B87" w:rsidP="00080C6E">
            <w:pPr>
              <w:jc w:val="both"/>
              <w:rPr>
                <w:rFonts w:ascii="Arial" w:hAnsi="Arial" w:cs="Arial"/>
              </w:rPr>
            </w:pPr>
            <w:r w:rsidRPr="00801EB6">
              <w:rPr>
                <w:rFonts w:ascii="Arial" w:hAnsi="Arial" w:cs="Arial"/>
              </w:rPr>
              <w:t>AIF, CCL-4/MIP-1beta, CD11B/ITGAM, Neurotropin3</w:t>
            </w:r>
          </w:p>
        </w:tc>
      </w:tr>
      <w:tr w:rsidR="00CA7B87" w:rsidRPr="00801EB6" w14:paraId="64BBDED2" w14:textId="77777777" w:rsidTr="00080C6E">
        <w:tc>
          <w:tcPr>
            <w:tcW w:w="4675" w:type="dxa"/>
          </w:tcPr>
          <w:p w14:paraId="49E5C28D" w14:textId="77777777" w:rsidR="00CA7B87" w:rsidRPr="00801EB6" w:rsidRDefault="00CA7B87" w:rsidP="00080C6E">
            <w:pPr>
              <w:jc w:val="both"/>
              <w:rPr>
                <w:rFonts w:ascii="Arial" w:hAnsi="Arial" w:cs="Arial"/>
              </w:rPr>
            </w:pPr>
            <w:r w:rsidRPr="00801EB6">
              <w:rPr>
                <w:rFonts w:ascii="Arial" w:hAnsi="Arial" w:cs="Arial"/>
              </w:rPr>
              <w:t>Endothelial cells (N=3)</w:t>
            </w:r>
          </w:p>
        </w:tc>
        <w:tc>
          <w:tcPr>
            <w:tcW w:w="4675" w:type="dxa"/>
          </w:tcPr>
          <w:p w14:paraId="0E657165" w14:textId="77777777" w:rsidR="00CA7B87" w:rsidRPr="00801EB6" w:rsidRDefault="00CA7B87" w:rsidP="00080C6E">
            <w:pPr>
              <w:jc w:val="both"/>
              <w:rPr>
                <w:rFonts w:ascii="Arial" w:hAnsi="Arial" w:cs="Arial"/>
              </w:rPr>
            </w:pPr>
            <w:r w:rsidRPr="00801EB6">
              <w:rPr>
                <w:rFonts w:ascii="Arial" w:hAnsi="Arial" w:cs="Arial"/>
              </w:rPr>
              <w:t>Mesoderm, VEGF, PIAS1/2</w:t>
            </w:r>
          </w:p>
        </w:tc>
      </w:tr>
      <w:tr w:rsidR="00CA7B87" w:rsidRPr="00801EB6" w14:paraId="788E468C" w14:textId="77777777" w:rsidTr="00080C6E">
        <w:tc>
          <w:tcPr>
            <w:tcW w:w="4675" w:type="dxa"/>
          </w:tcPr>
          <w:p w14:paraId="166001CC" w14:textId="77777777" w:rsidR="00CA7B87" w:rsidRPr="00801EB6" w:rsidRDefault="00CA7B87" w:rsidP="00080C6E">
            <w:pPr>
              <w:jc w:val="both"/>
              <w:rPr>
                <w:rFonts w:ascii="Arial" w:hAnsi="Arial" w:cs="Arial"/>
              </w:rPr>
            </w:pPr>
            <w:r w:rsidRPr="00801EB6">
              <w:rPr>
                <w:rFonts w:ascii="Arial" w:hAnsi="Arial" w:cs="Arial"/>
              </w:rPr>
              <w:t>Pericytes (N=5)</w:t>
            </w:r>
          </w:p>
        </w:tc>
        <w:tc>
          <w:tcPr>
            <w:tcW w:w="4675" w:type="dxa"/>
          </w:tcPr>
          <w:p w14:paraId="7C31AAF9" w14:textId="77777777" w:rsidR="00CA7B87" w:rsidRPr="00801EB6" w:rsidRDefault="00CA7B87" w:rsidP="00080C6E">
            <w:pPr>
              <w:jc w:val="both"/>
              <w:rPr>
                <w:rFonts w:ascii="Arial" w:hAnsi="Arial" w:cs="Arial"/>
              </w:rPr>
            </w:pPr>
            <w:r w:rsidRPr="00801EB6">
              <w:rPr>
                <w:rFonts w:ascii="Arial" w:hAnsi="Arial" w:cs="Arial"/>
              </w:rPr>
              <w:t>Amyloid-Beta-Oligomers/aggregation (-),</w:t>
            </w:r>
          </w:p>
          <w:p w14:paraId="187917AF" w14:textId="77777777" w:rsidR="00CA7B87" w:rsidRPr="00801EB6" w:rsidRDefault="00CA7B87" w:rsidP="00080C6E">
            <w:pPr>
              <w:jc w:val="both"/>
              <w:rPr>
                <w:rFonts w:ascii="Arial" w:hAnsi="Arial" w:cs="Arial"/>
              </w:rPr>
            </w:pPr>
            <w:r w:rsidRPr="00801EB6">
              <w:rPr>
                <w:rFonts w:ascii="Arial" w:hAnsi="Arial" w:cs="Arial"/>
              </w:rPr>
              <w:t>ETaR (-), PDGFR, TGFbR1/ALK5, TLR2/4</w:t>
            </w:r>
          </w:p>
        </w:tc>
      </w:tr>
    </w:tbl>
    <w:p w14:paraId="05356EFC" w14:textId="77777777" w:rsidR="00CA7B87" w:rsidRPr="00801EB6" w:rsidRDefault="00CA7B87" w:rsidP="00CA7B87">
      <w:pPr>
        <w:autoSpaceDE w:val="0"/>
        <w:autoSpaceDN w:val="0"/>
        <w:adjustRightInd w:val="0"/>
        <w:spacing w:after="0" w:line="360" w:lineRule="auto"/>
        <w:jc w:val="both"/>
        <w:rPr>
          <w:rFonts w:ascii="Arial" w:hAnsi="Arial" w:cs="Arial"/>
          <w:i/>
          <w:iCs/>
        </w:rPr>
      </w:pPr>
    </w:p>
    <w:p w14:paraId="6DEF726A" w14:textId="18F3F22E" w:rsidR="00CA7B87" w:rsidRPr="00801EB6" w:rsidRDefault="00CA7B87" w:rsidP="00CA7B87">
      <w:pPr>
        <w:autoSpaceDE w:val="0"/>
        <w:autoSpaceDN w:val="0"/>
        <w:adjustRightInd w:val="0"/>
        <w:spacing w:after="0" w:line="360" w:lineRule="auto"/>
        <w:jc w:val="both"/>
        <w:rPr>
          <w:rFonts w:ascii="Arial" w:hAnsi="Arial" w:cs="Arial"/>
        </w:rPr>
      </w:pPr>
      <w:r w:rsidRPr="00801EB6">
        <w:rPr>
          <w:rFonts w:ascii="Arial" w:hAnsi="Arial" w:cs="Arial"/>
        </w:rPr>
        <w:t>Table S2: aiWBO main Rostral Caudal Brain Regions simulated</w:t>
      </w:r>
    </w:p>
    <w:tbl>
      <w:tblPr>
        <w:tblStyle w:val="TableGrid"/>
        <w:tblW w:w="0" w:type="auto"/>
        <w:tblLook w:val="04A0" w:firstRow="1" w:lastRow="0" w:firstColumn="1" w:lastColumn="0" w:noHBand="0" w:noVBand="1"/>
      </w:tblPr>
      <w:tblGrid>
        <w:gridCol w:w="4675"/>
        <w:gridCol w:w="4675"/>
      </w:tblGrid>
      <w:tr w:rsidR="00CA7B87" w:rsidRPr="00801EB6" w14:paraId="1A755B0F" w14:textId="77777777" w:rsidTr="00080C6E">
        <w:tc>
          <w:tcPr>
            <w:tcW w:w="4675" w:type="dxa"/>
          </w:tcPr>
          <w:p w14:paraId="1605478B"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Rostral Caudal Brain Regions</w:t>
            </w:r>
          </w:p>
        </w:tc>
        <w:tc>
          <w:tcPr>
            <w:tcW w:w="4675" w:type="dxa"/>
          </w:tcPr>
          <w:p w14:paraId="63965CDC"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Markers</w:t>
            </w:r>
          </w:p>
        </w:tc>
      </w:tr>
      <w:tr w:rsidR="00CA7B87" w:rsidRPr="00801EB6" w14:paraId="07FF47B2" w14:textId="77777777" w:rsidTr="00080C6E">
        <w:tc>
          <w:tcPr>
            <w:tcW w:w="4675" w:type="dxa"/>
          </w:tcPr>
          <w:p w14:paraId="233320F3"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Forebrain (N=11)</w:t>
            </w:r>
          </w:p>
        </w:tc>
        <w:tc>
          <w:tcPr>
            <w:tcW w:w="4675" w:type="dxa"/>
          </w:tcPr>
          <w:p w14:paraId="7B83BD3A"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Emx1, FOXG1, GBX2, HOXA2, MAP2, NGF, Otx2, PAX6, Six3, Tbr-2/Tbr2, TUBB3</w:t>
            </w:r>
          </w:p>
        </w:tc>
      </w:tr>
      <w:tr w:rsidR="00CA7B87" w:rsidRPr="00801EB6" w14:paraId="68BB6692" w14:textId="77777777" w:rsidTr="00080C6E">
        <w:tc>
          <w:tcPr>
            <w:tcW w:w="4675" w:type="dxa"/>
          </w:tcPr>
          <w:p w14:paraId="676E213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Midbrain (N=16)</w:t>
            </w:r>
          </w:p>
        </w:tc>
        <w:tc>
          <w:tcPr>
            <w:tcW w:w="4675" w:type="dxa"/>
          </w:tcPr>
          <w:p w14:paraId="06FE66D3"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GBX2, HOXA2, DOPA decarboxylase, Engrailed-1&amp;2, FOXA2, HOXA3, HOXB3, Irx1/2, Lmx1a, Lmx1b, Otx2, PAX3, PAX5, PAX7, PITX3, Tyrosine hydroxylase/TH</w:t>
            </w:r>
          </w:p>
        </w:tc>
      </w:tr>
      <w:tr w:rsidR="00CA7B87" w:rsidRPr="00801EB6" w14:paraId="27C5D5C2" w14:textId="77777777" w:rsidTr="00080C6E">
        <w:tc>
          <w:tcPr>
            <w:tcW w:w="4675" w:type="dxa"/>
          </w:tcPr>
          <w:p w14:paraId="785AD889"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Hindbrain (N=10)</w:t>
            </w:r>
          </w:p>
        </w:tc>
        <w:tc>
          <w:tcPr>
            <w:tcW w:w="4675" w:type="dxa"/>
          </w:tcPr>
          <w:p w14:paraId="5031F661"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Irx3, EGR2/Krox20, GBX2, HOXA4, HOXB1, ISL1/Isl-1, LHX2/LH2, Lmx1b, PAX2, PAX5</w:t>
            </w:r>
          </w:p>
        </w:tc>
      </w:tr>
    </w:tbl>
    <w:p w14:paraId="6BA64A3E" w14:textId="77777777" w:rsidR="00CA7B87" w:rsidRPr="00801EB6" w:rsidRDefault="00CA7B87" w:rsidP="00CA7B87">
      <w:pPr>
        <w:autoSpaceDE w:val="0"/>
        <w:autoSpaceDN w:val="0"/>
        <w:adjustRightInd w:val="0"/>
        <w:spacing w:after="0" w:line="360" w:lineRule="auto"/>
        <w:jc w:val="both"/>
        <w:rPr>
          <w:rFonts w:ascii="Arial" w:hAnsi="Arial" w:cs="Arial"/>
        </w:rPr>
      </w:pPr>
    </w:p>
    <w:p w14:paraId="657B1366" w14:textId="1AC76D79" w:rsidR="00CA7B87" w:rsidRPr="00801EB6" w:rsidRDefault="00CA7B87" w:rsidP="00CA7B87">
      <w:pPr>
        <w:autoSpaceDE w:val="0"/>
        <w:autoSpaceDN w:val="0"/>
        <w:adjustRightInd w:val="0"/>
        <w:spacing w:after="0" w:line="360" w:lineRule="auto"/>
        <w:jc w:val="both"/>
        <w:rPr>
          <w:rFonts w:ascii="Arial" w:hAnsi="Arial" w:cs="Arial"/>
        </w:rPr>
      </w:pPr>
      <w:r w:rsidRPr="00801EB6">
        <w:rPr>
          <w:rFonts w:ascii="Arial" w:hAnsi="Arial" w:cs="Arial"/>
        </w:rPr>
        <w:t>Table S3: aiWBO main Ventral Dorsal Brain Regions simulated</w:t>
      </w:r>
    </w:p>
    <w:tbl>
      <w:tblPr>
        <w:tblStyle w:val="TableGrid"/>
        <w:tblW w:w="0" w:type="auto"/>
        <w:tblLook w:val="04A0" w:firstRow="1" w:lastRow="0" w:firstColumn="1" w:lastColumn="0" w:noHBand="0" w:noVBand="1"/>
      </w:tblPr>
      <w:tblGrid>
        <w:gridCol w:w="4675"/>
        <w:gridCol w:w="4675"/>
      </w:tblGrid>
      <w:tr w:rsidR="00CA7B87" w:rsidRPr="00801EB6" w14:paraId="3558F097" w14:textId="77777777" w:rsidTr="00080C6E">
        <w:tc>
          <w:tcPr>
            <w:tcW w:w="4675" w:type="dxa"/>
          </w:tcPr>
          <w:p w14:paraId="3DA41908"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Ventral Dorsal Brain Regions</w:t>
            </w:r>
          </w:p>
        </w:tc>
        <w:tc>
          <w:tcPr>
            <w:tcW w:w="4675" w:type="dxa"/>
          </w:tcPr>
          <w:p w14:paraId="5B610DBD"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Markers</w:t>
            </w:r>
          </w:p>
        </w:tc>
      </w:tr>
      <w:tr w:rsidR="00CA7B87" w:rsidRPr="00801EB6" w14:paraId="64D4151C" w14:textId="77777777" w:rsidTr="00080C6E">
        <w:tc>
          <w:tcPr>
            <w:tcW w:w="4675" w:type="dxa"/>
          </w:tcPr>
          <w:p w14:paraId="30129E08"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Ventral Forebrain</w:t>
            </w:r>
          </w:p>
        </w:tc>
        <w:tc>
          <w:tcPr>
            <w:tcW w:w="4675" w:type="dxa"/>
          </w:tcPr>
          <w:p w14:paraId="55457631"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Dlx1/2, FOXG1, GSX2/GSH2, LHX2/LH2, LHX6, NKX-2.1/TITF1, Olig2, Otx2, Six3</w:t>
            </w:r>
          </w:p>
        </w:tc>
      </w:tr>
      <w:tr w:rsidR="00CA7B87" w:rsidRPr="00801EB6" w14:paraId="7F78889A" w14:textId="77777777" w:rsidTr="00080C6E">
        <w:tc>
          <w:tcPr>
            <w:tcW w:w="4675" w:type="dxa"/>
          </w:tcPr>
          <w:p w14:paraId="373AAEC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Pontine Nuclei (Ventral)</w:t>
            </w:r>
          </w:p>
        </w:tc>
        <w:tc>
          <w:tcPr>
            <w:tcW w:w="4675" w:type="dxa"/>
          </w:tcPr>
          <w:p w14:paraId="61511AA8" w14:textId="77777777" w:rsidR="00CA7B87" w:rsidRPr="00801EB6" w:rsidRDefault="00CA7B87" w:rsidP="00080C6E">
            <w:pPr>
              <w:jc w:val="both"/>
              <w:rPr>
                <w:rFonts w:ascii="Arial" w:hAnsi="Arial" w:cs="Arial"/>
                <w:color w:val="000000"/>
              </w:rPr>
            </w:pPr>
            <w:r w:rsidRPr="00801EB6">
              <w:rPr>
                <w:rFonts w:ascii="Arial" w:hAnsi="Arial" w:cs="Arial"/>
                <w:color w:val="000000"/>
              </w:rPr>
              <w:t>PCSK9</w:t>
            </w:r>
          </w:p>
        </w:tc>
      </w:tr>
      <w:tr w:rsidR="00CA7B87" w:rsidRPr="00801EB6" w14:paraId="3A5C9A8A" w14:textId="77777777" w:rsidTr="00080C6E">
        <w:tc>
          <w:tcPr>
            <w:tcW w:w="4675" w:type="dxa"/>
          </w:tcPr>
          <w:p w14:paraId="4E1D7986"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Inferior Olive Complex (Ventral)</w:t>
            </w:r>
          </w:p>
        </w:tc>
        <w:tc>
          <w:tcPr>
            <w:tcW w:w="4675" w:type="dxa"/>
          </w:tcPr>
          <w:p w14:paraId="5BCBF400" w14:textId="77777777" w:rsidR="00CA7B87" w:rsidRPr="00801EB6" w:rsidRDefault="00CA7B87" w:rsidP="00080C6E">
            <w:pPr>
              <w:jc w:val="both"/>
              <w:rPr>
                <w:rFonts w:ascii="Arial" w:hAnsi="Arial" w:cs="Arial"/>
                <w:color w:val="000000"/>
              </w:rPr>
            </w:pPr>
            <w:r w:rsidRPr="00801EB6">
              <w:rPr>
                <w:rFonts w:ascii="Arial" w:hAnsi="Arial" w:cs="Arial"/>
                <w:color w:val="000000"/>
              </w:rPr>
              <w:t xml:space="preserve">Deep Cerebellar Nuclei (-), </w:t>
            </w:r>
            <w:r w:rsidRPr="00801EB6">
              <w:rPr>
                <w:rFonts w:ascii="Arial" w:hAnsi="Arial" w:cs="Arial"/>
              </w:rPr>
              <w:t>Calbindin/CALB1, VGLUT2</w:t>
            </w:r>
          </w:p>
        </w:tc>
      </w:tr>
      <w:tr w:rsidR="00CA7B87" w:rsidRPr="00801EB6" w14:paraId="77ACA675" w14:textId="77777777" w:rsidTr="00080C6E">
        <w:tc>
          <w:tcPr>
            <w:tcW w:w="4675" w:type="dxa"/>
          </w:tcPr>
          <w:p w14:paraId="0DA16140"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Cerebellum (Dorsal Hindbrain)</w:t>
            </w:r>
          </w:p>
        </w:tc>
        <w:tc>
          <w:tcPr>
            <w:tcW w:w="4675" w:type="dxa"/>
          </w:tcPr>
          <w:p w14:paraId="031C81C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Olig2, GAD65, ATOH1, Tbr-1, VGLUT1</w:t>
            </w:r>
          </w:p>
        </w:tc>
      </w:tr>
      <w:tr w:rsidR="00CA7B87" w:rsidRPr="00801EB6" w14:paraId="614DD591" w14:textId="77777777" w:rsidTr="00080C6E">
        <w:trPr>
          <w:trHeight w:val="873"/>
        </w:trPr>
        <w:tc>
          <w:tcPr>
            <w:tcW w:w="4675" w:type="dxa"/>
          </w:tcPr>
          <w:p w14:paraId="357AC28E"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lastRenderedPageBreak/>
              <w:t>Choroid Plexus (Dorsal Forebrain)</w:t>
            </w:r>
          </w:p>
        </w:tc>
        <w:tc>
          <w:tcPr>
            <w:tcW w:w="4675" w:type="dxa"/>
          </w:tcPr>
          <w:p w14:paraId="4186894B"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AQP1, En-1&amp;2/Engrailed-1&amp;2, Epithelial Cells, GBX2, PAX2, RSPO2, TTR/transthyretin</w:t>
            </w:r>
          </w:p>
        </w:tc>
      </w:tr>
      <w:tr w:rsidR="00CA7B87" w:rsidRPr="00801EB6" w14:paraId="5FD67664" w14:textId="77777777" w:rsidTr="00080C6E">
        <w:tc>
          <w:tcPr>
            <w:tcW w:w="4675" w:type="dxa"/>
          </w:tcPr>
          <w:p w14:paraId="0206F4EB"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Deep Cerebellar Nuclei (Dorsal)</w:t>
            </w:r>
          </w:p>
        </w:tc>
        <w:tc>
          <w:tcPr>
            <w:tcW w:w="4675" w:type="dxa"/>
          </w:tcPr>
          <w:p w14:paraId="5FEE9BA8"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Cerebellum-PurL (-), Climbing Fibers, InfOlivaryCplx, Mossy Fibers, Pontine Nucleus</w:t>
            </w:r>
          </w:p>
        </w:tc>
      </w:tr>
      <w:tr w:rsidR="00CA7B87" w:rsidRPr="00801EB6" w14:paraId="39111564" w14:textId="77777777" w:rsidTr="00080C6E">
        <w:tc>
          <w:tcPr>
            <w:tcW w:w="4675" w:type="dxa"/>
          </w:tcPr>
          <w:p w14:paraId="4188BC8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Thalamus (Dorsal Forebrain)</w:t>
            </w:r>
          </w:p>
        </w:tc>
        <w:tc>
          <w:tcPr>
            <w:tcW w:w="4675" w:type="dxa"/>
          </w:tcPr>
          <w:p w14:paraId="35B698C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Calbindin/CALB1, Calretinin/CALB2, Parvalbumin (PV)</w:t>
            </w:r>
          </w:p>
        </w:tc>
      </w:tr>
      <w:tr w:rsidR="00CA7B87" w:rsidRPr="00801EB6" w14:paraId="7A319A55" w14:textId="77777777" w:rsidTr="00080C6E">
        <w:tc>
          <w:tcPr>
            <w:tcW w:w="4675" w:type="dxa"/>
          </w:tcPr>
          <w:p w14:paraId="5F6E6F26"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Hippocampus (Ventral and Dorsal)</w:t>
            </w:r>
          </w:p>
        </w:tc>
        <w:tc>
          <w:tcPr>
            <w:tcW w:w="4675" w:type="dxa"/>
          </w:tcPr>
          <w:p w14:paraId="2AAAEC22"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 xml:space="preserve">FZD9, PROX1, </w:t>
            </w:r>
            <w:r w:rsidRPr="00801EB6">
              <w:rPr>
                <w:rFonts w:ascii="Arial" w:hAnsi="Arial" w:cs="Arial"/>
                <w:color w:val="000000"/>
              </w:rPr>
              <w:t>GABARb, SLC17A7/VGLUT1</w:t>
            </w:r>
          </w:p>
        </w:tc>
      </w:tr>
    </w:tbl>
    <w:p w14:paraId="5BFAA1BE" w14:textId="77777777" w:rsidR="00CA7B87" w:rsidRPr="00801EB6" w:rsidRDefault="00CA7B87" w:rsidP="00CA7B87">
      <w:pPr>
        <w:autoSpaceDE w:val="0"/>
        <w:autoSpaceDN w:val="0"/>
        <w:adjustRightInd w:val="0"/>
        <w:spacing w:after="0" w:line="360" w:lineRule="auto"/>
        <w:jc w:val="both"/>
        <w:rPr>
          <w:rFonts w:ascii="Arial" w:hAnsi="Arial" w:cs="Arial"/>
        </w:rPr>
      </w:pPr>
    </w:p>
    <w:p w14:paraId="391BE165" w14:textId="59E51C52" w:rsidR="00CA7B87" w:rsidRPr="00801EB6" w:rsidRDefault="00CA7B87" w:rsidP="00CA7B87">
      <w:pPr>
        <w:autoSpaceDE w:val="0"/>
        <w:autoSpaceDN w:val="0"/>
        <w:adjustRightInd w:val="0"/>
        <w:spacing w:after="0" w:line="360" w:lineRule="auto"/>
        <w:jc w:val="both"/>
        <w:rPr>
          <w:rFonts w:ascii="Arial" w:hAnsi="Arial" w:cs="Arial"/>
        </w:rPr>
      </w:pPr>
      <w:r w:rsidRPr="00801EB6">
        <w:rPr>
          <w:rFonts w:ascii="Arial" w:hAnsi="Arial" w:cs="Arial"/>
        </w:rPr>
        <w:t>Table S4: aiWBO main Cerebral Cortical Layers simulated</w:t>
      </w:r>
    </w:p>
    <w:tbl>
      <w:tblPr>
        <w:tblStyle w:val="TableGrid"/>
        <w:tblW w:w="0" w:type="auto"/>
        <w:tblLook w:val="04A0" w:firstRow="1" w:lastRow="0" w:firstColumn="1" w:lastColumn="0" w:noHBand="0" w:noVBand="1"/>
      </w:tblPr>
      <w:tblGrid>
        <w:gridCol w:w="4675"/>
        <w:gridCol w:w="4675"/>
      </w:tblGrid>
      <w:tr w:rsidR="00CA7B87" w:rsidRPr="00801EB6" w14:paraId="61054270" w14:textId="77777777" w:rsidTr="00080C6E">
        <w:tc>
          <w:tcPr>
            <w:tcW w:w="4675" w:type="dxa"/>
          </w:tcPr>
          <w:p w14:paraId="7DA2C4B1"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Cerebral Cortical Layers (outer to innermost)</w:t>
            </w:r>
          </w:p>
        </w:tc>
        <w:tc>
          <w:tcPr>
            <w:tcW w:w="4675" w:type="dxa"/>
          </w:tcPr>
          <w:p w14:paraId="6860B4CE"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Markers</w:t>
            </w:r>
          </w:p>
        </w:tc>
      </w:tr>
      <w:tr w:rsidR="00CA7B87" w:rsidRPr="00801EB6" w14:paraId="7682D92C" w14:textId="77777777" w:rsidTr="00080C6E">
        <w:tc>
          <w:tcPr>
            <w:tcW w:w="4675" w:type="dxa"/>
          </w:tcPr>
          <w:p w14:paraId="21D2A957"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1 (N=5)</w:t>
            </w:r>
          </w:p>
        </w:tc>
        <w:tc>
          <w:tcPr>
            <w:tcW w:w="4675" w:type="dxa"/>
          </w:tcPr>
          <w:p w14:paraId="29B7429A"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Calbindin/CALB1, Reelin, Integrin-B1, nNOS/NOS1, Tbr-1/Tbr1</w:t>
            </w:r>
          </w:p>
        </w:tc>
      </w:tr>
      <w:tr w:rsidR="00CA7B87" w:rsidRPr="00801EB6" w14:paraId="5F5D92DB" w14:textId="77777777" w:rsidTr="00080C6E">
        <w:tc>
          <w:tcPr>
            <w:tcW w:w="4675" w:type="dxa"/>
          </w:tcPr>
          <w:p w14:paraId="14D254EA"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2/3 (N=13)</w:t>
            </w:r>
          </w:p>
        </w:tc>
        <w:tc>
          <w:tcPr>
            <w:tcW w:w="4675" w:type="dxa"/>
          </w:tcPr>
          <w:p w14:paraId="64104615"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Alzheimer's Disease (AD) (-), Neurofibrillary Tangles/(NFTs) (-), Calbindin/CALB1, Calretinin/Calb2, NEFH/N200, Reelin, BRN-2/POU3F2, CUX1, LMO4, MAP1b, PCP-2, SATB2, Tbr-1/Tbr1</w:t>
            </w:r>
          </w:p>
        </w:tc>
      </w:tr>
      <w:tr w:rsidR="00CA7B87" w:rsidRPr="00801EB6" w14:paraId="782E741F" w14:textId="77777777" w:rsidTr="00080C6E">
        <w:tc>
          <w:tcPr>
            <w:tcW w:w="4675" w:type="dxa"/>
          </w:tcPr>
          <w:p w14:paraId="23D7C5BC"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4 (N=7)</w:t>
            </w:r>
          </w:p>
        </w:tc>
        <w:tc>
          <w:tcPr>
            <w:tcW w:w="4675" w:type="dxa"/>
          </w:tcPr>
          <w:p w14:paraId="27C97F89"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SATB2, Reelin, CUX1, MAP1b, NECAB1/STIP1, RORbeta, Tbr-1/Tbr1</w:t>
            </w:r>
          </w:p>
        </w:tc>
      </w:tr>
      <w:tr w:rsidR="00CA7B87" w:rsidRPr="00801EB6" w14:paraId="4DB485C7" w14:textId="77777777" w:rsidTr="00080C6E">
        <w:tc>
          <w:tcPr>
            <w:tcW w:w="4675" w:type="dxa"/>
          </w:tcPr>
          <w:p w14:paraId="2929C2CC"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5 (N=16)</w:t>
            </w:r>
          </w:p>
        </w:tc>
        <w:tc>
          <w:tcPr>
            <w:tcW w:w="4675" w:type="dxa"/>
          </w:tcPr>
          <w:p w14:paraId="4222D790"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Neurofibrillary Tangles/(NFTs) (-), BRN-2/POU3F2, Calbindin/CALB1, Calretinin/CALB2, FOXP2, LMO4, TLE4, Reelin, FezF2, SATB2, Ctip2/BCL11B, ETV1/ER81, FOXO1/3, NEFH/N200, Sox5, Tbr-1/Tbr1</w:t>
            </w:r>
          </w:p>
        </w:tc>
      </w:tr>
      <w:tr w:rsidR="00CA7B87" w:rsidRPr="00801EB6" w14:paraId="3095483D" w14:textId="77777777" w:rsidTr="00080C6E">
        <w:tc>
          <w:tcPr>
            <w:tcW w:w="4675" w:type="dxa"/>
          </w:tcPr>
          <w:p w14:paraId="217D14A9"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6 (N=13)</w:t>
            </w:r>
          </w:p>
        </w:tc>
        <w:tc>
          <w:tcPr>
            <w:tcW w:w="4675" w:type="dxa"/>
          </w:tcPr>
          <w:p w14:paraId="568E6A6A"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ETV1/ER81, FezF2, SATB2, Reelin, Ctip2/BCL11B, DARPP-32, FOXP2, MAP1b, NEFH/N200, PCP-2, Sox5, Tbr-1/Tbr1, TLE4</w:t>
            </w:r>
          </w:p>
        </w:tc>
      </w:tr>
    </w:tbl>
    <w:p w14:paraId="6A011CEE" w14:textId="77777777" w:rsidR="00CA7B87" w:rsidRPr="00801EB6" w:rsidRDefault="00CA7B87" w:rsidP="00CA7B87">
      <w:pPr>
        <w:autoSpaceDE w:val="0"/>
        <w:autoSpaceDN w:val="0"/>
        <w:adjustRightInd w:val="0"/>
        <w:spacing w:after="0" w:line="360" w:lineRule="auto"/>
        <w:jc w:val="both"/>
        <w:rPr>
          <w:rFonts w:ascii="Arial" w:hAnsi="Arial" w:cs="Arial"/>
        </w:rPr>
      </w:pPr>
    </w:p>
    <w:p w14:paraId="47BFCF52" w14:textId="5343B704" w:rsidR="00CA7B87" w:rsidRPr="00801EB6" w:rsidRDefault="00CA7B87" w:rsidP="00CA7B87">
      <w:pPr>
        <w:autoSpaceDE w:val="0"/>
        <w:autoSpaceDN w:val="0"/>
        <w:adjustRightInd w:val="0"/>
        <w:spacing w:after="0" w:line="360" w:lineRule="auto"/>
        <w:jc w:val="both"/>
        <w:rPr>
          <w:rFonts w:ascii="Arial" w:hAnsi="Arial" w:cs="Arial"/>
        </w:rPr>
      </w:pPr>
      <w:r w:rsidRPr="00801EB6">
        <w:rPr>
          <w:rFonts w:ascii="Arial" w:hAnsi="Arial" w:cs="Arial"/>
        </w:rPr>
        <w:t>Table S5: aiWBO main Cerebellar Cortical Layers simulated</w:t>
      </w:r>
    </w:p>
    <w:tbl>
      <w:tblPr>
        <w:tblStyle w:val="TableGrid"/>
        <w:tblW w:w="0" w:type="auto"/>
        <w:tblLook w:val="04A0" w:firstRow="1" w:lastRow="0" w:firstColumn="1" w:lastColumn="0" w:noHBand="0" w:noVBand="1"/>
      </w:tblPr>
      <w:tblGrid>
        <w:gridCol w:w="4675"/>
        <w:gridCol w:w="4675"/>
      </w:tblGrid>
      <w:tr w:rsidR="00CA7B87" w:rsidRPr="00801EB6" w14:paraId="3F88890D" w14:textId="77777777" w:rsidTr="00080C6E">
        <w:tc>
          <w:tcPr>
            <w:tcW w:w="4675" w:type="dxa"/>
          </w:tcPr>
          <w:p w14:paraId="2481561B" w14:textId="77777777" w:rsidR="00CA7B87" w:rsidRPr="00801EB6" w:rsidRDefault="00CA7B87" w:rsidP="00080C6E">
            <w:pPr>
              <w:autoSpaceDE w:val="0"/>
              <w:autoSpaceDN w:val="0"/>
              <w:adjustRightInd w:val="0"/>
              <w:spacing w:line="360" w:lineRule="auto"/>
              <w:rPr>
                <w:rFonts w:ascii="Arial" w:hAnsi="Arial" w:cs="Arial"/>
              </w:rPr>
            </w:pPr>
            <w:r w:rsidRPr="00801EB6">
              <w:rPr>
                <w:rFonts w:ascii="Arial" w:hAnsi="Arial" w:cs="Arial"/>
              </w:rPr>
              <w:lastRenderedPageBreak/>
              <w:t>Cerebellar Cortical Layers (outer to innermost)</w:t>
            </w:r>
          </w:p>
        </w:tc>
        <w:tc>
          <w:tcPr>
            <w:tcW w:w="4675" w:type="dxa"/>
          </w:tcPr>
          <w:p w14:paraId="10D11112"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Markers</w:t>
            </w:r>
          </w:p>
        </w:tc>
      </w:tr>
      <w:tr w:rsidR="00CA7B87" w:rsidRPr="00801EB6" w14:paraId="6C598FB5" w14:textId="77777777" w:rsidTr="00080C6E">
        <w:tc>
          <w:tcPr>
            <w:tcW w:w="4675" w:type="dxa"/>
          </w:tcPr>
          <w:p w14:paraId="73FE8353"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1 (Molecular Layer) (N=2)</w:t>
            </w:r>
          </w:p>
        </w:tc>
        <w:tc>
          <w:tcPr>
            <w:tcW w:w="4675" w:type="dxa"/>
          </w:tcPr>
          <w:p w14:paraId="0600EB8F"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GAD67, MX1</w:t>
            </w:r>
          </w:p>
        </w:tc>
      </w:tr>
      <w:tr w:rsidR="00CA7B87" w:rsidRPr="00801EB6" w14:paraId="76EE8ED5" w14:textId="77777777" w:rsidTr="00080C6E">
        <w:tc>
          <w:tcPr>
            <w:tcW w:w="4675" w:type="dxa"/>
          </w:tcPr>
          <w:p w14:paraId="42EB0CE3"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2 (Purkinje Layer) (N=11)</w:t>
            </w:r>
          </w:p>
        </w:tc>
        <w:tc>
          <w:tcPr>
            <w:tcW w:w="4675" w:type="dxa"/>
          </w:tcPr>
          <w:p w14:paraId="4E5A3D4D"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Cerebellum-MolL-StC (-), Cerebellum-PurL-BasC (-), Calbindin/CALB1, GAD67, Astrocytes, Cerebellum-MolL-PFC, Climbing Fibers, MX1, Myosin IIb/MYH10, Parvalbumin (PV), PCP-2</w:t>
            </w:r>
          </w:p>
        </w:tc>
      </w:tr>
      <w:tr w:rsidR="00CA7B87" w:rsidRPr="00801EB6" w14:paraId="2F57D102" w14:textId="77777777" w:rsidTr="00080C6E">
        <w:tc>
          <w:tcPr>
            <w:tcW w:w="4675" w:type="dxa"/>
          </w:tcPr>
          <w:p w14:paraId="38EA75BE"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3 (Granular Layer) (N=5)</w:t>
            </w:r>
          </w:p>
        </w:tc>
        <w:tc>
          <w:tcPr>
            <w:tcW w:w="4675" w:type="dxa"/>
          </w:tcPr>
          <w:p w14:paraId="15B3D750"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Cerebellum-GranL-GolC (-), Mossy Fibers, Neurons, NeuN/RBFOX3, NeuroD1</w:t>
            </w:r>
          </w:p>
        </w:tc>
      </w:tr>
      <w:tr w:rsidR="00CA7B87" w:rsidRPr="00801EB6" w14:paraId="0568E41A" w14:textId="77777777" w:rsidTr="00080C6E">
        <w:tc>
          <w:tcPr>
            <w:tcW w:w="4675" w:type="dxa"/>
          </w:tcPr>
          <w:p w14:paraId="56FA155D"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Layer 4 (White Layer) (N=4)</w:t>
            </w:r>
          </w:p>
        </w:tc>
        <w:tc>
          <w:tcPr>
            <w:tcW w:w="4675" w:type="dxa"/>
          </w:tcPr>
          <w:p w14:paraId="5312703E" w14:textId="77777777" w:rsidR="00CA7B87" w:rsidRPr="00801EB6" w:rsidRDefault="00CA7B87" w:rsidP="00080C6E">
            <w:pPr>
              <w:autoSpaceDE w:val="0"/>
              <w:autoSpaceDN w:val="0"/>
              <w:adjustRightInd w:val="0"/>
              <w:spacing w:line="360" w:lineRule="auto"/>
              <w:jc w:val="both"/>
              <w:rPr>
                <w:rFonts w:ascii="Arial" w:hAnsi="Arial" w:cs="Arial"/>
              </w:rPr>
            </w:pPr>
            <w:r w:rsidRPr="00801EB6">
              <w:rPr>
                <w:rFonts w:ascii="Arial" w:hAnsi="Arial" w:cs="Arial"/>
              </w:rPr>
              <w:t>Oligodendrocytes, MAP2K6/MEK6, Parvalbumin (PV), Plp1</w:t>
            </w:r>
          </w:p>
        </w:tc>
      </w:tr>
    </w:tbl>
    <w:p w14:paraId="3A9E940C" w14:textId="77777777" w:rsidR="00F24F75" w:rsidRPr="00801EB6" w:rsidRDefault="00F24F75" w:rsidP="00F24F75">
      <w:pPr>
        <w:autoSpaceDE w:val="0"/>
        <w:autoSpaceDN w:val="0"/>
        <w:adjustRightInd w:val="0"/>
        <w:spacing w:after="0" w:line="240" w:lineRule="auto"/>
        <w:ind w:left="720"/>
        <w:rPr>
          <w:rFonts w:ascii="Arial" w:hAnsi="Arial" w:cs="Arial"/>
        </w:rPr>
      </w:pPr>
    </w:p>
    <w:p w14:paraId="1F220293" w14:textId="77777777" w:rsidR="00F24F75" w:rsidRPr="00801EB6" w:rsidRDefault="00F24F75" w:rsidP="00F24F75">
      <w:pPr>
        <w:autoSpaceDE w:val="0"/>
        <w:autoSpaceDN w:val="0"/>
        <w:adjustRightInd w:val="0"/>
        <w:spacing w:after="0" w:line="240" w:lineRule="auto"/>
        <w:ind w:left="720"/>
        <w:rPr>
          <w:rFonts w:ascii="Arial" w:hAnsi="Arial" w:cs="Arial"/>
        </w:rPr>
      </w:pPr>
    </w:p>
    <w:p w14:paraId="2C308F68" w14:textId="77777777" w:rsidR="00F24F75" w:rsidRPr="00801EB6" w:rsidRDefault="00F24F75" w:rsidP="00F24F75">
      <w:pPr>
        <w:autoSpaceDE w:val="0"/>
        <w:autoSpaceDN w:val="0"/>
        <w:adjustRightInd w:val="0"/>
        <w:spacing w:after="0" w:line="240" w:lineRule="auto"/>
        <w:ind w:left="720"/>
        <w:rPr>
          <w:rFonts w:ascii="Arial" w:hAnsi="Arial" w:cs="Arial"/>
        </w:rPr>
      </w:pPr>
    </w:p>
    <w:p w14:paraId="6351D586" w14:textId="7330C2A1" w:rsidR="00F24F75" w:rsidRPr="00801EB6" w:rsidRDefault="00F24F75" w:rsidP="00F24F75">
      <w:pPr>
        <w:autoSpaceDE w:val="0"/>
        <w:autoSpaceDN w:val="0"/>
        <w:adjustRightInd w:val="0"/>
        <w:spacing w:after="0" w:line="240" w:lineRule="auto"/>
        <w:jc w:val="both"/>
        <w:rPr>
          <w:rFonts w:ascii="Arial" w:hAnsi="Arial" w:cs="Arial"/>
        </w:rPr>
      </w:pPr>
      <w:r w:rsidRPr="00801EB6">
        <w:rPr>
          <w:rFonts w:ascii="Arial" w:hAnsi="Arial" w:cs="Arial"/>
        </w:rPr>
        <w:t xml:space="preserve">Table </w:t>
      </w:r>
      <w:r w:rsidR="00801EB6" w:rsidRPr="00801EB6">
        <w:rPr>
          <w:rFonts w:ascii="Arial" w:hAnsi="Arial" w:cs="Arial"/>
        </w:rPr>
        <w:t>S6</w:t>
      </w:r>
      <w:r w:rsidRPr="00801EB6">
        <w:rPr>
          <w:rFonts w:ascii="Arial" w:hAnsi="Arial" w:cs="Arial"/>
        </w:rPr>
        <w:t>: Effect on synaptic markers of synaptogenesis and function</w:t>
      </w:r>
    </w:p>
    <w:p w14:paraId="557971C3" w14:textId="77777777" w:rsidR="00F24F75" w:rsidRPr="00801EB6" w:rsidRDefault="00F24F75" w:rsidP="00F24F75">
      <w:pPr>
        <w:autoSpaceDE w:val="0"/>
        <w:autoSpaceDN w:val="0"/>
        <w:adjustRightInd w:val="0"/>
        <w:spacing w:after="0" w:line="240" w:lineRule="auto"/>
        <w:ind w:left="720"/>
        <w:jc w:val="both"/>
        <w:rPr>
          <w:rFonts w:ascii="Arial" w:hAnsi="Arial" w:cs="Arial"/>
        </w:rPr>
      </w:pPr>
    </w:p>
    <w:tbl>
      <w:tblPr>
        <w:tblStyle w:val="TableGrid"/>
        <w:tblW w:w="0" w:type="auto"/>
        <w:tblInd w:w="-5" w:type="dxa"/>
        <w:tblLook w:val="04A0" w:firstRow="1" w:lastRow="0" w:firstColumn="1" w:lastColumn="0" w:noHBand="0" w:noVBand="1"/>
      </w:tblPr>
      <w:tblGrid>
        <w:gridCol w:w="2075"/>
        <w:gridCol w:w="1339"/>
        <w:gridCol w:w="1339"/>
        <w:gridCol w:w="1339"/>
        <w:gridCol w:w="1340"/>
        <w:gridCol w:w="1340"/>
      </w:tblGrid>
      <w:tr w:rsidR="00F24F75" w:rsidRPr="00801EB6" w14:paraId="5AE9702C" w14:textId="77777777" w:rsidTr="00F24F75">
        <w:trPr>
          <w:trHeight w:val="315"/>
        </w:trPr>
        <w:tc>
          <w:tcPr>
            <w:tcW w:w="1933" w:type="dxa"/>
            <w:noWrap/>
            <w:hideMark/>
          </w:tcPr>
          <w:p w14:paraId="2F0E17E3"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Synaptic Marker</w:t>
            </w:r>
          </w:p>
        </w:tc>
        <w:tc>
          <w:tcPr>
            <w:tcW w:w="1339" w:type="dxa"/>
            <w:noWrap/>
            <w:hideMark/>
          </w:tcPr>
          <w:p w14:paraId="4AB73555"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WT-Average</w:t>
            </w:r>
          </w:p>
        </w:tc>
        <w:tc>
          <w:tcPr>
            <w:tcW w:w="1339" w:type="dxa"/>
            <w:noWrap/>
            <w:hideMark/>
          </w:tcPr>
          <w:p w14:paraId="7185DDDC"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WT-±95%CI</w:t>
            </w:r>
          </w:p>
        </w:tc>
        <w:tc>
          <w:tcPr>
            <w:tcW w:w="1339" w:type="dxa"/>
            <w:noWrap/>
            <w:hideMark/>
          </w:tcPr>
          <w:p w14:paraId="379D34E9"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APOE4-Average</w:t>
            </w:r>
          </w:p>
        </w:tc>
        <w:tc>
          <w:tcPr>
            <w:tcW w:w="1340" w:type="dxa"/>
            <w:noWrap/>
            <w:hideMark/>
          </w:tcPr>
          <w:p w14:paraId="2503AF61"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APOE4-±95%CI</w:t>
            </w:r>
          </w:p>
        </w:tc>
        <w:tc>
          <w:tcPr>
            <w:tcW w:w="1340" w:type="dxa"/>
            <w:noWrap/>
            <w:hideMark/>
          </w:tcPr>
          <w:p w14:paraId="196BE2D3"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p value</w:t>
            </w:r>
          </w:p>
        </w:tc>
      </w:tr>
      <w:tr w:rsidR="00F24F75" w:rsidRPr="00801EB6" w14:paraId="0642B4F7" w14:textId="77777777" w:rsidTr="00F24F75">
        <w:trPr>
          <w:trHeight w:val="315"/>
        </w:trPr>
        <w:tc>
          <w:tcPr>
            <w:tcW w:w="1933" w:type="dxa"/>
            <w:noWrap/>
            <w:hideMark/>
          </w:tcPr>
          <w:p w14:paraId="488138AD"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Homer</w:t>
            </w:r>
          </w:p>
        </w:tc>
        <w:tc>
          <w:tcPr>
            <w:tcW w:w="1339" w:type="dxa"/>
            <w:noWrap/>
            <w:hideMark/>
          </w:tcPr>
          <w:p w14:paraId="206825E2"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0.042</w:t>
            </w:r>
          </w:p>
        </w:tc>
        <w:tc>
          <w:tcPr>
            <w:tcW w:w="1339" w:type="dxa"/>
            <w:noWrap/>
            <w:hideMark/>
          </w:tcPr>
          <w:p w14:paraId="56820B31"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0.002</w:t>
            </w:r>
          </w:p>
        </w:tc>
        <w:tc>
          <w:tcPr>
            <w:tcW w:w="1339" w:type="dxa"/>
            <w:noWrap/>
            <w:hideMark/>
          </w:tcPr>
          <w:p w14:paraId="55F44A90"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0.018</w:t>
            </w:r>
          </w:p>
        </w:tc>
        <w:tc>
          <w:tcPr>
            <w:tcW w:w="1340" w:type="dxa"/>
            <w:noWrap/>
            <w:hideMark/>
          </w:tcPr>
          <w:p w14:paraId="17DD6882"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0.005</w:t>
            </w:r>
          </w:p>
        </w:tc>
        <w:tc>
          <w:tcPr>
            <w:tcW w:w="1340" w:type="dxa"/>
            <w:noWrap/>
            <w:hideMark/>
          </w:tcPr>
          <w:p w14:paraId="23FEEFD0"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&lt;0.001</w:t>
            </w:r>
          </w:p>
        </w:tc>
      </w:tr>
      <w:tr w:rsidR="00F24F75" w:rsidRPr="00801EB6" w14:paraId="00BD363B" w14:textId="77777777" w:rsidTr="00F24F75">
        <w:trPr>
          <w:trHeight w:val="315"/>
        </w:trPr>
        <w:tc>
          <w:tcPr>
            <w:tcW w:w="1933" w:type="dxa"/>
            <w:noWrap/>
            <w:hideMark/>
          </w:tcPr>
          <w:p w14:paraId="48251643"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PSD95</w:t>
            </w:r>
          </w:p>
        </w:tc>
        <w:tc>
          <w:tcPr>
            <w:tcW w:w="1339" w:type="dxa"/>
            <w:noWrap/>
            <w:hideMark/>
          </w:tcPr>
          <w:p w14:paraId="51D3DA76"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0.969</w:t>
            </w:r>
          </w:p>
        </w:tc>
        <w:tc>
          <w:tcPr>
            <w:tcW w:w="1339" w:type="dxa"/>
            <w:noWrap/>
            <w:hideMark/>
          </w:tcPr>
          <w:p w14:paraId="4770BDB4"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0.005</w:t>
            </w:r>
          </w:p>
        </w:tc>
        <w:tc>
          <w:tcPr>
            <w:tcW w:w="1339" w:type="dxa"/>
            <w:noWrap/>
            <w:hideMark/>
          </w:tcPr>
          <w:p w14:paraId="4B2A7E41"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0.694</w:t>
            </w:r>
          </w:p>
        </w:tc>
        <w:tc>
          <w:tcPr>
            <w:tcW w:w="1340" w:type="dxa"/>
            <w:noWrap/>
            <w:hideMark/>
          </w:tcPr>
          <w:p w14:paraId="383A519D"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0.204</w:t>
            </w:r>
          </w:p>
        </w:tc>
        <w:tc>
          <w:tcPr>
            <w:tcW w:w="1340" w:type="dxa"/>
            <w:noWrap/>
            <w:hideMark/>
          </w:tcPr>
          <w:p w14:paraId="3059D13F"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&lt;0.05</w:t>
            </w:r>
          </w:p>
        </w:tc>
      </w:tr>
      <w:tr w:rsidR="00F24F75" w:rsidRPr="00801EB6" w14:paraId="1AD10966" w14:textId="77777777" w:rsidTr="00F24F75">
        <w:trPr>
          <w:trHeight w:val="315"/>
        </w:trPr>
        <w:tc>
          <w:tcPr>
            <w:tcW w:w="1933" w:type="dxa"/>
            <w:noWrap/>
            <w:hideMark/>
          </w:tcPr>
          <w:p w14:paraId="75D62ED3"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SLC17A7/VGLUT1</w:t>
            </w:r>
          </w:p>
        </w:tc>
        <w:tc>
          <w:tcPr>
            <w:tcW w:w="1339" w:type="dxa"/>
            <w:noWrap/>
            <w:hideMark/>
          </w:tcPr>
          <w:p w14:paraId="34CF5A1A"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-0.026</w:t>
            </w:r>
          </w:p>
        </w:tc>
        <w:tc>
          <w:tcPr>
            <w:tcW w:w="1339" w:type="dxa"/>
            <w:noWrap/>
            <w:hideMark/>
          </w:tcPr>
          <w:p w14:paraId="11C069CB"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0.037</w:t>
            </w:r>
          </w:p>
        </w:tc>
        <w:tc>
          <w:tcPr>
            <w:tcW w:w="1339" w:type="dxa"/>
            <w:noWrap/>
            <w:hideMark/>
          </w:tcPr>
          <w:p w14:paraId="1DA75C20"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-0.110</w:t>
            </w:r>
          </w:p>
        </w:tc>
        <w:tc>
          <w:tcPr>
            <w:tcW w:w="1340" w:type="dxa"/>
            <w:noWrap/>
            <w:hideMark/>
          </w:tcPr>
          <w:p w14:paraId="38860720"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0.013</w:t>
            </w:r>
          </w:p>
        </w:tc>
        <w:tc>
          <w:tcPr>
            <w:tcW w:w="1340" w:type="dxa"/>
            <w:noWrap/>
            <w:hideMark/>
          </w:tcPr>
          <w:p w14:paraId="08CC25C1"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&lt;0.01</w:t>
            </w:r>
          </w:p>
        </w:tc>
      </w:tr>
      <w:tr w:rsidR="00F24F75" w:rsidRPr="00801EB6" w14:paraId="65D44A2C" w14:textId="77777777" w:rsidTr="00F24F75">
        <w:trPr>
          <w:trHeight w:val="315"/>
        </w:trPr>
        <w:tc>
          <w:tcPr>
            <w:tcW w:w="1933" w:type="dxa"/>
            <w:noWrap/>
            <w:hideMark/>
          </w:tcPr>
          <w:p w14:paraId="60624EF1"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SYN-1/Synapsin1</w:t>
            </w:r>
          </w:p>
        </w:tc>
        <w:tc>
          <w:tcPr>
            <w:tcW w:w="1339" w:type="dxa"/>
            <w:noWrap/>
            <w:hideMark/>
          </w:tcPr>
          <w:p w14:paraId="367B58EE"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0.968</w:t>
            </w:r>
          </w:p>
        </w:tc>
        <w:tc>
          <w:tcPr>
            <w:tcW w:w="1339" w:type="dxa"/>
            <w:noWrap/>
            <w:hideMark/>
          </w:tcPr>
          <w:p w14:paraId="350F7316"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0.002</w:t>
            </w:r>
          </w:p>
        </w:tc>
        <w:tc>
          <w:tcPr>
            <w:tcW w:w="1339" w:type="dxa"/>
            <w:noWrap/>
            <w:hideMark/>
          </w:tcPr>
          <w:p w14:paraId="2CBED78E"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0.976</w:t>
            </w:r>
          </w:p>
        </w:tc>
        <w:tc>
          <w:tcPr>
            <w:tcW w:w="1340" w:type="dxa"/>
            <w:noWrap/>
            <w:hideMark/>
          </w:tcPr>
          <w:p w14:paraId="30601DC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0.000</w:t>
            </w:r>
          </w:p>
        </w:tc>
        <w:tc>
          <w:tcPr>
            <w:tcW w:w="1340" w:type="dxa"/>
            <w:noWrap/>
            <w:hideMark/>
          </w:tcPr>
          <w:p w14:paraId="72634829"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&lt;0.001</w:t>
            </w:r>
          </w:p>
        </w:tc>
      </w:tr>
      <w:tr w:rsidR="00F24F75" w:rsidRPr="00801EB6" w14:paraId="5641DF74" w14:textId="77777777" w:rsidTr="00F24F75">
        <w:trPr>
          <w:trHeight w:val="315"/>
        </w:trPr>
        <w:tc>
          <w:tcPr>
            <w:tcW w:w="1933" w:type="dxa"/>
            <w:noWrap/>
            <w:hideMark/>
          </w:tcPr>
          <w:p w14:paraId="1C2E6ECD"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Synaptic dysfunction</w:t>
            </w:r>
          </w:p>
        </w:tc>
        <w:tc>
          <w:tcPr>
            <w:tcW w:w="1339" w:type="dxa"/>
            <w:noWrap/>
            <w:hideMark/>
          </w:tcPr>
          <w:p w14:paraId="3C5D68C4"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-0.998</w:t>
            </w:r>
          </w:p>
        </w:tc>
        <w:tc>
          <w:tcPr>
            <w:tcW w:w="1339" w:type="dxa"/>
            <w:noWrap/>
            <w:hideMark/>
          </w:tcPr>
          <w:p w14:paraId="66890D2E"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0.001</w:t>
            </w:r>
          </w:p>
        </w:tc>
        <w:tc>
          <w:tcPr>
            <w:tcW w:w="1339" w:type="dxa"/>
            <w:noWrap/>
            <w:hideMark/>
          </w:tcPr>
          <w:p w14:paraId="32CB7FB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0.696</w:t>
            </w:r>
          </w:p>
        </w:tc>
        <w:tc>
          <w:tcPr>
            <w:tcW w:w="1340" w:type="dxa"/>
            <w:noWrap/>
            <w:hideMark/>
          </w:tcPr>
          <w:p w14:paraId="43EF7FCC"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0.051</w:t>
            </w:r>
          </w:p>
        </w:tc>
        <w:tc>
          <w:tcPr>
            <w:tcW w:w="1340" w:type="dxa"/>
            <w:noWrap/>
            <w:hideMark/>
          </w:tcPr>
          <w:p w14:paraId="560699AA"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&lt;0.001</w:t>
            </w:r>
          </w:p>
        </w:tc>
      </w:tr>
      <w:tr w:rsidR="00F24F75" w:rsidRPr="00801EB6" w14:paraId="4C271056" w14:textId="77777777" w:rsidTr="00F24F75">
        <w:trPr>
          <w:trHeight w:val="315"/>
        </w:trPr>
        <w:tc>
          <w:tcPr>
            <w:tcW w:w="1933" w:type="dxa"/>
            <w:noWrap/>
            <w:hideMark/>
          </w:tcPr>
          <w:p w14:paraId="38265708"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Synaptic plasticity</w:t>
            </w:r>
          </w:p>
        </w:tc>
        <w:tc>
          <w:tcPr>
            <w:tcW w:w="1339" w:type="dxa"/>
            <w:noWrap/>
            <w:hideMark/>
          </w:tcPr>
          <w:p w14:paraId="31E5AB5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1.000</w:t>
            </w:r>
          </w:p>
        </w:tc>
        <w:tc>
          <w:tcPr>
            <w:tcW w:w="1339" w:type="dxa"/>
            <w:noWrap/>
            <w:hideMark/>
          </w:tcPr>
          <w:p w14:paraId="52EB15DA"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0.000</w:t>
            </w:r>
          </w:p>
        </w:tc>
        <w:tc>
          <w:tcPr>
            <w:tcW w:w="1339" w:type="dxa"/>
            <w:noWrap/>
            <w:hideMark/>
          </w:tcPr>
          <w:p w14:paraId="1FB21F9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0.999</w:t>
            </w:r>
          </w:p>
        </w:tc>
        <w:tc>
          <w:tcPr>
            <w:tcW w:w="1340" w:type="dxa"/>
            <w:noWrap/>
            <w:hideMark/>
          </w:tcPr>
          <w:p w14:paraId="0F72C411"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0.000</w:t>
            </w:r>
          </w:p>
        </w:tc>
        <w:tc>
          <w:tcPr>
            <w:tcW w:w="1340" w:type="dxa"/>
            <w:noWrap/>
            <w:hideMark/>
          </w:tcPr>
          <w:p w14:paraId="40D87C58"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&lt;0.001</w:t>
            </w:r>
          </w:p>
        </w:tc>
      </w:tr>
      <w:tr w:rsidR="00F24F75" w:rsidRPr="00801EB6" w14:paraId="4FE78900" w14:textId="77777777" w:rsidTr="00F24F75">
        <w:trPr>
          <w:trHeight w:val="315"/>
        </w:trPr>
        <w:tc>
          <w:tcPr>
            <w:tcW w:w="1933" w:type="dxa"/>
            <w:noWrap/>
            <w:hideMark/>
          </w:tcPr>
          <w:p w14:paraId="11AAA151"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Synaptogenesis</w:t>
            </w:r>
          </w:p>
        </w:tc>
        <w:tc>
          <w:tcPr>
            <w:tcW w:w="1339" w:type="dxa"/>
            <w:noWrap/>
            <w:hideMark/>
          </w:tcPr>
          <w:p w14:paraId="59FB4D62"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0.828</w:t>
            </w:r>
          </w:p>
        </w:tc>
        <w:tc>
          <w:tcPr>
            <w:tcW w:w="1339" w:type="dxa"/>
            <w:noWrap/>
            <w:hideMark/>
          </w:tcPr>
          <w:p w14:paraId="18D481D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0.026</w:t>
            </w:r>
          </w:p>
        </w:tc>
        <w:tc>
          <w:tcPr>
            <w:tcW w:w="1339" w:type="dxa"/>
            <w:noWrap/>
            <w:hideMark/>
          </w:tcPr>
          <w:p w14:paraId="2B85FBC2"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0.117</w:t>
            </w:r>
          </w:p>
        </w:tc>
        <w:tc>
          <w:tcPr>
            <w:tcW w:w="1340" w:type="dxa"/>
            <w:noWrap/>
            <w:hideMark/>
          </w:tcPr>
          <w:p w14:paraId="4E181578" w14:textId="77777777" w:rsidR="00F24F75" w:rsidRPr="00801EB6" w:rsidRDefault="00F24F75" w:rsidP="00080C6E">
            <w:pPr>
              <w:jc w:val="right"/>
              <w:rPr>
                <w:rFonts w:ascii="Arial" w:eastAsia="Times New Roman" w:hAnsi="Arial" w:cs="Arial"/>
                <w:color w:val="000000"/>
                <w:lang w:eastAsia="en-CA"/>
              </w:rPr>
            </w:pPr>
            <w:r w:rsidRPr="00801EB6">
              <w:rPr>
                <w:rFonts w:ascii="Arial" w:eastAsia="Times New Roman" w:hAnsi="Arial" w:cs="Arial"/>
                <w:color w:val="000000"/>
                <w:lang w:eastAsia="en-CA"/>
              </w:rPr>
              <w:t>0.045</w:t>
            </w:r>
          </w:p>
        </w:tc>
        <w:tc>
          <w:tcPr>
            <w:tcW w:w="1340" w:type="dxa"/>
            <w:noWrap/>
            <w:hideMark/>
          </w:tcPr>
          <w:p w14:paraId="0CFC8E30" w14:textId="77777777" w:rsidR="00F24F75" w:rsidRPr="00801EB6" w:rsidRDefault="00F24F75" w:rsidP="00080C6E">
            <w:pPr>
              <w:rPr>
                <w:rFonts w:ascii="Arial" w:eastAsia="Times New Roman" w:hAnsi="Arial" w:cs="Arial"/>
                <w:color w:val="000000"/>
                <w:lang w:eastAsia="en-CA"/>
              </w:rPr>
            </w:pPr>
            <w:r w:rsidRPr="00801EB6">
              <w:rPr>
                <w:rFonts w:ascii="Arial" w:eastAsia="Times New Roman" w:hAnsi="Arial" w:cs="Arial"/>
                <w:color w:val="000000"/>
                <w:lang w:eastAsia="en-CA"/>
              </w:rPr>
              <w:t>&lt;0.001</w:t>
            </w:r>
          </w:p>
        </w:tc>
      </w:tr>
    </w:tbl>
    <w:p w14:paraId="76EBC8E2" w14:textId="1C3C3BFA" w:rsidR="008A01EC" w:rsidRDefault="008A01EC">
      <w:pPr>
        <w:rPr>
          <w:rFonts w:ascii="Arial" w:hAnsi="Arial" w:cs="Arial"/>
        </w:rPr>
      </w:pPr>
    </w:p>
    <w:p w14:paraId="4DD59746" w14:textId="77777777" w:rsidR="008A01EC" w:rsidRDefault="008A01EC">
      <w:pPr>
        <w:rPr>
          <w:rFonts w:ascii="Arial" w:hAnsi="Arial" w:cs="Arial"/>
        </w:rPr>
      </w:pPr>
      <w:r>
        <w:rPr>
          <w:rFonts w:ascii="Arial" w:hAnsi="Arial" w:cs="Arial"/>
        </w:rPr>
        <w:br w:type="page"/>
      </w:r>
    </w:p>
    <w:p w14:paraId="16192DC7" w14:textId="77777777" w:rsidR="008A01EC" w:rsidRPr="004B0D11" w:rsidRDefault="008A01EC" w:rsidP="008A01EC">
      <w:pPr>
        <w:autoSpaceDE w:val="0"/>
        <w:autoSpaceDN w:val="0"/>
        <w:adjustRightInd w:val="0"/>
        <w:spacing w:after="0" w:line="240" w:lineRule="auto"/>
        <w:rPr>
          <w:rFonts w:ascii="Times New Roman" w:hAnsi="Times New Roman" w:cs="Times New Roman"/>
          <w:color w:val="131413"/>
          <w:sz w:val="24"/>
          <w:szCs w:val="24"/>
        </w:rPr>
      </w:pPr>
      <w:r w:rsidRPr="004B0D11">
        <w:rPr>
          <w:rFonts w:ascii="Times New Roman" w:hAnsi="Times New Roman" w:cs="Times New Roman"/>
          <w:color w:val="131413"/>
          <w:sz w:val="24"/>
          <w:szCs w:val="24"/>
        </w:rPr>
        <w:lastRenderedPageBreak/>
        <w:t xml:space="preserve">Appendix 1: </w:t>
      </w:r>
      <w:r>
        <w:rPr>
          <w:rFonts w:ascii="Times New Roman" w:hAnsi="Times New Roman" w:cs="Times New Roman"/>
          <w:color w:val="131413"/>
          <w:sz w:val="24"/>
          <w:szCs w:val="24"/>
        </w:rPr>
        <w:t>Transparency statement about h</w:t>
      </w:r>
      <w:r w:rsidRPr="004B0D11">
        <w:rPr>
          <w:rFonts w:ascii="Times New Roman" w:hAnsi="Times New Roman" w:cs="Times New Roman"/>
          <w:color w:val="131413"/>
          <w:sz w:val="24"/>
          <w:szCs w:val="24"/>
        </w:rPr>
        <w:t xml:space="preserve">ow </w:t>
      </w:r>
      <w:r>
        <w:rPr>
          <w:rFonts w:ascii="Times New Roman" w:hAnsi="Times New Roman" w:cs="Times New Roman"/>
          <w:color w:val="131413"/>
          <w:sz w:val="24"/>
          <w:szCs w:val="24"/>
        </w:rPr>
        <w:t>123Genetix creates</w:t>
      </w:r>
      <w:r w:rsidRPr="004B0D11">
        <w:rPr>
          <w:rFonts w:ascii="Times New Roman" w:hAnsi="Times New Roman" w:cs="Times New Roman"/>
          <w:color w:val="131413"/>
          <w:sz w:val="24"/>
          <w:szCs w:val="24"/>
        </w:rPr>
        <w:t xml:space="preserve"> artificially induced pluripotent stem cell (</w:t>
      </w:r>
      <w:proofErr w:type="spellStart"/>
      <w:r w:rsidRPr="004B0D11">
        <w:rPr>
          <w:rFonts w:ascii="Times New Roman" w:hAnsi="Times New Roman" w:cs="Times New Roman"/>
          <w:color w:val="131413"/>
          <w:sz w:val="24"/>
          <w:szCs w:val="24"/>
        </w:rPr>
        <w:t>aiPSC</w:t>
      </w:r>
      <w:proofErr w:type="spellEnd"/>
      <w:r w:rsidRPr="004B0D11">
        <w:rPr>
          <w:rFonts w:ascii="Times New Roman" w:hAnsi="Times New Roman" w:cs="Times New Roman"/>
          <w:color w:val="131413"/>
          <w:sz w:val="24"/>
          <w:szCs w:val="24"/>
        </w:rPr>
        <w:t>)</w:t>
      </w:r>
      <w:r>
        <w:rPr>
          <w:rFonts w:ascii="Times New Roman" w:hAnsi="Times New Roman" w:cs="Times New Roman"/>
          <w:color w:val="131413"/>
          <w:sz w:val="24"/>
          <w:szCs w:val="24"/>
        </w:rPr>
        <w:t xml:space="preserve"> simulations</w:t>
      </w:r>
    </w:p>
    <w:p w14:paraId="5EFDDA7F" w14:textId="77777777" w:rsidR="008A01EC" w:rsidRPr="004B0D11" w:rsidRDefault="008A01EC" w:rsidP="008A01EC">
      <w:pPr>
        <w:tabs>
          <w:tab w:val="left" w:pos="5890"/>
        </w:tabs>
        <w:autoSpaceDE w:val="0"/>
        <w:autoSpaceDN w:val="0"/>
        <w:adjustRightInd w:val="0"/>
        <w:spacing w:after="0" w:line="240" w:lineRule="auto"/>
        <w:rPr>
          <w:rFonts w:ascii="Times New Roman" w:hAnsi="Times New Roman" w:cs="Times New Roman"/>
          <w:color w:val="131413"/>
          <w:sz w:val="24"/>
          <w:szCs w:val="24"/>
        </w:rPr>
      </w:pPr>
      <w:r>
        <w:rPr>
          <w:rFonts w:ascii="Times New Roman" w:hAnsi="Times New Roman" w:cs="Times New Roman"/>
          <w:color w:val="131413"/>
          <w:sz w:val="24"/>
          <w:szCs w:val="24"/>
        </w:rPr>
        <w:tab/>
      </w:r>
    </w:p>
    <w:p w14:paraId="4BB4249C"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platform (v. </w:t>
      </w:r>
      <w:r>
        <w:rPr>
          <w:rFonts w:ascii="Times New Roman" w:hAnsi="Times New Roman" w:cs="Times New Roman"/>
          <w:color w:val="131413"/>
          <w:sz w:val="24"/>
          <w:szCs w:val="24"/>
        </w:rPr>
        <w:t>6.1</w:t>
      </w:r>
      <w:r w:rsidRPr="004B0D11">
        <w:rPr>
          <w:rFonts w:ascii="Times New Roman" w:hAnsi="Times New Roman" w:cs="Times New Roman"/>
          <w:color w:val="131413"/>
          <w:sz w:val="24"/>
          <w:szCs w:val="24"/>
        </w:rPr>
        <w:t>)</w:t>
      </w:r>
    </w:p>
    <w:p w14:paraId="58ED52C8"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We have developed a novel hybrid deep-machine learning platform employing a fully connected recurrent neural network (RNN) like architecture in which each of the inputs is connected to its output nodes (feedforward neurons) and each of the output nodes is also connected back to their input nodes (feedback neurons). There are at least two major benefits of using this network architecture. First, RNN can use the feedback neurons connections to store information over time and develop “memory”. Second, RNN networks can handle sequential data of arbitrary length [</w:t>
      </w:r>
      <w:r w:rsidRPr="004B0D11">
        <w:rPr>
          <w:rFonts w:ascii="Times New Roman" w:hAnsi="Times New Roman" w:cs="Times New Roman"/>
          <w:color w:val="0000FF"/>
          <w:sz w:val="24"/>
          <w:szCs w:val="24"/>
        </w:rPr>
        <w:t>1</w:t>
      </w:r>
      <w:r w:rsidRPr="004B0D11">
        <w:rPr>
          <w:rFonts w:ascii="Times New Roman" w:hAnsi="Times New Roman" w:cs="Times New Roman"/>
          <w:color w:val="131413"/>
          <w:sz w:val="24"/>
          <w:szCs w:val="24"/>
        </w:rPr>
        <w:t xml:space="preserve">]. For example, RNN can be programmed to simulate the relationship of a specific gene/protein/phenotypic concept to another gene/protein/phenotypic concept (one to one), gene/protein/phenotypic concept to multiple genes/proteins/phenotypic concepts (one to many), multiple genes/proteins/phenotypic concepts to one gene/protein/phenotypic concept (many to one) and multiple genes/proteins/phenotypic concepts to different multiple genes/proteins/phenotypic concepts (many to many). Our RNN like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network was developed with one network processing layer for each input to promote complex learning and analysis of how different genes and pathways are potentially regulated in embryonic and reprogrammed somatic cells in key signaling pathways. Here we have used </w:t>
      </w:r>
      <w:r>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DeepNEU</w:t>
      </w:r>
      <w:proofErr w:type="spellEnd"/>
      <w:r>
        <w:rPr>
          <w:rFonts w:ascii="Times New Roman" w:hAnsi="Times New Roman" w:cs="Times New Roman"/>
          <w:color w:val="131413"/>
          <w:sz w:val="24"/>
          <w:szCs w:val="24"/>
        </w:rPr>
        <w:t xml:space="preserve"> platform</w:t>
      </w:r>
      <w:r w:rsidRPr="004B0D11">
        <w:rPr>
          <w:rFonts w:ascii="Times New Roman" w:hAnsi="Times New Roman" w:cs="Times New Roman"/>
          <w:color w:val="131413"/>
          <w:sz w:val="24"/>
          <w:szCs w:val="24"/>
        </w:rPr>
        <w:t xml:space="preserve"> to simulate </w:t>
      </w:r>
      <w:proofErr w:type="spellStart"/>
      <w:r w:rsidRPr="004B0D11">
        <w:rPr>
          <w:rFonts w:ascii="Times New Roman" w:hAnsi="Times New Roman" w:cs="Times New Roman"/>
          <w:color w:val="131413"/>
          <w:sz w:val="24"/>
          <w:szCs w:val="24"/>
        </w:rPr>
        <w:t>aiPSCs</w:t>
      </w:r>
      <w:proofErr w:type="spellEnd"/>
      <w:r w:rsidRPr="004B0D11">
        <w:rPr>
          <w:rFonts w:ascii="Times New Roman" w:hAnsi="Times New Roman" w:cs="Times New Roman"/>
          <w:color w:val="131413"/>
          <w:sz w:val="24"/>
          <w:szCs w:val="24"/>
        </w:rPr>
        <w:t xml:space="preserve"> by using defined sets of reprogramming factors (genes/proteins were turned on or off based on the modeled iPSCs). </w:t>
      </w:r>
    </w:p>
    <w:p w14:paraId="238DA1E4"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p>
    <w:p w14:paraId="0B887C80"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The Dataset</w:t>
      </w:r>
    </w:p>
    <w:p w14:paraId="0E1CF7B8"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We have incorporated into 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database key genes/proteins/phenotypic concepts that were reported to be involved in regulating and maintaining signaling pathways in human embryonic stem cells (</w:t>
      </w:r>
      <w:proofErr w:type="spellStart"/>
      <w:r w:rsidRPr="004B0D11">
        <w:rPr>
          <w:rFonts w:ascii="Times New Roman" w:hAnsi="Times New Roman" w:cs="Times New Roman"/>
          <w:color w:val="131413"/>
          <w:sz w:val="24"/>
          <w:szCs w:val="24"/>
        </w:rPr>
        <w:t>hESCs</w:t>
      </w:r>
      <w:proofErr w:type="spellEnd"/>
      <w:r w:rsidRPr="004B0D11">
        <w:rPr>
          <w:rFonts w:ascii="Times New Roman" w:hAnsi="Times New Roman" w:cs="Times New Roman"/>
          <w:color w:val="131413"/>
          <w:sz w:val="24"/>
          <w:szCs w:val="24"/>
        </w:rPr>
        <w:t>) and induced human pluripotent stem cells (</w:t>
      </w:r>
      <w:proofErr w:type="spellStart"/>
      <w:r w:rsidRPr="004B0D11">
        <w:rPr>
          <w:rFonts w:ascii="Times New Roman" w:hAnsi="Times New Roman" w:cs="Times New Roman"/>
          <w:color w:val="131413"/>
          <w:sz w:val="24"/>
          <w:szCs w:val="24"/>
        </w:rPr>
        <w:t>hiPSCs</w:t>
      </w:r>
      <w:proofErr w:type="spellEnd"/>
      <w:r w:rsidRPr="004B0D11">
        <w:rPr>
          <w:rFonts w:ascii="Times New Roman" w:hAnsi="Times New Roman" w:cs="Times New Roman"/>
          <w:color w:val="131413"/>
          <w:sz w:val="24"/>
          <w:szCs w:val="24"/>
        </w:rPr>
        <w:t xml:space="preserve">). We have gathered genes/proteins/phenotypic concepts based on literature reports that extensively studied cellular pathways of </w:t>
      </w:r>
      <w:proofErr w:type="spellStart"/>
      <w:r w:rsidRPr="004B0D11">
        <w:rPr>
          <w:rFonts w:ascii="Times New Roman" w:hAnsi="Times New Roman" w:cs="Times New Roman"/>
          <w:color w:val="131413"/>
          <w:sz w:val="24"/>
          <w:szCs w:val="24"/>
        </w:rPr>
        <w:t>hESC</w:t>
      </w:r>
      <w:proofErr w:type="spellEnd"/>
      <w:r w:rsidRPr="004B0D11">
        <w:rPr>
          <w:rFonts w:ascii="Times New Roman" w:hAnsi="Times New Roman" w:cs="Times New Roman"/>
          <w:color w:val="131413"/>
          <w:sz w:val="24"/>
          <w:szCs w:val="24"/>
        </w:rPr>
        <w:t xml:space="preserve"> and/or </w:t>
      </w:r>
      <w:proofErr w:type="spellStart"/>
      <w:r w:rsidRPr="004B0D11">
        <w:rPr>
          <w:rFonts w:ascii="Times New Roman" w:hAnsi="Times New Roman" w:cs="Times New Roman"/>
          <w:color w:val="131413"/>
          <w:sz w:val="24"/>
          <w:szCs w:val="24"/>
        </w:rPr>
        <w:t>hiPSC</w:t>
      </w:r>
      <w:proofErr w:type="spellEnd"/>
      <w:r w:rsidRPr="004B0D11">
        <w:rPr>
          <w:rFonts w:ascii="Times New Roman" w:hAnsi="Times New Roman" w:cs="Times New Roman"/>
          <w:color w:val="131413"/>
          <w:sz w:val="24"/>
          <w:szCs w:val="24"/>
        </w:rPr>
        <w:t xml:space="preserve"> [</w:t>
      </w:r>
      <w:r w:rsidRPr="004B0D11">
        <w:rPr>
          <w:rFonts w:ascii="Times New Roman" w:hAnsi="Times New Roman" w:cs="Times New Roman"/>
          <w:color w:val="0000FF"/>
          <w:sz w:val="24"/>
          <w:szCs w:val="24"/>
        </w:rPr>
        <w:t>2</w:t>
      </w:r>
      <w:r w:rsidRPr="004B0D11">
        <w:rPr>
          <w:rFonts w:ascii="Times New Roman" w:hAnsi="Times New Roman" w:cs="Times New Roman"/>
          <w:color w:val="131413"/>
          <w:sz w:val="24"/>
          <w:szCs w:val="24"/>
        </w:rPr>
        <w:t>–</w:t>
      </w:r>
      <w:r w:rsidRPr="004B0D11">
        <w:rPr>
          <w:rFonts w:ascii="Times New Roman" w:hAnsi="Times New Roman" w:cs="Times New Roman"/>
          <w:color w:val="0000FF"/>
          <w:sz w:val="24"/>
          <w:szCs w:val="24"/>
        </w:rPr>
        <w:t>11</w:t>
      </w:r>
      <w:r w:rsidRPr="004B0D11">
        <w:rPr>
          <w:rFonts w:ascii="Times New Roman" w:hAnsi="Times New Roman" w:cs="Times New Roman"/>
          <w:color w:val="131413"/>
          <w:sz w:val="24"/>
          <w:szCs w:val="24"/>
        </w:rPr>
        <w:t xml:space="preserve">]. Abundant data were available. As of this writing, a PubMed </w:t>
      </w:r>
      <w:r>
        <w:rPr>
          <w:rFonts w:ascii="Times New Roman" w:hAnsi="Times New Roman" w:cs="Times New Roman"/>
          <w:color w:val="131413"/>
          <w:sz w:val="24"/>
          <w:szCs w:val="24"/>
        </w:rPr>
        <w:t xml:space="preserve">Central </w:t>
      </w:r>
      <w:r w:rsidRPr="004B0D11">
        <w:rPr>
          <w:rFonts w:ascii="Times New Roman" w:hAnsi="Times New Roman" w:cs="Times New Roman"/>
          <w:color w:val="131413"/>
          <w:sz w:val="24"/>
          <w:szCs w:val="24"/>
        </w:rPr>
        <w:t xml:space="preserve">(PMC) search of the literature with “stem cells” returned more than </w:t>
      </w:r>
      <w:r>
        <w:rPr>
          <w:rFonts w:ascii="Times New Roman" w:hAnsi="Times New Roman" w:cs="Times New Roman"/>
          <w:color w:val="131413"/>
          <w:sz w:val="24"/>
          <w:szCs w:val="24"/>
        </w:rPr>
        <w:t>697,000</w:t>
      </w:r>
      <w:r w:rsidRPr="004B0D11">
        <w:rPr>
          <w:rFonts w:ascii="Times New Roman" w:hAnsi="Times New Roman" w:cs="Times New Roman"/>
          <w:color w:val="131413"/>
          <w:sz w:val="24"/>
          <w:szCs w:val="24"/>
        </w:rPr>
        <w:t xml:space="preserve"> hits. A more focused query using “stem cell signaling”, returned more than 4</w:t>
      </w:r>
      <w:r>
        <w:rPr>
          <w:rFonts w:ascii="Times New Roman" w:hAnsi="Times New Roman" w:cs="Times New Roman"/>
          <w:color w:val="131413"/>
          <w:sz w:val="24"/>
          <w:szCs w:val="24"/>
        </w:rPr>
        <w:t>05,600</w:t>
      </w:r>
      <w:r w:rsidRPr="004B0D11">
        <w:rPr>
          <w:rFonts w:ascii="Times New Roman" w:hAnsi="Times New Roman" w:cs="Times New Roman"/>
          <w:color w:val="131413"/>
          <w:sz w:val="24"/>
          <w:szCs w:val="24"/>
        </w:rPr>
        <w:t xml:space="preserve">,020 hits. The data that were included in 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database were selected with a preference for (1) human stem cell data, (2) recency of peer reviewed English language publications and (3) highest impact factors of the journals under consideration. To that end, the data was used to create a </w:t>
      </w:r>
      <w:r>
        <w:rPr>
          <w:rFonts w:ascii="Times New Roman" w:hAnsi="Times New Roman" w:cs="Times New Roman"/>
          <w:color w:val="131413"/>
          <w:sz w:val="24"/>
          <w:szCs w:val="24"/>
        </w:rPr>
        <w:t>database</w:t>
      </w:r>
      <w:r w:rsidRPr="004B0D11">
        <w:rPr>
          <w:rFonts w:ascii="Times New Roman" w:hAnsi="Times New Roman" w:cs="Times New Roman"/>
          <w:color w:val="131413"/>
          <w:sz w:val="24"/>
          <w:szCs w:val="24"/>
        </w:rPr>
        <w:t xml:space="preserve"> of important genes/proteins/phenotypic concepts </w:t>
      </w:r>
      <w:r>
        <w:rPr>
          <w:rFonts w:ascii="Times New Roman" w:hAnsi="Times New Roman" w:cs="Times New Roman"/>
          <w:color w:val="131413"/>
          <w:sz w:val="24"/>
          <w:szCs w:val="24"/>
        </w:rPr>
        <w:t xml:space="preserve">and relationships </w:t>
      </w:r>
      <w:r w:rsidRPr="004B0D11">
        <w:rPr>
          <w:rFonts w:ascii="Times New Roman" w:hAnsi="Times New Roman" w:cs="Times New Roman"/>
          <w:color w:val="131413"/>
          <w:sz w:val="24"/>
          <w:szCs w:val="24"/>
        </w:rPr>
        <w:t xml:space="preserve">based on the documented contributions to human stem cell signaling pathways. The current version of the database (v. </w:t>
      </w:r>
      <w:r>
        <w:rPr>
          <w:rFonts w:ascii="Times New Roman" w:hAnsi="Times New Roman" w:cs="Times New Roman"/>
          <w:color w:val="131413"/>
          <w:sz w:val="24"/>
          <w:szCs w:val="24"/>
        </w:rPr>
        <w:t>6.1</w:t>
      </w:r>
      <w:r w:rsidRPr="004B0D11">
        <w:rPr>
          <w:rFonts w:ascii="Times New Roman" w:hAnsi="Times New Roman" w:cs="Times New Roman"/>
          <w:color w:val="131413"/>
          <w:sz w:val="24"/>
          <w:szCs w:val="24"/>
        </w:rPr>
        <w:t xml:space="preserve">) includes </w:t>
      </w:r>
      <w:r>
        <w:rPr>
          <w:rFonts w:ascii="Times New Roman" w:hAnsi="Times New Roman" w:cs="Times New Roman"/>
          <w:color w:val="131413"/>
          <w:sz w:val="24"/>
          <w:szCs w:val="24"/>
        </w:rPr>
        <w:t>4516</w:t>
      </w:r>
      <w:r w:rsidRPr="004B0D11">
        <w:rPr>
          <w:rFonts w:ascii="Times New Roman" w:hAnsi="Times New Roman" w:cs="Times New Roman"/>
          <w:color w:val="131413"/>
          <w:sz w:val="24"/>
          <w:szCs w:val="24"/>
        </w:rPr>
        <w:t xml:space="preserve"> genes/proteins/phenotypic concepts (inputs) involved in </w:t>
      </w:r>
      <w:proofErr w:type="spellStart"/>
      <w:r w:rsidRPr="004B0D11">
        <w:rPr>
          <w:rFonts w:ascii="Times New Roman" w:hAnsi="Times New Roman" w:cs="Times New Roman"/>
          <w:color w:val="131413"/>
          <w:sz w:val="24"/>
          <w:szCs w:val="24"/>
        </w:rPr>
        <w:t>hESC</w:t>
      </w:r>
      <w:proofErr w:type="spellEnd"/>
      <w:r w:rsidRPr="004B0D11">
        <w:rPr>
          <w:rFonts w:ascii="Times New Roman" w:hAnsi="Times New Roman" w:cs="Times New Roman"/>
          <w:color w:val="131413"/>
          <w:sz w:val="24"/>
          <w:szCs w:val="24"/>
        </w:rPr>
        <w:t xml:space="preserve"> cellular pathways and </w:t>
      </w:r>
      <w:r>
        <w:rPr>
          <w:rFonts w:ascii="Times New Roman" w:hAnsi="Times New Roman" w:cs="Times New Roman"/>
          <w:color w:val="131413"/>
          <w:sz w:val="24"/>
          <w:szCs w:val="24"/>
        </w:rPr>
        <w:t>41,493</w:t>
      </w:r>
      <w:r w:rsidRPr="004B0D11">
        <w:rPr>
          <w:rFonts w:ascii="Times New Roman" w:hAnsi="Times New Roman" w:cs="Times New Roman"/>
          <w:color w:val="131413"/>
          <w:sz w:val="24"/>
          <w:szCs w:val="24"/>
        </w:rPr>
        <w:t xml:space="preserve"> gene/protein/phenotypic relationships important in </w:t>
      </w:r>
      <w:proofErr w:type="spellStart"/>
      <w:r w:rsidRPr="004B0D11">
        <w:rPr>
          <w:rFonts w:ascii="Times New Roman" w:hAnsi="Times New Roman" w:cs="Times New Roman"/>
          <w:color w:val="131413"/>
          <w:sz w:val="24"/>
          <w:szCs w:val="24"/>
        </w:rPr>
        <w:t>hESC</w:t>
      </w:r>
      <w:proofErr w:type="spellEnd"/>
      <w:r w:rsidRPr="004B0D11">
        <w:rPr>
          <w:rFonts w:ascii="Times New Roman" w:hAnsi="Times New Roman" w:cs="Times New Roman"/>
          <w:color w:val="131413"/>
          <w:sz w:val="24"/>
          <w:szCs w:val="24"/>
        </w:rPr>
        <w:t xml:space="preserve"> that were used for </w:t>
      </w:r>
      <w:proofErr w:type="spellStart"/>
      <w:r w:rsidRPr="004B0D11">
        <w:rPr>
          <w:rFonts w:ascii="Times New Roman" w:hAnsi="Times New Roman" w:cs="Times New Roman"/>
          <w:color w:val="131413"/>
          <w:sz w:val="24"/>
          <w:szCs w:val="24"/>
        </w:rPr>
        <w:t>aiPSC</w:t>
      </w:r>
      <w:proofErr w:type="spellEnd"/>
      <w:r w:rsidRPr="004B0D11">
        <w:rPr>
          <w:rFonts w:ascii="Times New Roman" w:hAnsi="Times New Roman" w:cs="Times New Roman"/>
          <w:color w:val="131413"/>
          <w:sz w:val="24"/>
          <w:szCs w:val="24"/>
        </w:rPr>
        <w:t xml:space="preserve"> system modelling. Notably, this simple data representation permits complex relationships including both positive and negative feedback loops that are common in biological systems.</w:t>
      </w:r>
    </w:p>
    <w:p w14:paraId="085810AF"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0"/>
          <w:szCs w:val="20"/>
        </w:rPr>
      </w:pPr>
    </w:p>
    <w:p w14:paraId="3584BDF3"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All data (genes/proteins/phenotypic concepts, and relationships) were entered, formatted and stored as a large CSV (comma separated values) file in Delimit Professional (v4.1.</w:t>
      </w:r>
      <w:r>
        <w:rPr>
          <w:rFonts w:ascii="Times New Roman" w:hAnsi="Times New Roman" w:cs="Times New Roman"/>
          <w:color w:val="131413"/>
          <w:sz w:val="24"/>
          <w:szCs w:val="24"/>
        </w:rPr>
        <w:t>3</w:t>
      </w:r>
      <w:r w:rsidRPr="004B0D11">
        <w:rPr>
          <w:rFonts w:ascii="Times New Roman" w:hAnsi="Times New Roman" w:cs="Times New Roman"/>
          <w:color w:val="131413"/>
          <w:sz w:val="24"/>
          <w:szCs w:val="24"/>
        </w:rPr>
        <w:t xml:space="preserve">, </w:t>
      </w:r>
      <w:proofErr w:type="spellStart"/>
      <w:r w:rsidRPr="004B0D11">
        <w:rPr>
          <w:rFonts w:ascii="Times New Roman" w:hAnsi="Times New Roman" w:cs="Times New Roman"/>
          <w:color w:val="131413"/>
          <w:sz w:val="24"/>
          <w:szCs w:val="24"/>
        </w:rPr>
        <w:t>Delimitware</w:t>
      </w:r>
      <w:proofErr w:type="spellEnd"/>
      <w:r w:rsidRPr="004B0D11">
        <w:rPr>
          <w:rFonts w:ascii="Times New Roman" w:hAnsi="Times New Roman" w:cs="Times New Roman"/>
          <w:color w:val="131413"/>
          <w:sz w:val="24"/>
          <w:szCs w:val="24"/>
        </w:rPr>
        <w:t>, 20</w:t>
      </w:r>
      <w:r>
        <w:rPr>
          <w:rFonts w:ascii="Times New Roman" w:hAnsi="Times New Roman" w:cs="Times New Roman"/>
          <w:color w:val="131413"/>
          <w:sz w:val="24"/>
          <w:szCs w:val="24"/>
        </w:rPr>
        <w:t>20</w:t>
      </w:r>
      <w:r w:rsidRPr="004B0D11">
        <w:rPr>
          <w:rFonts w:ascii="Times New Roman" w:hAnsi="Times New Roman" w:cs="Times New Roman"/>
          <w:color w:val="131413"/>
          <w:sz w:val="24"/>
          <w:szCs w:val="24"/>
        </w:rPr>
        <w:t xml:space="preserve">). This database manager was chosen because it can efficiently handle very large CSV files where data can be represented as an </w:t>
      </w:r>
      <w:proofErr w:type="spellStart"/>
      <w:r w:rsidRPr="004B0D11">
        <w:rPr>
          <w:rFonts w:ascii="Times New Roman" w:hAnsi="Times New Roman" w:cs="Times New Roman"/>
          <w:color w:val="131413"/>
          <w:sz w:val="24"/>
          <w:szCs w:val="24"/>
        </w:rPr>
        <w:t>NxN</w:t>
      </w:r>
      <w:proofErr w:type="spellEnd"/>
      <w:r w:rsidRPr="004B0D11">
        <w:rPr>
          <w:rFonts w:ascii="Times New Roman" w:hAnsi="Times New Roman" w:cs="Times New Roman"/>
          <w:color w:val="131413"/>
          <w:sz w:val="24"/>
          <w:szCs w:val="24"/>
        </w:rPr>
        <w:t xml:space="preserve"> (an array of values with N rows and N columns) relationship matrix. In addition, built-in data entry and file scan functions help to ensure and maintain data integrity. This software can also import and export multiple data file types facilitating two-way interaction with a wide range of data analysis tools. Finally, the software </w:t>
      </w:r>
      <w:r w:rsidRPr="004B0D11">
        <w:rPr>
          <w:rFonts w:ascii="Times New Roman" w:hAnsi="Times New Roman" w:cs="Times New Roman"/>
          <w:color w:val="131413"/>
          <w:sz w:val="24"/>
          <w:szCs w:val="24"/>
        </w:rPr>
        <w:lastRenderedPageBreak/>
        <w:t xml:space="preserve">scales easily to </w:t>
      </w:r>
      <w:proofErr w:type="spellStart"/>
      <w:r w:rsidRPr="004B0D11">
        <w:rPr>
          <w:rFonts w:ascii="Times New Roman" w:hAnsi="Times New Roman" w:cs="Times New Roman"/>
          <w:color w:val="131413"/>
          <w:sz w:val="24"/>
          <w:szCs w:val="24"/>
        </w:rPr>
        <w:t>NxN</w:t>
      </w:r>
      <w:proofErr w:type="spellEnd"/>
      <w:r w:rsidRPr="004B0D11">
        <w:rPr>
          <w:rFonts w:ascii="Times New Roman" w:hAnsi="Times New Roman" w:cs="Times New Roman"/>
          <w:color w:val="131413"/>
          <w:sz w:val="24"/>
          <w:szCs w:val="24"/>
        </w:rPr>
        <w:t xml:space="preserve"> or </w:t>
      </w:r>
      <w:proofErr w:type="spellStart"/>
      <w:r w:rsidRPr="004B0D11">
        <w:rPr>
          <w:rFonts w:ascii="Times New Roman" w:hAnsi="Times New Roman" w:cs="Times New Roman"/>
          <w:color w:val="131413"/>
          <w:sz w:val="24"/>
          <w:szCs w:val="24"/>
        </w:rPr>
        <w:t>NxM</w:t>
      </w:r>
      <w:proofErr w:type="spellEnd"/>
      <w:r w:rsidRPr="004B0D11">
        <w:rPr>
          <w:rFonts w:ascii="Times New Roman" w:hAnsi="Times New Roman" w:cs="Times New Roman"/>
          <w:color w:val="131413"/>
          <w:sz w:val="24"/>
          <w:szCs w:val="24"/>
        </w:rPr>
        <w:t xml:space="preserve"> (an array of values with N rows and M columns) databases having millions of rows and columns (</w:t>
      </w:r>
      <w:r w:rsidRPr="004B0D11">
        <w:rPr>
          <w:rFonts w:ascii="Times New Roman" w:hAnsi="Times New Roman" w:cs="Times New Roman"/>
          <w:color w:val="0000FF"/>
          <w:sz w:val="24"/>
          <w:szCs w:val="24"/>
        </w:rPr>
        <w:t>www.delimitware.com</w:t>
      </w:r>
      <w:r w:rsidRPr="004B0D11">
        <w:rPr>
          <w:rFonts w:ascii="Times New Roman" w:hAnsi="Times New Roman" w:cs="Times New Roman"/>
          <w:color w:val="131413"/>
          <w:sz w:val="24"/>
          <w:szCs w:val="24"/>
        </w:rPr>
        <w:t>, 20</w:t>
      </w:r>
      <w:r>
        <w:rPr>
          <w:rFonts w:ascii="Times New Roman" w:hAnsi="Times New Roman" w:cs="Times New Roman"/>
          <w:color w:val="131413"/>
          <w:sz w:val="24"/>
          <w:szCs w:val="24"/>
        </w:rPr>
        <w:t>20</w:t>
      </w:r>
      <w:r w:rsidRPr="004B0D11">
        <w:rPr>
          <w:rFonts w:ascii="Times New Roman" w:hAnsi="Times New Roman" w:cs="Times New Roman"/>
          <w:color w:val="131413"/>
          <w:sz w:val="24"/>
          <w:szCs w:val="24"/>
        </w:rPr>
        <w:t>).</w:t>
      </w:r>
    </w:p>
    <w:p w14:paraId="4077EBD8"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0"/>
          <w:szCs w:val="20"/>
        </w:rPr>
      </w:pPr>
    </w:p>
    <w:p w14:paraId="539F8BC5"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Logic</w:t>
      </w:r>
    </w:p>
    <w:p w14:paraId="2AC1D74A"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platform uses a novel, but powerful </w:t>
      </w:r>
      <w:proofErr w:type="spellStart"/>
      <w:r w:rsidRPr="004B0D11">
        <w:rPr>
          <w:rFonts w:ascii="Times New Roman" w:hAnsi="Times New Roman" w:cs="Times New Roman"/>
          <w:color w:val="131413"/>
          <w:sz w:val="24"/>
          <w:szCs w:val="24"/>
        </w:rPr>
        <w:t>neutrosophic</w:t>
      </w:r>
      <w:proofErr w:type="spellEnd"/>
      <w:r w:rsidRPr="004B0D11">
        <w:rPr>
          <w:rFonts w:ascii="Times New Roman" w:hAnsi="Times New Roman" w:cs="Times New Roman"/>
          <w:color w:val="131413"/>
          <w:sz w:val="24"/>
          <w:szCs w:val="24"/>
        </w:rPr>
        <w:t xml:space="preserve"> logical (NL) framework to represent relationships between signaling genes/proteins/phenotypic concepts. NL was originally described by </w:t>
      </w:r>
      <w:proofErr w:type="spellStart"/>
      <w:r w:rsidRPr="004B0D11">
        <w:rPr>
          <w:rFonts w:ascii="Times New Roman" w:hAnsi="Times New Roman" w:cs="Times New Roman"/>
          <w:color w:val="131413"/>
          <w:sz w:val="24"/>
          <w:szCs w:val="24"/>
        </w:rPr>
        <w:t>Florentin</w:t>
      </w:r>
      <w:proofErr w:type="spellEnd"/>
      <w:r w:rsidRPr="004B0D11">
        <w:rPr>
          <w:rFonts w:ascii="Times New Roman" w:hAnsi="Times New Roman" w:cs="Times New Roman"/>
          <w:color w:val="131413"/>
          <w:sz w:val="24"/>
          <w:szCs w:val="24"/>
        </w:rPr>
        <w:t xml:space="preserve"> </w:t>
      </w:r>
      <w:proofErr w:type="spellStart"/>
      <w:r w:rsidRPr="004B0D11">
        <w:rPr>
          <w:rFonts w:ascii="Times New Roman" w:hAnsi="Times New Roman" w:cs="Times New Roman"/>
          <w:color w:val="131413"/>
          <w:sz w:val="24"/>
          <w:szCs w:val="24"/>
        </w:rPr>
        <w:t>Smarandache</w:t>
      </w:r>
      <w:proofErr w:type="spellEnd"/>
      <w:r w:rsidRPr="004B0D11">
        <w:rPr>
          <w:rFonts w:ascii="Times New Roman" w:hAnsi="Times New Roman" w:cs="Times New Roman"/>
          <w:color w:val="131413"/>
          <w:sz w:val="24"/>
          <w:szCs w:val="24"/>
        </w:rPr>
        <w:t xml:space="preserve"> in 1995. In NL, every logical variable X is described by an ordered triple, X = (T, I, F) where T is the degree of truth, “I” is the degree of indeterminacy, and F is the degree of falseness. The strength of any relationship can have any real value between − 1 and + 1 or “I” if the relationship is considered indeterminate. Positive or stimulatory causal relationships are represented by + 1 in the database unless there is a fractional value &gt; 0 and &lt; + 1. Similarly, negative or inhibitory causal relationships are represented by − 1 in the database unless a fractional value &lt; 0 and &gt; − 1 is provided. Relationships are considered indeterminate and represented by an “I” if multiple sources report conflicting data or if the relationship is labelled with a question mark in an associated process flow diagram. A value of zero is used when no relationship between nodes is known or suspected [</w:t>
      </w:r>
      <w:r w:rsidRPr="004B0D11">
        <w:rPr>
          <w:rFonts w:ascii="Times New Roman" w:hAnsi="Times New Roman" w:cs="Times New Roman"/>
          <w:color w:val="0000FF"/>
          <w:sz w:val="24"/>
          <w:szCs w:val="24"/>
        </w:rPr>
        <w:t>12</w:t>
      </w:r>
      <w:r w:rsidRPr="004B0D11">
        <w:rPr>
          <w:rFonts w:ascii="Times New Roman" w:hAnsi="Times New Roman" w:cs="Times New Roman"/>
          <w:color w:val="131413"/>
          <w:sz w:val="24"/>
          <w:szCs w:val="24"/>
        </w:rPr>
        <w:t>]. Importantly, NL is an extension and generalization of Fuzzy Logic (FL) and can be easily converted to FL by replacing all indeterminate (I) relationships with zeros (i.e. by assuming there is no causal relationship).</w:t>
      </w:r>
    </w:p>
    <w:p w14:paraId="696CF9BD"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0"/>
          <w:szCs w:val="20"/>
        </w:rPr>
      </w:pPr>
    </w:p>
    <w:p w14:paraId="14B5A8EC"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network architecture</w:t>
      </w:r>
    </w:p>
    <w:p w14:paraId="181E105F"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NxN</w:t>
      </w:r>
      <w:proofErr w:type="spellEnd"/>
      <w:r w:rsidRPr="004B0D11">
        <w:rPr>
          <w:rFonts w:ascii="Times New Roman" w:hAnsi="Times New Roman" w:cs="Times New Roman"/>
          <w:color w:val="131413"/>
          <w:sz w:val="24"/>
          <w:szCs w:val="24"/>
        </w:rPr>
        <w:t xml:space="preserve"> relationship matrix is the core data for the unsupervised fully connected RNN like simulations. A learning system is referred to as supervised when each data pattern is associated with a specific numerical (i.e., regression) or category (i.e., classification) outcome. Unsupervised learning is used to draw inferences from datasets consisting of input data patterns that do not have labeled outcomes [</w:t>
      </w:r>
      <w:r w:rsidRPr="004B0D11">
        <w:rPr>
          <w:rFonts w:ascii="Times New Roman" w:hAnsi="Times New Roman" w:cs="Times New Roman"/>
          <w:color w:val="0000FF"/>
          <w:sz w:val="24"/>
          <w:szCs w:val="24"/>
        </w:rPr>
        <w:t>12</w:t>
      </w:r>
      <w:r w:rsidRPr="004B0D11">
        <w:rPr>
          <w:rFonts w:ascii="Times New Roman" w:hAnsi="Times New Roman" w:cs="Times New Roman"/>
          <w:color w:val="131413"/>
          <w:sz w:val="24"/>
          <w:szCs w:val="24"/>
        </w:rPr>
        <w:t xml:space="preserv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is a complex learning system in that every (gene/protein/phenotypic concept) node in the multilayered network is connected to every other node in the network. Traditional neural networks have one or a few hidden or processing layers between the input layer and the output layer. Advanced deep-learning neural networks can have more than a dozen processing layers [</w:t>
      </w:r>
      <w:r w:rsidRPr="004B0D11">
        <w:rPr>
          <w:rFonts w:ascii="Times New Roman" w:hAnsi="Times New Roman" w:cs="Times New Roman"/>
          <w:color w:val="0000FF"/>
          <w:sz w:val="24"/>
          <w:szCs w:val="24"/>
        </w:rPr>
        <w:t>13</w:t>
      </w:r>
      <w:r w:rsidRPr="004B0D11">
        <w:rPr>
          <w:rFonts w:ascii="Times New Roman" w:hAnsi="Times New Roman" w:cs="Times New Roman"/>
          <w:color w:val="131413"/>
          <w:sz w:val="24"/>
          <w:szCs w:val="24"/>
        </w:rPr>
        <w:t>,</w:t>
      </w:r>
      <w:r w:rsidRPr="004B0D11">
        <w:rPr>
          <w:rFonts w:ascii="Times New Roman" w:hAnsi="Times New Roman" w:cs="Times New Roman"/>
          <w:color w:val="0000FF"/>
          <w:sz w:val="24"/>
          <w:szCs w:val="24"/>
        </w:rPr>
        <w:t>14</w:t>
      </w:r>
      <w:r w:rsidRPr="004B0D11">
        <w:rPr>
          <w:rFonts w:ascii="Times New Roman" w:hAnsi="Times New Roman" w:cs="Times New Roman"/>
          <w:color w:val="131413"/>
          <w:sz w:val="24"/>
          <w:szCs w:val="24"/>
        </w:rPr>
        <w:t xml:space="preserv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has one processing layer for each input variable. Taken together, the input variables and the declared initial values constitute an N-dimensional initial input or state vector. Vector-Matrix multiplication uses this N-dimensional input vector and the </w:t>
      </w:r>
      <w:proofErr w:type="spellStart"/>
      <w:r w:rsidRPr="004B0D11">
        <w:rPr>
          <w:rFonts w:ascii="Times New Roman" w:hAnsi="Times New Roman" w:cs="Times New Roman"/>
          <w:color w:val="131413"/>
          <w:sz w:val="24"/>
          <w:szCs w:val="24"/>
        </w:rPr>
        <w:t>NxN</w:t>
      </w:r>
      <w:proofErr w:type="spellEnd"/>
      <w:r w:rsidRPr="004B0D11">
        <w:rPr>
          <w:rFonts w:ascii="Times New Roman" w:hAnsi="Times New Roman" w:cs="Times New Roman"/>
          <w:color w:val="131413"/>
          <w:sz w:val="24"/>
          <w:szCs w:val="24"/>
        </w:rPr>
        <w:t xml:space="preserve"> relationship matrix to produce an N-dimensional output or new state vector. The new state vector becomes the new input vector for the next iteration and this iterative process continues until a new system wide steady state is achieved. In general terms, 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network architecture is </w:t>
      </w:r>
      <w:r>
        <w:rPr>
          <w:rFonts w:ascii="Times New Roman" w:hAnsi="Times New Roman" w:cs="Times New Roman"/>
          <w:color w:val="131413"/>
          <w:sz w:val="24"/>
          <w:szCs w:val="24"/>
        </w:rPr>
        <w:t>closely related</w:t>
      </w:r>
      <w:r w:rsidRPr="004B0D11">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to </w:t>
      </w:r>
      <w:proofErr w:type="spellStart"/>
      <w:r w:rsidRPr="004B0D11">
        <w:rPr>
          <w:rFonts w:ascii="Times New Roman" w:hAnsi="Times New Roman" w:cs="Times New Roman"/>
          <w:color w:val="131413"/>
          <w:sz w:val="24"/>
          <w:szCs w:val="24"/>
        </w:rPr>
        <w:t>Neutrosophic</w:t>
      </w:r>
      <w:proofErr w:type="spellEnd"/>
      <w:r w:rsidRPr="004B0D11">
        <w:rPr>
          <w:rFonts w:ascii="Times New Roman" w:hAnsi="Times New Roman" w:cs="Times New Roman"/>
          <w:color w:val="131413"/>
          <w:sz w:val="24"/>
          <w:szCs w:val="24"/>
        </w:rPr>
        <w:t xml:space="preserve"> and Fuzzy Cognitive Maps (NCMs/FCMs</w:t>
      </w:r>
      <w:r>
        <w:rPr>
          <w:rFonts w:ascii="Times New Roman" w:hAnsi="Times New Roman" w:cs="Times New Roman"/>
          <w:color w:val="131413"/>
          <w:sz w:val="24"/>
          <w:szCs w:val="24"/>
        </w:rPr>
        <w:t>)</w:t>
      </w:r>
      <w:r w:rsidRPr="004B0D11">
        <w:rPr>
          <w:rFonts w:ascii="Times New Roman" w:hAnsi="Times New Roman" w:cs="Times New Roman"/>
          <w:color w:val="131413"/>
          <w:sz w:val="24"/>
          <w:szCs w:val="24"/>
        </w:rPr>
        <w:t>; used to represent causal relationship between concepts (i.e., genes/proteins/phenotypic) which are also examples of fully connected and recurrent neural networks [</w:t>
      </w:r>
      <w:r w:rsidRPr="004B0D11">
        <w:rPr>
          <w:rFonts w:ascii="Times New Roman" w:hAnsi="Times New Roman" w:cs="Times New Roman"/>
          <w:color w:val="0000FF"/>
          <w:sz w:val="24"/>
          <w:szCs w:val="24"/>
        </w:rPr>
        <w:t>15</w:t>
      </w:r>
      <w:r w:rsidRPr="004B0D11">
        <w:rPr>
          <w:rFonts w:ascii="Times New Roman" w:hAnsi="Times New Roman" w:cs="Times New Roman"/>
          <w:color w:val="131413"/>
          <w:sz w:val="24"/>
          <w:szCs w:val="24"/>
        </w:rPr>
        <w:t xml:space="preserve">, </w:t>
      </w:r>
      <w:r w:rsidRPr="004B0D11">
        <w:rPr>
          <w:rFonts w:ascii="Times New Roman" w:hAnsi="Times New Roman" w:cs="Times New Roman"/>
          <w:color w:val="0000FF"/>
          <w:sz w:val="24"/>
          <w:szCs w:val="24"/>
        </w:rPr>
        <w:t>16</w:t>
      </w:r>
      <w:r w:rsidRPr="004B0D11">
        <w:rPr>
          <w:rFonts w:ascii="Times New Roman" w:hAnsi="Times New Roman" w:cs="Times New Roman"/>
          <w:color w:val="131413"/>
          <w:sz w:val="24"/>
          <w:szCs w:val="24"/>
        </w:rPr>
        <w:t>].</w:t>
      </w:r>
    </w:p>
    <w:p w14:paraId="5466CD8C"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0"/>
          <w:szCs w:val="20"/>
        </w:rPr>
      </w:pPr>
    </w:p>
    <w:p w14:paraId="06E8672E"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w:t>
      </w:r>
      <w:proofErr w:type="spellStart"/>
      <w:r w:rsidRPr="004B0D11">
        <w:rPr>
          <w:rFonts w:ascii="Times New Roman" w:hAnsi="Times New Roman" w:cs="Times New Roman"/>
          <w:color w:val="131413"/>
          <w:sz w:val="24"/>
          <w:szCs w:val="24"/>
        </w:rPr>
        <w:t>DeepNEU</w:t>
      </w:r>
      <w:proofErr w:type="spellEnd"/>
      <w:r w:rsidRPr="004B0D11">
        <w:rPr>
          <w:rFonts w:ascii="Times New Roman" w:hAnsi="Times New Roman" w:cs="Times New Roman"/>
          <w:color w:val="131413"/>
          <w:sz w:val="24"/>
          <w:szCs w:val="24"/>
        </w:rPr>
        <w:t xml:space="preserve"> simulations</w:t>
      </w:r>
    </w:p>
    <w:p w14:paraId="1CCAF1BB"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r w:rsidRPr="004B0D11">
        <w:rPr>
          <w:rFonts w:ascii="Times New Roman" w:hAnsi="Times New Roman" w:cs="Times New Roman"/>
          <w:color w:val="131413"/>
          <w:sz w:val="24"/>
          <w:szCs w:val="24"/>
        </w:rPr>
        <w:t xml:space="preserve">The goal of the initial project was to first create a computer simulation of a </w:t>
      </w:r>
      <w:proofErr w:type="spellStart"/>
      <w:r w:rsidRPr="004B0D11">
        <w:rPr>
          <w:rFonts w:ascii="Times New Roman" w:hAnsi="Times New Roman" w:cs="Times New Roman"/>
          <w:color w:val="131413"/>
          <w:sz w:val="24"/>
          <w:szCs w:val="24"/>
        </w:rPr>
        <w:t>hiPSC</w:t>
      </w:r>
      <w:proofErr w:type="spellEnd"/>
      <w:r w:rsidRPr="004B0D11">
        <w:rPr>
          <w:rFonts w:ascii="Times New Roman" w:hAnsi="Times New Roman" w:cs="Times New Roman"/>
          <w:color w:val="131413"/>
          <w:sz w:val="24"/>
          <w:szCs w:val="24"/>
        </w:rPr>
        <w:t xml:space="preserve"> and then validate the model using the results published by Takahashi et al. in 2007 and others as described above. Briefly, the input or initial state vector of dimension N was set to all zeros except for transcription factors OCT3/4, SOX2, KLF4 and </w:t>
      </w:r>
      <w:proofErr w:type="spellStart"/>
      <w:r w:rsidRPr="004B0D11">
        <w:rPr>
          <w:rFonts w:ascii="Times New Roman" w:hAnsi="Times New Roman" w:cs="Times New Roman"/>
          <w:color w:val="131413"/>
          <w:sz w:val="24"/>
          <w:szCs w:val="24"/>
        </w:rPr>
        <w:t>cMYC</w:t>
      </w:r>
      <w:proofErr w:type="spellEnd"/>
      <w:r w:rsidRPr="004B0D11">
        <w:rPr>
          <w:rFonts w:ascii="Times New Roman" w:hAnsi="Times New Roman" w:cs="Times New Roman"/>
          <w:color w:val="131413"/>
          <w:sz w:val="24"/>
          <w:szCs w:val="24"/>
        </w:rPr>
        <w:t>. These four factors were given a value of + 1 indicating that they were turned on for the first iteration. These values were not locked on so that all subsequent values were determined by system behavior.</w:t>
      </w:r>
    </w:p>
    <w:p w14:paraId="30A8583E"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0"/>
          <w:szCs w:val="20"/>
        </w:rPr>
      </w:pPr>
    </w:p>
    <w:p w14:paraId="58FCCA9F" w14:textId="77777777" w:rsidR="008A01EC"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p>
    <w:p w14:paraId="454E1D09" w14:textId="14FA14CD" w:rsidR="008A01EC" w:rsidRPr="004B0D11" w:rsidRDefault="008A01EC" w:rsidP="008A01EC">
      <w:pPr>
        <w:autoSpaceDE w:val="0"/>
        <w:autoSpaceDN w:val="0"/>
        <w:adjustRightInd w:val="0"/>
        <w:spacing w:after="0" w:line="240" w:lineRule="auto"/>
        <w:jc w:val="both"/>
        <w:rPr>
          <w:rFonts w:ascii="Times New Roman" w:hAnsi="Times New Roman" w:cs="Times New Roman"/>
          <w:color w:val="131413"/>
          <w:sz w:val="24"/>
          <w:szCs w:val="24"/>
        </w:rPr>
      </w:pPr>
      <w:proofErr w:type="spellStart"/>
      <w:r w:rsidRPr="004B0D11">
        <w:rPr>
          <w:rFonts w:ascii="Times New Roman" w:hAnsi="Times New Roman" w:cs="Times New Roman"/>
          <w:color w:val="131413"/>
          <w:sz w:val="24"/>
          <w:szCs w:val="24"/>
        </w:rPr>
        <w:lastRenderedPageBreak/>
        <w:t>DeepNEU</w:t>
      </w:r>
      <w:proofErr w:type="spellEnd"/>
      <w:r w:rsidRPr="004B0D11">
        <w:rPr>
          <w:rFonts w:ascii="Times New Roman" w:hAnsi="Times New Roman" w:cs="Times New Roman"/>
          <w:color w:val="131413"/>
          <w:sz w:val="24"/>
          <w:szCs w:val="24"/>
        </w:rPr>
        <w:t xml:space="preserve"> simulation protocol</w:t>
      </w:r>
    </w:p>
    <w:p w14:paraId="60BCCC4B"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r w:rsidRPr="004B0D11">
        <w:rPr>
          <w:rFonts w:ascii="Times New Roman" w:hAnsi="Times New Roman" w:cs="Times New Roman"/>
          <w:color w:val="000000"/>
          <w:sz w:val="24"/>
          <w:szCs w:val="24"/>
        </w:rPr>
        <w:t xml:space="preserve">1. The machine learning process began with vector matrix multiplication (VMM). The </w:t>
      </w:r>
      <w:proofErr w:type="spellStart"/>
      <w:r w:rsidRPr="004B0D11">
        <w:rPr>
          <w:rFonts w:ascii="Times New Roman" w:hAnsi="Times New Roman" w:cs="Times New Roman"/>
          <w:color w:val="000000"/>
          <w:sz w:val="24"/>
          <w:szCs w:val="24"/>
        </w:rPr>
        <w:t>NxN</w:t>
      </w:r>
      <w:proofErr w:type="spellEnd"/>
      <w:r w:rsidRPr="004B0D11">
        <w:rPr>
          <w:rFonts w:ascii="Times New Roman" w:hAnsi="Times New Roman" w:cs="Times New Roman"/>
          <w:color w:val="000000"/>
          <w:sz w:val="24"/>
          <w:szCs w:val="24"/>
        </w:rPr>
        <w:t xml:space="preserve"> relationship matrix was multiplied by the “N”- dimensioned input vector with OCT3/4, SOX2, KLF4 and </w:t>
      </w:r>
      <w:proofErr w:type="spellStart"/>
      <w:r>
        <w:rPr>
          <w:rFonts w:ascii="Times New Roman" w:hAnsi="Times New Roman" w:cs="Times New Roman"/>
          <w:color w:val="000000"/>
          <w:sz w:val="24"/>
          <w:szCs w:val="24"/>
        </w:rPr>
        <w:t>c</w:t>
      </w:r>
      <w:r w:rsidRPr="004B0D11">
        <w:rPr>
          <w:rFonts w:ascii="Times New Roman" w:hAnsi="Times New Roman" w:cs="Times New Roman"/>
          <w:color w:val="000000"/>
          <w:sz w:val="24"/>
          <w:szCs w:val="24"/>
        </w:rPr>
        <w:t>MYC</w:t>
      </w:r>
      <w:proofErr w:type="spellEnd"/>
      <w:r w:rsidRPr="004B0D11">
        <w:rPr>
          <w:rFonts w:ascii="Times New Roman" w:hAnsi="Times New Roman" w:cs="Times New Roman"/>
          <w:color w:val="000000"/>
          <w:sz w:val="24"/>
          <w:szCs w:val="24"/>
        </w:rPr>
        <w:t xml:space="preserve"> turned on. Both the input vector and relationship matrix are comprised mostly of zeros. The input vector and relationship matrix were both considered to be sparse. To minimize the computational burden, sparse vector matrix multiplication algorithms were employed at each iteration during model generation.</w:t>
      </w:r>
    </w:p>
    <w:p w14:paraId="45F633E9"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r w:rsidRPr="004B0D11">
        <w:rPr>
          <w:rFonts w:ascii="Times New Roman" w:hAnsi="Times New Roman" w:cs="Times New Roman"/>
          <w:color w:val="000000"/>
          <w:sz w:val="24"/>
          <w:szCs w:val="24"/>
        </w:rPr>
        <w:t xml:space="preserve">2. At each iteration the sparse VMM operation produces an “N”-dimensional output vector with variable components many of which have large positive or negative values. To avoid computational explosion a squashing or activation function was used to map these values between a minimum of − 1 and a maximum of + 1. After initial evaluation of several activation functions, </w:t>
      </w:r>
      <w:r>
        <w:rPr>
          <w:rFonts w:ascii="Times New Roman" w:hAnsi="Times New Roman" w:cs="Times New Roman"/>
          <w:color w:val="000000"/>
          <w:sz w:val="24"/>
          <w:szCs w:val="24"/>
        </w:rPr>
        <w:t>a</w:t>
      </w:r>
      <w:r w:rsidRPr="004B0D11">
        <w:rPr>
          <w:rFonts w:ascii="Times New Roman" w:hAnsi="Times New Roman" w:cs="Times New Roman"/>
          <w:color w:val="000000"/>
          <w:sz w:val="24"/>
          <w:szCs w:val="24"/>
        </w:rPr>
        <w:t xml:space="preserve"> sigmoid variant function was selected based on rapidity of system convergence and outcome </w:t>
      </w:r>
      <w:proofErr w:type="gramStart"/>
      <w:r w:rsidRPr="004B0D11">
        <w:rPr>
          <w:rFonts w:ascii="Times New Roman" w:hAnsi="Times New Roman" w:cs="Times New Roman"/>
          <w:color w:val="000000"/>
          <w:sz w:val="24"/>
          <w:szCs w:val="24"/>
        </w:rPr>
        <w:t>reproducibility..</w:t>
      </w:r>
      <w:proofErr w:type="gramEnd"/>
      <w:r w:rsidRPr="004B0D11">
        <w:rPr>
          <w:rFonts w:ascii="Times New Roman" w:hAnsi="Times New Roman" w:cs="Times New Roman"/>
          <w:color w:val="000000"/>
          <w:sz w:val="24"/>
          <w:szCs w:val="24"/>
        </w:rPr>
        <w:t xml:space="preserve"> At the end of the activation process, the squashed N-dimensional output vector becomes the new input vector for the next iteration. This cycle is repeated until system convergence occurs indicating that a new system wide steady state has been achieved.</w:t>
      </w:r>
    </w:p>
    <w:p w14:paraId="1132433F"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r w:rsidRPr="004B0D11">
        <w:rPr>
          <w:rFonts w:ascii="Times New Roman" w:hAnsi="Times New Roman" w:cs="Times New Roman"/>
          <w:color w:val="000000"/>
          <w:sz w:val="24"/>
          <w:szCs w:val="24"/>
        </w:rPr>
        <w:t>3. The goal of the learning system is to minimize error. In this case the error being considered is the mean squared error (MSE) between a given output vector and the previous output vector. During model development several error functions including adjusted R2, SVM/</w:t>
      </w:r>
      <w:proofErr w:type="spellStart"/>
      <w:r w:rsidRPr="004B0D11">
        <w:rPr>
          <w:rFonts w:ascii="Times New Roman" w:hAnsi="Times New Roman" w:cs="Times New Roman"/>
          <w:color w:val="000000"/>
          <w:sz w:val="24"/>
          <w:szCs w:val="24"/>
        </w:rPr>
        <w:t>Vapnik</w:t>
      </w:r>
      <w:proofErr w:type="spellEnd"/>
      <w:r w:rsidRPr="004B0D11">
        <w:rPr>
          <w:rFonts w:ascii="Times New Roman" w:hAnsi="Times New Roman" w:cs="Times New Roman"/>
          <w:color w:val="000000"/>
          <w:sz w:val="24"/>
          <w:szCs w:val="24"/>
        </w:rPr>
        <w:t xml:space="preserve"> loss and MSE were evaluated. The MSE function was selected because its’ use consistently resulted in faster system convergence and more reproducible results. While the MSE function has been widely used it has also been widely criticized because the function can perform poorly due to squaring in the presence of outliers. In the current project, the error function was applied after the raw system output was “squashed” between values of − 1 and + 1 using a sigmoid type function. This squashing effectively mitigates the problem of potential outliers. As learning continues the MSE converges towards zero. For this project system convergence was defined at MSE &lt; 0.001 and model generation stops. The system output is then saved as a CSV data file for further analysis.</w:t>
      </w:r>
    </w:p>
    <w:p w14:paraId="504A73F2" w14:textId="77777777" w:rsidR="008A01EC"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r w:rsidRPr="004B0D11">
        <w:rPr>
          <w:rFonts w:ascii="Times New Roman" w:hAnsi="Times New Roman" w:cs="Times New Roman"/>
          <w:color w:val="000000"/>
          <w:sz w:val="24"/>
          <w:szCs w:val="24"/>
        </w:rPr>
        <w:t xml:space="preserve">4. The final output from the </w:t>
      </w:r>
      <w:proofErr w:type="spellStart"/>
      <w:r w:rsidRPr="004B0D11">
        <w:rPr>
          <w:rFonts w:ascii="Times New Roman" w:hAnsi="Times New Roman" w:cs="Times New Roman"/>
          <w:color w:val="000000"/>
          <w:sz w:val="24"/>
          <w:szCs w:val="24"/>
        </w:rPr>
        <w:t>aiPSC</w:t>
      </w:r>
      <w:proofErr w:type="spellEnd"/>
      <w:r w:rsidRPr="004B0D11">
        <w:rPr>
          <w:rFonts w:ascii="Times New Roman" w:hAnsi="Times New Roman" w:cs="Times New Roman"/>
          <w:color w:val="000000"/>
          <w:sz w:val="24"/>
          <w:szCs w:val="24"/>
        </w:rPr>
        <w:t xml:space="preserve"> model regarding the expression or repression of genes and proteins was directly compared with published expression profiles [</w:t>
      </w:r>
      <w:r w:rsidRPr="004B0D11">
        <w:rPr>
          <w:rFonts w:ascii="Times New Roman" w:hAnsi="Times New Roman" w:cs="Times New Roman"/>
          <w:color w:val="0000FF"/>
          <w:sz w:val="24"/>
          <w:szCs w:val="24"/>
        </w:rPr>
        <w:t>18</w:t>
      </w:r>
      <w:r w:rsidRPr="004B0D11">
        <w:rPr>
          <w:rFonts w:ascii="Times New Roman" w:hAnsi="Times New Roman" w:cs="Times New Roman"/>
          <w:color w:val="000000"/>
          <w:sz w:val="24"/>
          <w:szCs w:val="24"/>
        </w:rPr>
        <w:t xml:space="preserve">]. Model prediction values &gt; 0 were classified as expressed or upregulated while values &lt; 0 were classified as not expressed or downregulated. Statistical analysis of the </w:t>
      </w:r>
      <w:proofErr w:type="spellStart"/>
      <w:r w:rsidRPr="004B0D11">
        <w:rPr>
          <w:rFonts w:ascii="Times New Roman" w:hAnsi="Times New Roman" w:cs="Times New Roman"/>
          <w:color w:val="000000"/>
          <w:sz w:val="24"/>
          <w:szCs w:val="24"/>
        </w:rPr>
        <w:t>aiPSC</w:t>
      </w:r>
      <w:proofErr w:type="spellEnd"/>
      <w:r w:rsidRPr="004B0D11">
        <w:rPr>
          <w:rFonts w:ascii="Times New Roman" w:hAnsi="Times New Roman" w:cs="Times New Roman"/>
          <w:color w:val="000000"/>
          <w:sz w:val="24"/>
          <w:szCs w:val="24"/>
        </w:rPr>
        <w:t xml:space="preserve"> predictions and the published data used the binomial test. This test </w:t>
      </w:r>
      <w:r>
        <w:rPr>
          <w:rFonts w:ascii="Times New Roman" w:hAnsi="Times New Roman" w:cs="Times New Roman"/>
          <w:color w:val="000000"/>
          <w:sz w:val="24"/>
          <w:szCs w:val="24"/>
        </w:rPr>
        <w:t xml:space="preserve">was selected because it </w:t>
      </w:r>
      <w:r w:rsidRPr="004B0D11">
        <w:rPr>
          <w:rFonts w:ascii="Times New Roman" w:hAnsi="Times New Roman" w:cs="Times New Roman"/>
          <w:color w:val="000000"/>
          <w:sz w:val="24"/>
          <w:szCs w:val="24"/>
        </w:rPr>
        <w:t xml:space="preserve">provides an exact probability, can compensate for prediction bias and is ideal for determining the statistical significance of experimental deviations from an actual distribution of observations that fall into two outcome categories (e.g., agree vs disagree). A p-value &lt; 0.05 is considered significant and is interpreted to indicate that the observed relationship between </w:t>
      </w:r>
      <w:proofErr w:type="spellStart"/>
      <w:r w:rsidRPr="004B0D11">
        <w:rPr>
          <w:rFonts w:ascii="Times New Roman" w:hAnsi="Times New Roman" w:cs="Times New Roman"/>
          <w:color w:val="000000"/>
          <w:sz w:val="24"/>
          <w:szCs w:val="24"/>
        </w:rPr>
        <w:t>aiPSC</w:t>
      </w:r>
      <w:proofErr w:type="spellEnd"/>
      <w:r w:rsidRPr="004B0D11">
        <w:rPr>
          <w:rFonts w:ascii="Times New Roman" w:hAnsi="Times New Roman" w:cs="Times New Roman"/>
          <w:color w:val="000000"/>
          <w:sz w:val="24"/>
          <w:szCs w:val="24"/>
        </w:rPr>
        <w:t xml:space="preserve"> predictions and actual outcomes is unlikely to have occurred by chance alone.</w:t>
      </w:r>
    </w:p>
    <w:p w14:paraId="534EDD42" w14:textId="77777777" w:rsidR="008A01EC"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p>
    <w:p w14:paraId="138B1EB9" w14:textId="77777777" w:rsidR="008A01EC" w:rsidRPr="004B0D11" w:rsidRDefault="008A01EC" w:rsidP="008A01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Once the </w:t>
      </w:r>
      <w:proofErr w:type="spellStart"/>
      <w:r>
        <w:rPr>
          <w:rFonts w:ascii="Times New Roman" w:hAnsi="Times New Roman" w:cs="Times New Roman"/>
          <w:color w:val="000000"/>
          <w:sz w:val="24"/>
          <w:szCs w:val="24"/>
        </w:rPr>
        <w:t>aiPSC</w:t>
      </w:r>
      <w:proofErr w:type="spellEnd"/>
      <w:r>
        <w:rPr>
          <w:rFonts w:ascii="Times New Roman" w:hAnsi="Times New Roman" w:cs="Times New Roman"/>
          <w:color w:val="000000"/>
          <w:sz w:val="24"/>
          <w:szCs w:val="24"/>
        </w:rPr>
        <w:t xml:space="preserve"> simulations were validated against available peer reviewed wet lab results, the </w:t>
      </w:r>
      <w:proofErr w:type="spellStart"/>
      <w:r>
        <w:rPr>
          <w:rFonts w:ascii="Times New Roman" w:hAnsi="Times New Roman" w:cs="Times New Roman"/>
          <w:color w:val="000000"/>
          <w:sz w:val="24"/>
          <w:szCs w:val="24"/>
        </w:rPr>
        <w:t>aiPSC</w:t>
      </w:r>
      <w:proofErr w:type="spellEnd"/>
      <w:r>
        <w:rPr>
          <w:rFonts w:ascii="Times New Roman" w:hAnsi="Times New Roman" w:cs="Times New Roman"/>
          <w:color w:val="000000"/>
          <w:sz w:val="24"/>
          <w:szCs w:val="24"/>
        </w:rPr>
        <w:t xml:space="preserve"> simulations were further developed to create simulations of a whole brain organoid as outlined in the METHODS section of the paper.</w:t>
      </w:r>
    </w:p>
    <w:p w14:paraId="5B264857" w14:textId="77777777" w:rsidR="008A01EC" w:rsidRDefault="008A01EC" w:rsidP="008A01EC">
      <w:pPr>
        <w:autoSpaceDE w:val="0"/>
        <w:autoSpaceDN w:val="0"/>
        <w:adjustRightInd w:val="0"/>
        <w:spacing w:after="0" w:line="240" w:lineRule="auto"/>
        <w:jc w:val="both"/>
        <w:rPr>
          <w:rFonts w:cs="DfksnvAdvTT43ccf47d"/>
          <w:color w:val="000000"/>
          <w:sz w:val="24"/>
          <w:szCs w:val="24"/>
        </w:rPr>
      </w:pPr>
    </w:p>
    <w:p w14:paraId="66B22717" w14:textId="5C85ECC6" w:rsidR="008A01EC" w:rsidRDefault="008A01EC" w:rsidP="008A01EC">
      <w:pPr>
        <w:autoSpaceDE w:val="0"/>
        <w:autoSpaceDN w:val="0"/>
        <w:adjustRightInd w:val="0"/>
        <w:spacing w:after="0" w:line="240" w:lineRule="auto"/>
        <w:jc w:val="both"/>
        <w:rPr>
          <w:rFonts w:cs="DfksnvAdvTT43ccf47d"/>
          <w:color w:val="000000"/>
          <w:sz w:val="24"/>
          <w:szCs w:val="24"/>
        </w:rPr>
      </w:pPr>
    </w:p>
    <w:p w14:paraId="18D95913" w14:textId="653AF9A7" w:rsidR="00142825" w:rsidRDefault="00142825" w:rsidP="008A01EC">
      <w:pPr>
        <w:autoSpaceDE w:val="0"/>
        <w:autoSpaceDN w:val="0"/>
        <w:adjustRightInd w:val="0"/>
        <w:spacing w:after="0" w:line="240" w:lineRule="auto"/>
        <w:jc w:val="both"/>
        <w:rPr>
          <w:rFonts w:cs="DfksnvAdvTT43ccf47d"/>
          <w:color w:val="000000"/>
          <w:sz w:val="24"/>
          <w:szCs w:val="24"/>
        </w:rPr>
      </w:pPr>
    </w:p>
    <w:p w14:paraId="22886E03" w14:textId="66F1239B" w:rsidR="00142825" w:rsidRDefault="00142825" w:rsidP="008A01EC">
      <w:pPr>
        <w:autoSpaceDE w:val="0"/>
        <w:autoSpaceDN w:val="0"/>
        <w:adjustRightInd w:val="0"/>
        <w:spacing w:after="0" w:line="240" w:lineRule="auto"/>
        <w:jc w:val="both"/>
        <w:rPr>
          <w:rFonts w:cs="DfksnvAdvTT43ccf47d"/>
          <w:color w:val="000000"/>
          <w:sz w:val="24"/>
          <w:szCs w:val="24"/>
        </w:rPr>
      </w:pPr>
    </w:p>
    <w:p w14:paraId="4BEFEC31" w14:textId="4E44E971" w:rsidR="00142825" w:rsidRDefault="00142825" w:rsidP="008A01EC">
      <w:pPr>
        <w:autoSpaceDE w:val="0"/>
        <w:autoSpaceDN w:val="0"/>
        <w:adjustRightInd w:val="0"/>
        <w:spacing w:after="0" w:line="240" w:lineRule="auto"/>
        <w:jc w:val="both"/>
        <w:rPr>
          <w:rFonts w:cs="DfksnvAdvTT43ccf47d"/>
          <w:color w:val="000000"/>
          <w:sz w:val="24"/>
          <w:szCs w:val="24"/>
        </w:rPr>
      </w:pPr>
    </w:p>
    <w:p w14:paraId="44BC857E" w14:textId="77777777" w:rsidR="00142825" w:rsidRDefault="00142825" w:rsidP="008A01EC">
      <w:pPr>
        <w:autoSpaceDE w:val="0"/>
        <w:autoSpaceDN w:val="0"/>
        <w:adjustRightInd w:val="0"/>
        <w:spacing w:after="0" w:line="240" w:lineRule="auto"/>
        <w:jc w:val="both"/>
        <w:rPr>
          <w:rFonts w:cs="DfksnvAdvTT43ccf47d"/>
          <w:color w:val="000000"/>
          <w:sz w:val="24"/>
          <w:szCs w:val="24"/>
        </w:rPr>
      </w:pPr>
      <w:bookmarkStart w:id="0" w:name="_GoBack"/>
      <w:bookmarkEnd w:id="0"/>
    </w:p>
    <w:p w14:paraId="5B92965D" w14:textId="330A919D" w:rsidR="008A01EC" w:rsidRDefault="008A01EC" w:rsidP="008A01EC">
      <w:pPr>
        <w:autoSpaceDE w:val="0"/>
        <w:autoSpaceDN w:val="0"/>
        <w:adjustRightInd w:val="0"/>
        <w:spacing w:after="0" w:line="240" w:lineRule="auto"/>
        <w:jc w:val="both"/>
        <w:rPr>
          <w:rFonts w:cs="DfksnvAdvTT43ccf47d"/>
          <w:color w:val="000000"/>
          <w:sz w:val="24"/>
          <w:szCs w:val="24"/>
        </w:rPr>
      </w:pPr>
      <w:r>
        <w:rPr>
          <w:rFonts w:cs="DfksnvAdvTT43ccf47d"/>
          <w:color w:val="000000"/>
          <w:sz w:val="24"/>
          <w:szCs w:val="24"/>
        </w:rPr>
        <w:lastRenderedPageBreak/>
        <w:t>References</w:t>
      </w:r>
      <w:r>
        <w:rPr>
          <w:rFonts w:cs="DfksnvAdvTT43ccf47d"/>
          <w:color w:val="000000"/>
          <w:sz w:val="24"/>
          <w:szCs w:val="24"/>
        </w:rPr>
        <w:t xml:space="preserve"> for Appendix 1</w:t>
      </w:r>
    </w:p>
    <w:p w14:paraId="219F550A" w14:textId="77777777" w:rsidR="008A01EC" w:rsidRDefault="008A01EC" w:rsidP="008A01EC">
      <w:pPr>
        <w:autoSpaceDE w:val="0"/>
        <w:autoSpaceDN w:val="0"/>
        <w:adjustRightInd w:val="0"/>
        <w:spacing w:after="0" w:line="240" w:lineRule="auto"/>
        <w:jc w:val="both"/>
        <w:rPr>
          <w:rFonts w:cs="DfksnvAdvTT43ccf47d"/>
          <w:color w:val="000000"/>
          <w:sz w:val="24"/>
          <w:szCs w:val="24"/>
        </w:rPr>
      </w:pPr>
    </w:p>
    <w:p w14:paraId="788E1FA5"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1. Lipton ZC, Berkowitz J, Elkan C. A critical review of recurrent neural</w:t>
      </w:r>
    </w:p>
    <w:p w14:paraId="7F60F3ED"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networks for sequence learning. </w:t>
      </w:r>
      <w:proofErr w:type="spellStart"/>
      <w:r w:rsidRPr="00144CD2">
        <w:rPr>
          <w:rFonts w:cs="BgwncyAdvTTb5929f4c"/>
          <w:color w:val="131413"/>
          <w:sz w:val="24"/>
          <w:szCs w:val="24"/>
        </w:rPr>
        <w:t>arXiv</w:t>
      </w:r>
      <w:proofErr w:type="spellEnd"/>
      <w:r w:rsidRPr="00144CD2">
        <w:rPr>
          <w:rFonts w:cs="BgwncyAdvTTb5929f4c"/>
          <w:color w:val="131413"/>
          <w:sz w:val="24"/>
          <w:szCs w:val="24"/>
        </w:rPr>
        <w:t xml:space="preserve"> preprint arXiv:150600019; 2015.</w:t>
      </w:r>
    </w:p>
    <w:p w14:paraId="457AB605"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2. Aggarwal S, </w:t>
      </w:r>
      <w:proofErr w:type="spellStart"/>
      <w:r w:rsidRPr="00144CD2">
        <w:rPr>
          <w:rFonts w:cs="BgwncyAdvTTb5929f4c"/>
          <w:color w:val="131413"/>
          <w:sz w:val="24"/>
          <w:szCs w:val="24"/>
        </w:rPr>
        <w:t>Pittenger</w:t>
      </w:r>
      <w:proofErr w:type="spellEnd"/>
      <w:r w:rsidRPr="00144CD2">
        <w:rPr>
          <w:rFonts w:cs="BgwncyAdvTTb5929f4c"/>
          <w:color w:val="131413"/>
          <w:sz w:val="24"/>
          <w:szCs w:val="24"/>
        </w:rPr>
        <w:t xml:space="preserve"> MF. Human mesenchymal stem cells modulate</w:t>
      </w:r>
    </w:p>
    <w:p w14:paraId="0FA5BF74"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allogeneic immune cell responses. Blood. </w:t>
      </w:r>
      <w:proofErr w:type="gramStart"/>
      <w:r w:rsidRPr="00144CD2">
        <w:rPr>
          <w:rFonts w:cs="BgwncyAdvTTb5929f4c"/>
          <w:color w:val="131413"/>
          <w:sz w:val="24"/>
          <w:szCs w:val="24"/>
        </w:rPr>
        <w:t>2005;105:1815</w:t>
      </w:r>
      <w:proofErr w:type="gramEnd"/>
      <w:r w:rsidRPr="00144CD2">
        <w:rPr>
          <w:rFonts w:cs="PgnchlAdvTTb5929f4c+20"/>
          <w:color w:val="131413"/>
          <w:sz w:val="24"/>
          <w:szCs w:val="24"/>
        </w:rPr>
        <w:t>–</w:t>
      </w:r>
      <w:r w:rsidRPr="00144CD2">
        <w:rPr>
          <w:rFonts w:cs="BgwncyAdvTTb5929f4c"/>
          <w:color w:val="131413"/>
          <w:sz w:val="24"/>
          <w:szCs w:val="24"/>
        </w:rPr>
        <w:t>22.</w:t>
      </w:r>
    </w:p>
    <w:p w14:paraId="64AE6C40"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3. Ben-Porath I, Thomson MW, Carey VJ, Ge R, Bell GW, Regev A, Weinberg RA.</w:t>
      </w:r>
    </w:p>
    <w:p w14:paraId="127BCC6A"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An embryonic stem cell</w:t>
      </w:r>
      <w:r w:rsidRPr="00144CD2">
        <w:rPr>
          <w:rFonts w:cs="PgnchlAdvTTb5929f4c+20"/>
          <w:color w:val="131413"/>
          <w:sz w:val="24"/>
          <w:szCs w:val="24"/>
        </w:rPr>
        <w:t>–</w:t>
      </w:r>
      <w:r w:rsidRPr="00144CD2">
        <w:rPr>
          <w:rFonts w:cs="BgwncyAdvTTb5929f4c"/>
          <w:color w:val="131413"/>
          <w:sz w:val="24"/>
          <w:szCs w:val="24"/>
        </w:rPr>
        <w:t>like gene expression signature in poorly</w:t>
      </w:r>
    </w:p>
    <w:p w14:paraId="325DA6F8"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differentiated aggressive human tumors. Nat Genet. </w:t>
      </w:r>
      <w:proofErr w:type="gramStart"/>
      <w:r w:rsidRPr="00144CD2">
        <w:rPr>
          <w:rFonts w:cs="BgwncyAdvTTb5929f4c"/>
          <w:color w:val="131413"/>
          <w:sz w:val="24"/>
          <w:szCs w:val="24"/>
        </w:rPr>
        <w:t>2008;40:499</w:t>
      </w:r>
      <w:proofErr w:type="gramEnd"/>
      <w:r w:rsidRPr="00144CD2">
        <w:rPr>
          <w:rFonts w:cs="BgwncyAdvTTb5929f4c"/>
          <w:color w:val="131413"/>
          <w:sz w:val="24"/>
          <w:szCs w:val="24"/>
        </w:rPr>
        <w:t>.</w:t>
      </w:r>
    </w:p>
    <w:p w14:paraId="4DDB553B"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4. Bernstein BE, Mikkelsen TS, </w:t>
      </w:r>
      <w:proofErr w:type="spellStart"/>
      <w:r w:rsidRPr="00144CD2">
        <w:rPr>
          <w:rFonts w:cs="BgwncyAdvTTb5929f4c"/>
          <w:color w:val="131413"/>
          <w:sz w:val="24"/>
          <w:szCs w:val="24"/>
        </w:rPr>
        <w:t>Xie</w:t>
      </w:r>
      <w:proofErr w:type="spellEnd"/>
      <w:r w:rsidRPr="00144CD2">
        <w:rPr>
          <w:rFonts w:cs="BgwncyAdvTTb5929f4c"/>
          <w:color w:val="131413"/>
          <w:sz w:val="24"/>
          <w:szCs w:val="24"/>
        </w:rPr>
        <w:t xml:space="preserve"> X, Kamal M, </w:t>
      </w:r>
      <w:proofErr w:type="spellStart"/>
      <w:r w:rsidRPr="00144CD2">
        <w:rPr>
          <w:rFonts w:cs="BgwncyAdvTTb5929f4c"/>
          <w:color w:val="131413"/>
          <w:sz w:val="24"/>
          <w:szCs w:val="24"/>
        </w:rPr>
        <w:t>Huebert</w:t>
      </w:r>
      <w:proofErr w:type="spellEnd"/>
      <w:r w:rsidRPr="00144CD2">
        <w:rPr>
          <w:rFonts w:cs="BgwncyAdvTTb5929f4c"/>
          <w:color w:val="131413"/>
          <w:sz w:val="24"/>
          <w:szCs w:val="24"/>
        </w:rPr>
        <w:t xml:space="preserve"> DJ, Cuff J, Fry B,</w:t>
      </w:r>
    </w:p>
    <w:p w14:paraId="726189C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Meissner A, </w:t>
      </w:r>
      <w:proofErr w:type="spellStart"/>
      <w:r w:rsidRPr="00144CD2">
        <w:rPr>
          <w:rFonts w:cs="BgwncyAdvTTb5929f4c"/>
          <w:color w:val="131413"/>
          <w:sz w:val="24"/>
          <w:szCs w:val="24"/>
        </w:rPr>
        <w:t>Wernig</w:t>
      </w:r>
      <w:proofErr w:type="spellEnd"/>
      <w:r w:rsidRPr="00144CD2">
        <w:rPr>
          <w:rFonts w:cs="BgwncyAdvTTb5929f4c"/>
          <w:color w:val="131413"/>
          <w:sz w:val="24"/>
          <w:szCs w:val="24"/>
        </w:rPr>
        <w:t xml:space="preserve"> M, Plath K. A bivalent chromatin structure marks key</w:t>
      </w:r>
    </w:p>
    <w:p w14:paraId="22F087B8"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developmental genes in embryonic stem cells. Cell. </w:t>
      </w:r>
      <w:proofErr w:type="gramStart"/>
      <w:r w:rsidRPr="00144CD2">
        <w:rPr>
          <w:rFonts w:cs="BgwncyAdvTTb5929f4c"/>
          <w:color w:val="131413"/>
          <w:sz w:val="24"/>
          <w:szCs w:val="24"/>
        </w:rPr>
        <w:t>2006;125:315</w:t>
      </w:r>
      <w:proofErr w:type="gramEnd"/>
      <w:r w:rsidRPr="00144CD2">
        <w:rPr>
          <w:rFonts w:cs="PgnchlAdvTTb5929f4c+20"/>
          <w:color w:val="131413"/>
          <w:sz w:val="24"/>
          <w:szCs w:val="24"/>
        </w:rPr>
        <w:t>–</w:t>
      </w:r>
      <w:r w:rsidRPr="00144CD2">
        <w:rPr>
          <w:rFonts w:cs="BgwncyAdvTTb5929f4c"/>
          <w:color w:val="131413"/>
          <w:sz w:val="24"/>
          <w:szCs w:val="24"/>
        </w:rPr>
        <w:t>26.</w:t>
      </w:r>
    </w:p>
    <w:p w14:paraId="00935645"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5. Boyer LA, Lee TI, Cole MF, Johnstone SE, Levine SS, Zucker JP, Guenther MG,</w:t>
      </w:r>
    </w:p>
    <w:p w14:paraId="2F613FED"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Kumar RM, Murray HL, Jenner RG. Core transcriptional regulatory circuitry in</w:t>
      </w:r>
    </w:p>
    <w:p w14:paraId="40DE3D0B"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human embryonic stem cells. cell. </w:t>
      </w:r>
      <w:proofErr w:type="gramStart"/>
      <w:r w:rsidRPr="00144CD2">
        <w:rPr>
          <w:rFonts w:cs="BgwncyAdvTTb5929f4c"/>
          <w:color w:val="131413"/>
          <w:sz w:val="24"/>
          <w:szCs w:val="24"/>
        </w:rPr>
        <w:t>2005;122:947</w:t>
      </w:r>
      <w:proofErr w:type="gramEnd"/>
      <w:r w:rsidRPr="00144CD2">
        <w:rPr>
          <w:rFonts w:cs="PgnchlAdvTTb5929f4c+20"/>
          <w:color w:val="131413"/>
          <w:sz w:val="24"/>
          <w:szCs w:val="24"/>
        </w:rPr>
        <w:t>–</w:t>
      </w:r>
      <w:r w:rsidRPr="00144CD2">
        <w:rPr>
          <w:rFonts w:cs="BgwncyAdvTTb5929f4c"/>
          <w:color w:val="131413"/>
          <w:sz w:val="24"/>
          <w:szCs w:val="24"/>
        </w:rPr>
        <w:t>56.</w:t>
      </w:r>
    </w:p>
    <w:p w14:paraId="28D89B16"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6. </w:t>
      </w:r>
      <w:proofErr w:type="spellStart"/>
      <w:r w:rsidRPr="00144CD2">
        <w:rPr>
          <w:rFonts w:cs="BgwncyAdvTTb5929f4c"/>
          <w:color w:val="131413"/>
          <w:sz w:val="24"/>
          <w:szCs w:val="24"/>
        </w:rPr>
        <w:t>Hamazaki</w:t>
      </w:r>
      <w:proofErr w:type="spellEnd"/>
      <w:r w:rsidRPr="00144CD2">
        <w:rPr>
          <w:rFonts w:cs="BgwncyAdvTTb5929f4c"/>
          <w:color w:val="131413"/>
          <w:sz w:val="24"/>
          <w:szCs w:val="24"/>
        </w:rPr>
        <w:t xml:space="preserve"> T, El </w:t>
      </w:r>
      <w:proofErr w:type="spellStart"/>
      <w:r w:rsidRPr="00144CD2">
        <w:rPr>
          <w:rFonts w:cs="BgwncyAdvTTb5929f4c"/>
          <w:color w:val="131413"/>
          <w:sz w:val="24"/>
          <w:szCs w:val="24"/>
        </w:rPr>
        <w:t>Rouby</w:t>
      </w:r>
      <w:proofErr w:type="spellEnd"/>
      <w:r w:rsidRPr="00144CD2">
        <w:rPr>
          <w:rFonts w:cs="BgwncyAdvTTb5929f4c"/>
          <w:color w:val="131413"/>
          <w:sz w:val="24"/>
          <w:szCs w:val="24"/>
        </w:rPr>
        <w:t xml:space="preserve"> N, Fredette NC, </w:t>
      </w:r>
      <w:proofErr w:type="spellStart"/>
      <w:r w:rsidRPr="00144CD2">
        <w:rPr>
          <w:rFonts w:cs="BgwncyAdvTTb5929f4c"/>
          <w:color w:val="131413"/>
          <w:sz w:val="24"/>
          <w:szCs w:val="24"/>
        </w:rPr>
        <w:t>Santostefano</w:t>
      </w:r>
      <w:proofErr w:type="spellEnd"/>
      <w:r w:rsidRPr="00144CD2">
        <w:rPr>
          <w:rFonts w:cs="BgwncyAdvTTb5929f4c"/>
          <w:color w:val="131413"/>
          <w:sz w:val="24"/>
          <w:szCs w:val="24"/>
        </w:rPr>
        <w:t xml:space="preserve"> KE, Terada N. Concise</w:t>
      </w:r>
    </w:p>
    <w:p w14:paraId="18C2731C"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review: induced pluripotent stem cell research in the era of precision</w:t>
      </w:r>
    </w:p>
    <w:p w14:paraId="76C6C406"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medicine. Stem Cells. </w:t>
      </w:r>
      <w:proofErr w:type="gramStart"/>
      <w:r w:rsidRPr="00144CD2">
        <w:rPr>
          <w:rFonts w:cs="BgwncyAdvTTb5929f4c"/>
          <w:color w:val="131413"/>
          <w:sz w:val="24"/>
          <w:szCs w:val="24"/>
        </w:rPr>
        <w:t>2017;35:545</w:t>
      </w:r>
      <w:proofErr w:type="gramEnd"/>
      <w:r w:rsidRPr="00144CD2">
        <w:rPr>
          <w:rFonts w:cs="PgnchlAdvTTb5929f4c+20"/>
          <w:color w:val="131413"/>
          <w:sz w:val="24"/>
          <w:szCs w:val="24"/>
        </w:rPr>
        <w:t>–</w:t>
      </w:r>
      <w:r w:rsidRPr="00144CD2">
        <w:rPr>
          <w:rFonts w:cs="BgwncyAdvTTb5929f4c"/>
          <w:color w:val="131413"/>
          <w:sz w:val="24"/>
          <w:szCs w:val="24"/>
        </w:rPr>
        <w:t>50.</w:t>
      </w:r>
    </w:p>
    <w:p w14:paraId="425B05A1"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7. </w:t>
      </w:r>
      <w:proofErr w:type="spellStart"/>
      <w:r w:rsidRPr="00144CD2">
        <w:rPr>
          <w:rFonts w:cs="BgwncyAdvTTb5929f4c"/>
          <w:color w:val="131413"/>
          <w:sz w:val="24"/>
          <w:szCs w:val="24"/>
        </w:rPr>
        <w:t>Odorico</w:t>
      </w:r>
      <w:proofErr w:type="spellEnd"/>
      <w:r w:rsidRPr="00144CD2">
        <w:rPr>
          <w:rFonts w:cs="BgwncyAdvTTb5929f4c"/>
          <w:color w:val="131413"/>
          <w:sz w:val="24"/>
          <w:szCs w:val="24"/>
        </w:rPr>
        <w:t xml:space="preserve"> JS, Kaufman DS, Thomson JA. Multilineage differentiation from</w:t>
      </w:r>
    </w:p>
    <w:p w14:paraId="38F3B73F"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human embryonic stem cell lines. Stem Cells. </w:t>
      </w:r>
      <w:proofErr w:type="gramStart"/>
      <w:r w:rsidRPr="00144CD2">
        <w:rPr>
          <w:rFonts w:cs="BgwncyAdvTTb5929f4c"/>
          <w:color w:val="131413"/>
          <w:sz w:val="24"/>
          <w:szCs w:val="24"/>
        </w:rPr>
        <w:t>2001;19:193</w:t>
      </w:r>
      <w:proofErr w:type="gramEnd"/>
      <w:r w:rsidRPr="00144CD2">
        <w:rPr>
          <w:rFonts w:cs="PgnchlAdvTTb5929f4c+20"/>
          <w:color w:val="131413"/>
          <w:sz w:val="24"/>
          <w:szCs w:val="24"/>
        </w:rPr>
        <w:t>–</w:t>
      </w:r>
      <w:r w:rsidRPr="00144CD2">
        <w:rPr>
          <w:rFonts w:cs="BgwncyAdvTTb5929f4c"/>
          <w:color w:val="131413"/>
          <w:sz w:val="24"/>
          <w:szCs w:val="24"/>
        </w:rPr>
        <w:t>204.</w:t>
      </w:r>
    </w:p>
    <w:p w14:paraId="78C9C9D8"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8. Sato N, Meijer L, </w:t>
      </w:r>
      <w:proofErr w:type="spellStart"/>
      <w:r w:rsidRPr="00144CD2">
        <w:rPr>
          <w:rFonts w:cs="BgwncyAdvTTb5929f4c"/>
          <w:color w:val="131413"/>
          <w:sz w:val="24"/>
          <w:szCs w:val="24"/>
        </w:rPr>
        <w:t>Skaltsounis</w:t>
      </w:r>
      <w:proofErr w:type="spellEnd"/>
      <w:r w:rsidRPr="00144CD2">
        <w:rPr>
          <w:rFonts w:cs="BgwncyAdvTTb5929f4c"/>
          <w:color w:val="131413"/>
          <w:sz w:val="24"/>
          <w:szCs w:val="24"/>
        </w:rPr>
        <w:t xml:space="preserve"> L, Greengard P, </w:t>
      </w:r>
      <w:proofErr w:type="spellStart"/>
      <w:r w:rsidRPr="00144CD2">
        <w:rPr>
          <w:rFonts w:cs="BgwncyAdvTTb5929f4c"/>
          <w:color w:val="131413"/>
          <w:sz w:val="24"/>
          <w:szCs w:val="24"/>
        </w:rPr>
        <w:t>Brivanlou</w:t>
      </w:r>
      <w:proofErr w:type="spellEnd"/>
      <w:r w:rsidRPr="00144CD2">
        <w:rPr>
          <w:rFonts w:cs="BgwncyAdvTTb5929f4c"/>
          <w:color w:val="131413"/>
          <w:sz w:val="24"/>
          <w:szCs w:val="24"/>
        </w:rPr>
        <w:t xml:space="preserve"> AH. Maintenance of</w:t>
      </w:r>
    </w:p>
    <w:p w14:paraId="70515B20"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pluripotency in human and mouse embryonic stem cells through activation</w:t>
      </w:r>
    </w:p>
    <w:p w14:paraId="7C21DDF9"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of </w:t>
      </w:r>
      <w:proofErr w:type="spellStart"/>
      <w:r w:rsidRPr="00144CD2">
        <w:rPr>
          <w:rFonts w:cs="BgwncyAdvTTb5929f4c"/>
          <w:color w:val="131413"/>
          <w:sz w:val="24"/>
          <w:szCs w:val="24"/>
        </w:rPr>
        <w:t>Wnt</w:t>
      </w:r>
      <w:proofErr w:type="spellEnd"/>
      <w:r w:rsidRPr="00144CD2">
        <w:rPr>
          <w:rFonts w:cs="BgwncyAdvTTb5929f4c"/>
          <w:color w:val="131413"/>
          <w:sz w:val="24"/>
          <w:szCs w:val="24"/>
        </w:rPr>
        <w:t xml:space="preserve"> signaling by a pharmacological GSK-3-specific inhibitor. Nat Med.</w:t>
      </w:r>
    </w:p>
    <w:p w14:paraId="3A4D8355"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proofErr w:type="gramStart"/>
      <w:r w:rsidRPr="00144CD2">
        <w:rPr>
          <w:rFonts w:cs="BgwncyAdvTTb5929f4c"/>
          <w:color w:val="131413"/>
          <w:sz w:val="24"/>
          <w:szCs w:val="24"/>
        </w:rPr>
        <w:t>2004;10:55</w:t>
      </w:r>
      <w:proofErr w:type="gramEnd"/>
      <w:r w:rsidRPr="00144CD2">
        <w:rPr>
          <w:rFonts w:cs="BgwncyAdvTTb5929f4c"/>
          <w:color w:val="131413"/>
          <w:sz w:val="24"/>
          <w:szCs w:val="24"/>
        </w:rPr>
        <w:t>.</w:t>
      </w:r>
    </w:p>
    <w:p w14:paraId="4AB420A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9. Tachibana M, Amato P, </w:t>
      </w:r>
      <w:proofErr w:type="spellStart"/>
      <w:r w:rsidRPr="00144CD2">
        <w:rPr>
          <w:rFonts w:cs="BgwncyAdvTTb5929f4c"/>
          <w:color w:val="131413"/>
          <w:sz w:val="24"/>
          <w:szCs w:val="24"/>
        </w:rPr>
        <w:t>Sparman</w:t>
      </w:r>
      <w:proofErr w:type="spellEnd"/>
      <w:r w:rsidRPr="00144CD2">
        <w:rPr>
          <w:rFonts w:cs="BgwncyAdvTTb5929f4c"/>
          <w:color w:val="131413"/>
          <w:sz w:val="24"/>
          <w:szCs w:val="24"/>
        </w:rPr>
        <w:t xml:space="preserve"> M, Gutierrez NM, </w:t>
      </w:r>
      <w:proofErr w:type="spellStart"/>
      <w:r w:rsidRPr="00144CD2">
        <w:rPr>
          <w:rFonts w:cs="BgwncyAdvTTb5929f4c"/>
          <w:color w:val="131413"/>
          <w:sz w:val="24"/>
          <w:szCs w:val="24"/>
        </w:rPr>
        <w:t>Tippner</w:t>
      </w:r>
      <w:proofErr w:type="spellEnd"/>
      <w:r w:rsidRPr="00144CD2">
        <w:rPr>
          <w:rFonts w:cs="BgwncyAdvTTb5929f4c"/>
          <w:color w:val="131413"/>
          <w:sz w:val="24"/>
          <w:szCs w:val="24"/>
        </w:rPr>
        <w:t>-Hedges R, Ma H,</w:t>
      </w:r>
    </w:p>
    <w:p w14:paraId="7B569404"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Kang E, </w:t>
      </w:r>
      <w:proofErr w:type="spellStart"/>
      <w:r w:rsidRPr="00144CD2">
        <w:rPr>
          <w:rFonts w:cs="BgwncyAdvTTb5929f4c"/>
          <w:color w:val="131413"/>
          <w:sz w:val="24"/>
          <w:szCs w:val="24"/>
        </w:rPr>
        <w:t>Fulati</w:t>
      </w:r>
      <w:proofErr w:type="spellEnd"/>
      <w:r w:rsidRPr="00144CD2">
        <w:rPr>
          <w:rFonts w:cs="BgwncyAdvTTb5929f4c"/>
          <w:color w:val="131413"/>
          <w:sz w:val="24"/>
          <w:szCs w:val="24"/>
        </w:rPr>
        <w:t xml:space="preserve"> A, Lee H-S, </w:t>
      </w:r>
      <w:proofErr w:type="spellStart"/>
      <w:r w:rsidRPr="00144CD2">
        <w:rPr>
          <w:rFonts w:cs="BgwncyAdvTTb5929f4c"/>
          <w:color w:val="131413"/>
          <w:sz w:val="24"/>
          <w:szCs w:val="24"/>
        </w:rPr>
        <w:t>Sritanaudomchai</w:t>
      </w:r>
      <w:proofErr w:type="spellEnd"/>
      <w:r w:rsidRPr="00144CD2">
        <w:rPr>
          <w:rFonts w:cs="BgwncyAdvTTb5929f4c"/>
          <w:color w:val="131413"/>
          <w:sz w:val="24"/>
          <w:szCs w:val="24"/>
        </w:rPr>
        <w:t xml:space="preserve"> H. Human embryonic stem cells</w:t>
      </w:r>
    </w:p>
    <w:p w14:paraId="4379515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derived by somatic cell nuclear transfer. Cell. </w:t>
      </w:r>
      <w:proofErr w:type="gramStart"/>
      <w:r w:rsidRPr="00144CD2">
        <w:rPr>
          <w:rFonts w:cs="BgwncyAdvTTb5929f4c"/>
          <w:color w:val="131413"/>
          <w:sz w:val="24"/>
          <w:szCs w:val="24"/>
        </w:rPr>
        <w:t>2013;153:1228</w:t>
      </w:r>
      <w:proofErr w:type="gramEnd"/>
      <w:r w:rsidRPr="00144CD2">
        <w:rPr>
          <w:rFonts w:cs="PgnchlAdvTTb5929f4c+20"/>
          <w:color w:val="131413"/>
          <w:sz w:val="24"/>
          <w:szCs w:val="24"/>
        </w:rPr>
        <w:t>–</w:t>
      </w:r>
      <w:r w:rsidRPr="00144CD2">
        <w:rPr>
          <w:rFonts w:cs="BgwncyAdvTTb5929f4c"/>
          <w:color w:val="131413"/>
          <w:sz w:val="24"/>
          <w:szCs w:val="24"/>
        </w:rPr>
        <w:t>38.</w:t>
      </w:r>
    </w:p>
    <w:p w14:paraId="20335CFD"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10. </w:t>
      </w:r>
      <w:proofErr w:type="spellStart"/>
      <w:r w:rsidRPr="00144CD2">
        <w:rPr>
          <w:rFonts w:cs="BgwncyAdvTTb5929f4c"/>
          <w:color w:val="131413"/>
          <w:sz w:val="24"/>
          <w:szCs w:val="24"/>
        </w:rPr>
        <w:t>Vallier</w:t>
      </w:r>
      <w:proofErr w:type="spellEnd"/>
      <w:r w:rsidRPr="00144CD2">
        <w:rPr>
          <w:rFonts w:cs="BgwncyAdvTTb5929f4c"/>
          <w:color w:val="131413"/>
          <w:sz w:val="24"/>
          <w:szCs w:val="24"/>
        </w:rPr>
        <w:t xml:space="preserve"> L, Alexander M, Pedersen RA. Activin/nodal and FGF pathways</w:t>
      </w:r>
    </w:p>
    <w:p w14:paraId="6D832794"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cooperate to maintain pluripotency of human embryonic stem cells. J Cell</w:t>
      </w:r>
    </w:p>
    <w:p w14:paraId="5B925884"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Sci. </w:t>
      </w:r>
      <w:proofErr w:type="gramStart"/>
      <w:r w:rsidRPr="00144CD2">
        <w:rPr>
          <w:rFonts w:cs="BgwncyAdvTTb5929f4c"/>
          <w:color w:val="131413"/>
          <w:sz w:val="24"/>
          <w:szCs w:val="24"/>
        </w:rPr>
        <w:t>2005;118:4495</w:t>
      </w:r>
      <w:proofErr w:type="gramEnd"/>
      <w:r w:rsidRPr="00144CD2">
        <w:rPr>
          <w:rFonts w:cs="PgnchlAdvTTb5929f4c+20"/>
          <w:color w:val="131413"/>
          <w:sz w:val="24"/>
          <w:szCs w:val="24"/>
        </w:rPr>
        <w:t>–</w:t>
      </w:r>
      <w:r w:rsidRPr="00144CD2">
        <w:rPr>
          <w:rFonts w:cs="BgwncyAdvTTb5929f4c"/>
          <w:color w:val="131413"/>
          <w:sz w:val="24"/>
          <w:szCs w:val="24"/>
        </w:rPr>
        <w:t>509.</w:t>
      </w:r>
    </w:p>
    <w:p w14:paraId="185AB49F"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11. Zhao XD, Han X, Chew JL, Liu J, Chiu KP, Choo A, </w:t>
      </w:r>
      <w:proofErr w:type="spellStart"/>
      <w:r w:rsidRPr="00144CD2">
        <w:rPr>
          <w:rFonts w:cs="BgwncyAdvTTb5929f4c"/>
          <w:color w:val="131413"/>
          <w:sz w:val="24"/>
          <w:szCs w:val="24"/>
        </w:rPr>
        <w:t>Orlov</w:t>
      </w:r>
      <w:proofErr w:type="spellEnd"/>
      <w:r w:rsidRPr="00144CD2">
        <w:rPr>
          <w:rFonts w:cs="BgwncyAdvTTb5929f4c"/>
          <w:color w:val="131413"/>
          <w:sz w:val="24"/>
          <w:szCs w:val="24"/>
        </w:rPr>
        <w:t xml:space="preserve"> YL, Sung W-K,</w:t>
      </w:r>
    </w:p>
    <w:p w14:paraId="6ACFE41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Shahab A, </w:t>
      </w:r>
      <w:proofErr w:type="spellStart"/>
      <w:r w:rsidRPr="00144CD2">
        <w:rPr>
          <w:rFonts w:cs="BgwncyAdvTTb5929f4c"/>
          <w:color w:val="131413"/>
          <w:sz w:val="24"/>
          <w:szCs w:val="24"/>
        </w:rPr>
        <w:t>Kuznetsov</w:t>
      </w:r>
      <w:proofErr w:type="spellEnd"/>
      <w:r w:rsidRPr="00144CD2">
        <w:rPr>
          <w:rFonts w:cs="BgwncyAdvTTb5929f4c"/>
          <w:color w:val="131413"/>
          <w:sz w:val="24"/>
          <w:szCs w:val="24"/>
        </w:rPr>
        <w:t xml:space="preserve"> VA. Whole-genome mapping of histone H3 Lys4 and</w:t>
      </w:r>
    </w:p>
    <w:p w14:paraId="446F411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27 trimethylations reveals distinct genomic compartments in human</w:t>
      </w:r>
    </w:p>
    <w:p w14:paraId="7B21FD3A"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embryonic stem cells. Cell Stem Cell. </w:t>
      </w:r>
      <w:proofErr w:type="gramStart"/>
      <w:r w:rsidRPr="00144CD2">
        <w:rPr>
          <w:rFonts w:cs="BgwncyAdvTTb5929f4c"/>
          <w:color w:val="131413"/>
          <w:sz w:val="24"/>
          <w:szCs w:val="24"/>
        </w:rPr>
        <w:t>2007;1:286</w:t>
      </w:r>
      <w:proofErr w:type="gramEnd"/>
      <w:r w:rsidRPr="00144CD2">
        <w:rPr>
          <w:rFonts w:cs="PgnchlAdvTTb5929f4c+20"/>
          <w:color w:val="131413"/>
          <w:sz w:val="24"/>
          <w:szCs w:val="24"/>
        </w:rPr>
        <w:t>–</w:t>
      </w:r>
      <w:r w:rsidRPr="00144CD2">
        <w:rPr>
          <w:rFonts w:cs="BgwncyAdvTTb5929f4c"/>
          <w:color w:val="131413"/>
          <w:sz w:val="24"/>
          <w:szCs w:val="24"/>
        </w:rPr>
        <w:t>98.</w:t>
      </w:r>
    </w:p>
    <w:p w14:paraId="61FC9866"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12. </w:t>
      </w:r>
      <w:proofErr w:type="spellStart"/>
      <w:r w:rsidRPr="00144CD2">
        <w:rPr>
          <w:rFonts w:cs="BgwncyAdvTTb5929f4c"/>
          <w:color w:val="131413"/>
          <w:sz w:val="24"/>
          <w:szCs w:val="24"/>
        </w:rPr>
        <w:t>Smarandache</w:t>
      </w:r>
      <w:proofErr w:type="spellEnd"/>
      <w:r w:rsidRPr="00144CD2">
        <w:rPr>
          <w:rFonts w:cs="BgwncyAdvTTb5929f4c"/>
          <w:color w:val="131413"/>
          <w:sz w:val="24"/>
          <w:szCs w:val="24"/>
        </w:rPr>
        <w:t xml:space="preserve"> F. </w:t>
      </w:r>
      <w:proofErr w:type="spellStart"/>
      <w:r w:rsidRPr="00144CD2">
        <w:rPr>
          <w:rFonts w:cs="BgwncyAdvTTb5929f4c"/>
          <w:color w:val="131413"/>
          <w:sz w:val="24"/>
          <w:szCs w:val="24"/>
        </w:rPr>
        <w:t>Neutrosophic</w:t>
      </w:r>
      <w:proofErr w:type="spellEnd"/>
      <w:r w:rsidRPr="00144CD2">
        <w:rPr>
          <w:rFonts w:cs="BgwncyAdvTTb5929f4c"/>
          <w:color w:val="131413"/>
          <w:sz w:val="24"/>
          <w:szCs w:val="24"/>
        </w:rPr>
        <w:t xml:space="preserve"> logic-a generalization of the intuitionistic</w:t>
      </w:r>
    </w:p>
    <w:p w14:paraId="326F647C"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fuzzy logic. </w:t>
      </w:r>
      <w:proofErr w:type="spellStart"/>
      <w:r w:rsidRPr="00144CD2">
        <w:rPr>
          <w:rFonts w:cs="BgwncyAdvTTb5929f4c"/>
          <w:color w:val="131413"/>
          <w:sz w:val="24"/>
          <w:szCs w:val="24"/>
        </w:rPr>
        <w:t>Multispace</w:t>
      </w:r>
      <w:proofErr w:type="spellEnd"/>
      <w:r w:rsidRPr="00144CD2">
        <w:rPr>
          <w:rFonts w:cs="BgwncyAdvTTb5929f4c"/>
          <w:color w:val="131413"/>
          <w:sz w:val="24"/>
          <w:szCs w:val="24"/>
        </w:rPr>
        <w:t xml:space="preserve"> &amp; </w:t>
      </w:r>
      <w:proofErr w:type="spellStart"/>
      <w:r w:rsidRPr="00144CD2">
        <w:rPr>
          <w:rFonts w:cs="BgwncyAdvTTb5929f4c"/>
          <w:color w:val="131413"/>
          <w:sz w:val="24"/>
          <w:szCs w:val="24"/>
        </w:rPr>
        <w:t>Multistructure</w:t>
      </w:r>
      <w:proofErr w:type="spellEnd"/>
      <w:r w:rsidRPr="00144CD2">
        <w:rPr>
          <w:rFonts w:cs="BgwncyAdvTTb5929f4c"/>
          <w:color w:val="131413"/>
          <w:sz w:val="24"/>
          <w:szCs w:val="24"/>
        </w:rPr>
        <w:t xml:space="preserve"> </w:t>
      </w:r>
      <w:proofErr w:type="spellStart"/>
      <w:r w:rsidRPr="00144CD2">
        <w:rPr>
          <w:rFonts w:cs="BgwncyAdvTTb5929f4c"/>
          <w:color w:val="131413"/>
          <w:sz w:val="24"/>
          <w:szCs w:val="24"/>
        </w:rPr>
        <w:t>Neutrosophic</w:t>
      </w:r>
      <w:proofErr w:type="spellEnd"/>
      <w:r w:rsidRPr="00144CD2">
        <w:rPr>
          <w:rFonts w:cs="BgwncyAdvTTb5929f4c"/>
          <w:color w:val="131413"/>
          <w:sz w:val="24"/>
          <w:szCs w:val="24"/>
        </w:rPr>
        <w:t xml:space="preserve"> </w:t>
      </w:r>
      <w:proofErr w:type="spellStart"/>
      <w:r w:rsidRPr="00144CD2">
        <w:rPr>
          <w:rFonts w:cs="BgwncyAdvTTb5929f4c"/>
          <w:color w:val="131413"/>
          <w:sz w:val="24"/>
          <w:szCs w:val="24"/>
        </w:rPr>
        <w:t>Transdisciplinarity</w:t>
      </w:r>
      <w:proofErr w:type="spellEnd"/>
      <w:r w:rsidRPr="00144CD2">
        <w:rPr>
          <w:rFonts w:cs="BgwncyAdvTTb5929f4c"/>
          <w:color w:val="131413"/>
          <w:sz w:val="24"/>
          <w:szCs w:val="24"/>
        </w:rPr>
        <w:t xml:space="preserve"> (100</w:t>
      </w:r>
    </w:p>
    <w:p w14:paraId="766EC44E"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collected papers of Science). </w:t>
      </w:r>
      <w:proofErr w:type="gramStart"/>
      <w:r w:rsidRPr="00144CD2">
        <w:rPr>
          <w:rFonts w:cs="BgwncyAdvTTb5929f4c"/>
          <w:color w:val="131413"/>
          <w:sz w:val="24"/>
          <w:szCs w:val="24"/>
        </w:rPr>
        <w:t>2010;4:396</w:t>
      </w:r>
      <w:proofErr w:type="gramEnd"/>
      <w:r w:rsidRPr="00144CD2">
        <w:rPr>
          <w:rFonts w:cs="BgwncyAdvTTb5929f4c"/>
          <w:color w:val="131413"/>
          <w:sz w:val="24"/>
          <w:szCs w:val="24"/>
        </w:rPr>
        <w:t>.</w:t>
      </w:r>
    </w:p>
    <w:p w14:paraId="126DEDAF"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13. </w:t>
      </w:r>
      <w:proofErr w:type="spellStart"/>
      <w:r w:rsidRPr="00144CD2">
        <w:rPr>
          <w:rFonts w:cs="BgwncyAdvTTb5929f4c"/>
          <w:color w:val="131413"/>
          <w:sz w:val="24"/>
          <w:szCs w:val="24"/>
        </w:rPr>
        <w:t>Groumpos</w:t>
      </w:r>
      <w:proofErr w:type="spellEnd"/>
      <w:r w:rsidRPr="00144CD2">
        <w:rPr>
          <w:rFonts w:cs="BgwncyAdvTTb5929f4c"/>
          <w:color w:val="131413"/>
          <w:sz w:val="24"/>
          <w:szCs w:val="24"/>
        </w:rPr>
        <w:t xml:space="preserve"> VP, </w:t>
      </w:r>
      <w:proofErr w:type="spellStart"/>
      <w:r w:rsidRPr="00144CD2">
        <w:rPr>
          <w:rFonts w:cs="BgwncyAdvTTb5929f4c"/>
          <w:color w:val="131413"/>
          <w:sz w:val="24"/>
          <w:szCs w:val="24"/>
        </w:rPr>
        <w:t>Biniari</w:t>
      </w:r>
      <w:proofErr w:type="spellEnd"/>
      <w:r w:rsidRPr="00144CD2">
        <w:rPr>
          <w:rFonts w:cs="BgwncyAdvTTb5929f4c"/>
          <w:color w:val="131413"/>
          <w:sz w:val="24"/>
          <w:szCs w:val="24"/>
        </w:rPr>
        <w:t xml:space="preserve"> K, </w:t>
      </w:r>
      <w:proofErr w:type="spellStart"/>
      <w:r w:rsidRPr="00144CD2">
        <w:rPr>
          <w:rFonts w:cs="BgwncyAdvTTb5929f4c"/>
          <w:color w:val="131413"/>
          <w:sz w:val="24"/>
          <w:szCs w:val="24"/>
        </w:rPr>
        <w:t>Groumpos</w:t>
      </w:r>
      <w:proofErr w:type="spellEnd"/>
      <w:r w:rsidRPr="00144CD2">
        <w:rPr>
          <w:rFonts w:cs="BgwncyAdvTTb5929f4c"/>
          <w:color w:val="131413"/>
          <w:sz w:val="24"/>
          <w:szCs w:val="24"/>
        </w:rPr>
        <w:t xml:space="preserve"> PP. A new mathematical modelling</w:t>
      </w:r>
    </w:p>
    <w:p w14:paraId="1E44041B"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approach for viticulture and winemaking using fuzzy cognitive maps. Paper</w:t>
      </w:r>
    </w:p>
    <w:p w14:paraId="325E35C2"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presented at: ELEKTRO, 2016 (IEEE); 2016.</w:t>
      </w:r>
    </w:p>
    <w:p w14:paraId="634124EC"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14. Wang H, Raj B, Xing EP. On the origin of deep learning. </w:t>
      </w:r>
      <w:proofErr w:type="spellStart"/>
      <w:r w:rsidRPr="00144CD2">
        <w:rPr>
          <w:rFonts w:cs="BgwncyAdvTTb5929f4c"/>
          <w:color w:val="131413"/>
          <w:sz w:val="24"/>
          <w:szCs w:val="24"/>
        </w:rPr>
        <w:t>arXiv</w:t>
      </w:r>
      <w:proofErr w:type="spellEnd"/>
      <w:r w:rsidRPr="00144CD2">
        <w:rPr>
          <w:rFonts w:cs="BgwncyAdvTTb5929f4c"/>
          <w:color w:val="131413"/>
          <w:sz w:val="24"/>
          <w:szCs w:val="24"/>
        </w:rPr>
        <w:t xml:space="preserve"> preprint </w:t>
      </w:r>
      <w:proofErr w:type="spellStart"/>
      <w:r w:rsidRPr="00144CD2">
        <w:rPr>
          <w:rFonts w:cs="BgwncyAdvTTb5929f4c"/>
          <w:color w:val="131413"/>
          <w:sz w:val="24"/>
          <w:szCs w:val="24"/>
        </w:rPr>
        <w:t>arXiv</w:t>
      </w:r>
      <w:proofErr w:type="spellEnd"/>
      <w:r w:rsidRPr="00144CD2">
        <w:rPr>
          <w:rFonts w:cs="BgwncyAdvTTb5929f4c"/>
          <w:color w:val="131413"/>
          <w:sz w:val="24"/>
          <w:szCs w:val="24"/>
        </w:rPr>
        <w:t>:</w:t>
      </w:r>
    </w:p>
    <w:p w14:paraId="55325C95"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170207800; 2017.</w:t>
      </w:r>
    </w:p>
    <w:p w14:paraId="08169AB9"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15. Kandasamy WV, </w:t>
      </w:r>
      <w:proofErr w:type="spellStart"/>
      <w:r w:rsidRPr="00144CD2">
        <w:rPr>
          <w:rFonts w:cs="BgwncyAdvTTb5929f4c"/>
          <w:color w:val="131413"/>
          <w:sz w:val="24"/>
          <w:szCs w:val="24"/>
        </w:rPr>
        <w:t>Smarandache</w:t>
      </w:r>
      <w:proofErr w:type="spellEnd"/>
      <w:r w:rsidRPr="00144CD2">
        <w:rPr>
          <w:rFonts w:cs="BgwncyAdvTTb5929f4c"/>
          <w:color w:val="131413"/>
          <w:sz w:val="24"/>
          <w:szCs w:val="24"/>
        </w:rPr>
        <w:t xml:space="preserve"> F. Fuzzy cognitive maps and </w:t>
      </w:r>
      <w:proofErr w:type="spellStart"/>
      <w:r w:rsidRPr="00144CD2">
        <w:rPr>
          <w:rFonts w:cs="BgwncyAdvTTb5929f4c"/>
          <w:color w:val="131413"/>
          <w:sz w:val="24"/>
          <w:szCs w:val="24"/>
        </w:rPr>
        <w:t>neutrosophic</w:t>
      </w:r>
      <w:proofErr w:type="spellEnd"/>
    </w:p>
    <w:p w14:paraId="663A4F78"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cognitive maps (infinite study); 2003.</w:t>
      </w:r>
    </w:p>
    <w:p w14:paraId="6607AB7F"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lastRenderedPageBreak/>
        <w:t xml:space="preserve">16. William MA, </w:t>
      </w:r>
      <w:proofErr w:type="spellStart"/>
      <w:r w:rsidRPr="00144CD2">
        <w:rPr>
          <w:rFonts w:cs="BgwncyAdvTTb5929f4c"/>
          <w:color w:val="131413"/>
          <w:sz w:val="24"/>
          <w:szCs w:val="24"/>
        </w:rPr>
        <w:t>Devadoss</w:t>
      </w:r>
      <w:proofErr w:type="spellEnd"/>
      <w:r w:rsidRPr="00144CD2">
        <w:rPr>
          <w:rFonts w:cs="BgwncyAdvTTb5929f4c"/>
          <w:color w:val="131413"/>
          <w:sz w:val="24"/>
          <w:szCs w:val="24"/>
        </w:rPr>
        <w:t xml:space="preserve"> AV, </w:t>
      </w:r>
      <w:proofErr w:type="spellStart"/>
      <w:r w:rsidRPr="00144CD2">
        <w:rPr>
          <w:rFonts w:cs="BgwncyAdvTTb5929f4c"/>
          <w:color w:val="131413"/>
          <w:sz w:val="24"/>
          <w:szCs w:val="24"/>
        </w:rPr>
        <w:t>Sheeba</w:t>
      </w:r>
      <w:proofErr w:type="spellEnd"/>
      <w:r w:rsidRPr="00144CD2">
        <w:rPr>
          <w:rFonts w:cs="BgwncyAdvTTb5929f4c"/>
          <w:color w:val="131413"/>
          <w:sz w:val="24"/>
          <w:szCs w:val="24"/>
        </w:rPr>
        <w:t xml:space="preserve"> JJ. A study on </w:t>
      </w:r>
      <w:proofErr w:type="spellStart"/>
      <w:r w:rsidRPr="00144CD2">
        <w:rPr>
          <w:rFonts w:cs="BgwncyAdvTTb5929f4c"/>
          <w:color w:val="131413"/>
          <w:sz w:val="24"/>
          <w:szCs w:val="24"/>
        </w:rPr>
        <w:t>Neutrosophic</w:t>
      </w:r>
      <w:proofErr w:type="spellEnd"/>
      <w:r w:rsidRPr="00144CD2">
        <w:rPr>
          <w:rFonts w:cs="BgwncyAdvTTb5929f4c"/>
          <w:color w:val="131413"/>
          <w:sz w:val="24"/>
          <w:szCs w:val="24"/>
        </w:rPr>
        <w:t xml:space="preserve"> cognitive</w:t>
      </w:r>
    </w:p>
    <w:p w14:paraId="4F4B1F79"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maps (NCMs) by analyzing the risk factors of breast Cancer. International</w:t>
      </w:r>
    </w:p>
    <w:p w14:paraId="100333DC"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Journal of Scientific &amp; Engineering Research. </w:t>
      </w:r>
      <w:proofErr w:type="gramStart"/>
      <w:r w:rsidRPr="00144CD2">
        <w:rPr>
          <w:rFonts w:cs="BgwncyAdvTTb5929f4c"/>
          <w:color w:val="131413"/>
          <w:sz w:val="24"/>
          <w:szCs w:val="24"/>
        </w:rPr>
        <w:t>2013;4:1</w:t>
      </w:r>
      <w:proofErr w:type="gramEnd"/>
      <w:r w:rsidRPr="00144CD2">
        <w:rPr>
          <w:rFonts w:cs="PgnchlAdvTTb5929f4c+20"/>
          <w:color w:val="131413"/>
          <w:sz w:val="24"/>
          <w:szCs w:val="24"/>
        </w:rPr>
        <w:t>–</w:t>
      </w:r>
      <w:r w:rsidRPr="00144CD2">
        <w:rPr>
          <w:rFonts w:cs="BgwncyAdvTTb5929f4c"/>
          <w:color w:val="131413"/>
          <w:sz w:val="24"/>
          <w:szCs w:val="24"/>
        </w:rPr>
        <w:t>4.</w:t>
      </w:r>
    </w:p>
    <w:p w14:paraId="65E93CA9"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 xml:space="preserve">18. Takahashi K, Tanabe K, </w:t>
      </w:r>
      <w:proofErr w:type="spellStart"/>
      <w:r w:rsidRPr="00144CD2">
        <w:rPr>
          <w:rFonts w:cs="BgwncyAdvTTb5929f4c"/>
          <w:color w:val="131413"/>
          <w:sz w:val="24"/>
          <w:szCs w:val="24"/>
        </w:rPr>
        <w:t>Ohnuki</w:t>
      </w:r>
      <w:proofErr w:type="spellEnd"/>
      <w:r w:rsidRPr="00144CD2">
        <w:rPr>
          <w:rFonts w:cs="BgwncyAdvTTb5929f4c"/>
          <w:color w:val="131413"/>
          <w:sz w:val="24"/>
          <w:szCs w:val="24"/>
        </w:rPr>
        <w:t xml:space="preserve"> M, Narita M, </w:t>
      </w:r>
      <w:proofErr w:type="spellStart"/>
      <w:r w:rsidRPr="00144CD2">
        <w:rPr>
          <w:rFonts w:cs="BgwncyAdvTTb5929f4c"/>
          <w:color w:val="131413"/>
          <w:sz w:val="24"/>
          <w:szCs w:val="24"/>
        </w:rPr>
        <w:t>Ichisaka</w:t>
      </w:r>
      <w:proofErr w:type="spellEnd"/>
      <w:r w:rsidRPr="00144CD2">
        <w:rPr>
          <w:rFonts w:cs="BgwncyAdvTTb5929f4c"/>
          <w:color w:val="131413"/>
          <w:sz w:val="24"/>
          <w:szCs w:val="24"/>
        </w:rPr>
        <w:t xml:space="preserve"> T, </w:t>
      </w:r>
      <w:proofErr w:type="spellStart"/>
      <w:r w:rsidRPr="00144CD2">
        <w:rPr>
          <w:rFonts w:cs="BgwncyAdvTTb5929f4c"/>
          <w:color w:val="131413"/>
          <w:sz w:val="24"/>
          <w:szCs w:val="24"/>
        </w:rPr>
        <w:t>Tomoda</w:t>
      </w:r>
      <w:proofErr w:type="spellEnd"/>
      <w:r w:rsidRPr="00144CD2">
        <w:rPr>
          <w:rFonts w:cs="BgwncyAdvTTb5929f4c"/>
          <w:color w:val="131413"/>
          <w:sz w:val="24"/>
          <w:szCs w:val="24"/>
        </w:rPr>
        <w:t xml:space="preserve"> K, Yamanaka</w:t>
      </w:r>
    </w:p>
    <w:p w14:paraId="3FC91302"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S. Induction of pluripotent stem cells from adult human fibroblasts by</w:t>
      </w:r>
    </w:p>
    <w:p w14:paraId="1FEB17FC" w14:textId="77777777" w:rsidR="008A01EC" w:rsidRPr="00144CD2" w:rsidRDefault="008A01EC" w:rsidP="008A01EC">
      <w:pPr>
        <w:autoSpaceDE w:val="0"/>
        <w:autoSpaceDN w:val="0"/>
        <w:adjustRightInd w:val="0"/>
        <w:spacing w:after="0" w:line="240" w:lineRule="auto"/>
        <w:jc w:val="both"/>
        <w:rPr>
          <w:rFonts w:cs="BgwncyAdvTTb5929f4c"/>
          <w:color w:val="131413"/>
          <w:sz w:val="24"/>
          <w:szCs w:val="24"/>
        </w:rPr>
      </w:pPr>
      <w:r w:rsidRPr="00144CD2">
        <w:rPr>
          <w:rFonts w:cs="BgwncyAdvTTb5929f4c"/>
          <w:color w:val="131413"/>
          <w:sz w:val="24"/>
          <w:szCs w:val="24"/>
        </w:rPr>
        <w:t>defined factors. cell. 2007</w:t>
      </w:r>
      <w:proofErr w:type="gramStart"/>
      <w:r w:rsidRPr="00144CD2">
        <w:rPr>
          <w:rFonts w:cs="BgwncyAdvTTb5929f4c"/>
          <w:color w:val="131413"/>
          <w:sz w:val="24"/>
          <w:szCs w:val="24"/>
        </w:rPr>
        <w:t>b;131:861</w:t>
      </w:r>
      <w:proofErr w:type="gramEnd"/>
      <w:r w:rsidRPr="00144CD2">
        <w:rPr>
          <w:rFonts w:cs="PgnchlAdvTTb5929f4c+20"/>
          <w:color w:val="131413"/>
          <w:sz w:val="24"/>
          <w:szCs w:val="24"/>
        </w:rPr>
        <w:t>–</w:t>
      </w:r>
      <w:r w:rsidRPr="00144CD2">
        <w:rPr>
          <w:rFonts w:cs="BgwncyAdvTTb5929f4c"/>
          <w:color w:val="131413"/>
          <w:sz w:val="24"/>
          <w:szCs w:val="24"/>
        </w:rPr>
        <w:t>72.</w:t>
      </w:r>
    </w:p>
    <w:p w14:paraId="1903D360" w14:textId="77777777" w:rsidR="008A01EC" w:rsidRPr="008E3FA0" w:rsidRDefault="008A01EC" w:rsidP="008A01EC">
      <w:pPr>
        <w:autoSpaceDE w:val="0"/>
        <w:autoSpaceDN w:val="0"/>
        <w:adjustRightInd w:val="0"/>
        <w:spacing w:after="0" w:line="240" w:lineRule="auto"/>
        <w:rPr>
          <w:rFonts w:cs="DfksnvAdvTT43ccf47d"/>
          <w:color w:val="000000"/>
          <w:sz w:val="24"/>
          <w:szCs w:val="24"/>
        </w:rPr>
      </w:pPr>
    </w:p>
    <w:p w14:paraId="13617117" w14:textId="77777777" w:rsidR="00CA7B87" w:rsidRPr="00801EB6" w:rsidRDefault="00CA7B87">
      <w:pPr>
        <w:rPr>
          <w:rFonts w:ascii="Arial" w:hAnsi="Arial" w:cs="Arial"/>
        </w:rPr>
      </w:pPr>
    </w:p>
    <w:sectPr w:rsidR="00CA7B87" w:rsidRPr="00801E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E3E6" w14:textId="77777777" w:rsidR="004D357F" w:rsidRDefault="004D357F" w:rsidP="00801EB6">
      <w:pPr>
        <w:spacing w:after="0" w:line="240" w:lineRule="auto"/>
      </w:pPr>
      <w:r>
        <w:separator/>
      </w:r>
    </w:p>
  </w:endnote>
  <w:endnote w:type="continuationSeparator" w:id="0">
    <w:p w14:paraId="154D90DF" w14:textId="77777777" w:rsidR="004D357F" w:rsidRDefault="004D357F" w:rsidP="0080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fksnvAdvTT43ccf47d">
    <w:altName w:val="Cambria"/>
    <w:panose1 w:val="00000000000000000000"/>
    <w:charset w:val="00"/>
    <w:family w:val="roman"/>
    <w:notTrueType/>
    <w:pitch w:val="default"/>
    <w:sig w:usb0="00000003" w:usb1="00000000" w:usb2="00000000" w:usb3="00000000" w:csb0="00000001" w:csb1="00000000"/>
  </w:font>
  <w:font w:name="BgwncyAdvTTb5929f4c">
    <w:altName w:val="Calibri"/>
    <w:panose1 w:val="00000000000000000000"/>
    <w:charset w:val="00"/>
    <w:family w:val="swiss"/>
    <w:notTrueType/>
    <w:pitch w:val="default"/>
    <w:sig w:usb0="00000003" w:usb1="00000000" w:usb2="00000000" w:usb3="00000000" w:csb0="00000001" w:csb1="00000000"/>
  </w:font>
  <w:font w:name="PgnchlAdvTTb5929f4c+2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53E2" w14:textId="77777777" w:rsidR="004D357F" w:rsidRDefault="004D357F" w:rsidP="00801EB6">
      <w:pPr>
        <w:spacing w:after="0" w:line="240" w:lineRule="auto"/>
      </w:pPr>
      <w:r>
        <w:separator/>
      </w:r>
    </w:p>
  </w:footnote>
  <w:footnote w:type="continuationSeparator" w:id="0">
    <w:p w14:paraId="269FF6E9" w14:textId="77777777" w:rsidR="004D357F" w:rsidRDefault="004D357F" w:rsidP="0080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285657"/>
      <w:docPartObj>
        <w:docPartGallery w:val="Page Numbers (Top of Page)"/>
        <w:docPartUnique/>
      </w:docPartObj>
    </w:sdtPr>
    <w:sdtEndPr>
      <w:rPr>
        <w:noProof/>
      </w:rPr>
    </w:sdtEndPr>
    <w:sdtContent>
      <w:p w14:paraId="5ED8EE93" w14:textId="566754BD" w:rsidR="00801EB6" w:rsidRDefault="00801E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D9AAEB" w14:textId="77777777" w:rsidR="00801EB6" w:rsidRDefault="00801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87"/>
    <w:rsid w:val="00142825"/>
    <w:rsid w:val="001E4A0D"/>
    <w:rsid w:val="00270784"/>
    <w:rsid w:val="00291DA1"/>
    <w:rsid w:val="00297BC6"/>
    <w:rsid w:val="003C2FD4"/>
    <w:rsid w:val="004D357F"/>
    <w:rsid w:val="0071099B"/>
    <w:rsid w:val="00801EB6"/>
    <w:rsid w:val="008A01EC"/>
    <w:rsid w:val="00AF1F92"/>
    <w:rsid w:val="00B362B7"/>
    <w:rsid w:val="00B55843"/>
    <w:rsid w:val="00CA7B87"/>
    <w:rsid w:val="00DE6392"/>
    <w:rsid w:val="00F2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AF52"/>
  <w15:chartTrackingRefBased/>
  <w15:docId w15:val="{40EFB26F-BCF6-468E-91EA-6864CBC1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B8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75"/>
    <w:rPr>
      <w:rFonts w:ascii="Segoe UI" w:hAnsi="Segoe UI" w:cs="Segoe UI"/>
      <w:sz w:val="18"/>
      <w:szCs w:val="18"/>
    </w:rPr>
  </w:style>
  <w:style w:type="character" w:styleId="CommentReference">
    <w:name w:val="annotation reference"/>
    <w:basedOn w:val="DefaultParagraphFont"/>
    <w:uiPriority w:val="99"/>
    <w:semiHidden/>
    <w:unhideWhenUsed/>
    <w:rsid w:val="00270784"/>
    <w:rPr>
      <w:sz w:val="16"/>
      <w:szCs w:val="16"/>
    </w:rPr>
  </w:style>
  <w:style w:type="paragraph" w:styleId="CommentText">
    <w:name w:val="annotation text"/>
    <w:basedOn w:val="Normal"/>
    <w:link w:val="CommentTextChar"/>
    <w:uiPriority w:val="99"/>
    <w:semiHidden/>
    <w:unhideWhenUsed/>
    <w:rsid w:val="00270784"/>
    <w:pPr>
      <w:spacing w:line="240" w:lineRule="auto"/>
    </w:pPr>
    <w:rPr>
      <w:sz w:val="20"/>
      <w:szCs w:val="20"/>
    </w:rPr>
  </w:style>
  <w:style w:type="character" w:customStyle="1" w:styleId="CommentTextChar">
    <w:name w:val="Comment Text Char"/>
    <w:basedOn w:val="DefaultParagraphFont"/>
    <w:link w:val="CommentText"/>
    <w:uiPriority w:val="99"/>
    <w:semiHidden/>
    <w:rsid w:val="00270784"/>
    <w:rPr>
      <w:sz w:val="20"/>
      <w:szCs w:val="20"/>
    </w:rPr>
  </w:style>
  <w:style w:type="paragraph" w:styleId="CommentSubject">
    <w:name w:val="annotation subject"/>
    <w:basedOn w:val="CommentText"/>
    <w:next w:val="CommentText"/>
    <w:link w:val="CommentSubjectChar"/>
    <w:uiPriority w:val="99"/>
    <w:semiHidden/>
    <w:unhideWhenUsed/>
    <w:rsid w:val="00270784"/>
    <w:rPr>
      <w:b/>
      <w:bCs/>
    </w:rPr>
  </w:style>
  <w:style w:type="character" w:customStyle="1" w:styleId="CommentSubjectChar">
    <w:name w:val="Comment Subject Char"/>
    <w:basedOn w:val="CommentTextChar"/>
    <w:link w:val="CommentSubject"/>
    <w:uiPriority w:val="99"/>
    <w:semiHidden/>
    <w:rsid w:val="00270784"/>
    <w:rPr>
      <w:b/>
      <w:bCs/>
      <w:sz w:val="20"/>
      <w:szCs w:val="20"/>
    </w:rPr>
  </w:style>
  <w:style w:type="paragraph" w:styleId="Header">
    <w:name w:val="header"/>
    <w:basedOn w:val="Normal"/>
    <w:link w:val="HeaderChar"/>
    <w:uiPriority w:val="99"/>
    <w:unhideWhenUsed/>
    <w:rsid w:val="0080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B6"/>
  </w:style>
  <w:style w:type="paragraph" w:styleId="Footer">
    <w:name w:val="footer"/>
    <w:basedOn w:val="Normal"/>
    <w:link w:val="FooterChar"/>
    <w:uiPriority w:val="99"/>
    <w:unhideWhenUsed/>
    <w:rsid w:val="0080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2642</Words>
  <Characters>15064</Characters>
  <Application>Microsoft Office Word</Application>
  <DocSecurity>0</DocSecurity>
  <Lines>125</Lines>
  <Paragraphs>35</Paragraphs>
  <ScaleCrop>false</ScaleCrop>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Esmail</dc:creator>
  <cp:keywords/>
  <dc:description/>
  <cp:lastModifiedBy>Sally Esmail</cp:lastModifiedBy>
  <cp:revision>6</cp:revision>
  <cp:lastPrinted>2020-12-01T23:31:00Z</cp:lastPrinted>
  <dcterms:created xsi:type="dcterms:W3CDTF">2020-11-18T15:04:00Z</dcterms:created>
  <dcterms:modified xsi:type="dcterms:W3CDTF">2020-12-01T23:31:00Z</dcterms:modified>
</cp:coreProperties>
</file>