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83B4" w14:textId="77777777" w:rsidR="000D6123" w:rsidRPr="00AF4C9E" w:rsidRDefault="00201ED5" w:rsidP="00FC1189">
      <w:pPr>
        <w:snapToGrid w:val="0"/>
        <w:spacing w:line="480" w:lineRule="auto"/>
        <w:contextualSpacing/>
        <w:rPr>
          <w:rFonts w:ascii="Arial" w:hAnsi="Arial" w:cs="Arial"/>
          <w:b/>
          <w:color w:val="000000"/>
          <w:sz w:val="22"/>
          <w:szCs w:val="22"/>
        </w:rPr>
      </w:pPr>
      <w:r w:rsidRPr="00AF4C9E">
        <w:rPr>
          <w:rFonts w:ascii="Arial" w:hAnsi="Arial" w:cs="Arial"/>
          <w:b/>
          <w:color w:val="000000"/>
          <w:sz w:val="22"/>
          <w:szCs w:val="22"/>
        </w:rPr>
        <w:t>Supplementary</w:t>
      </w:r>
      <w:r w:rsidRPr="00AF4C9E">
        <w:rPr>
          <w:rFonts w:ascii="Arial" w:hAnsi="Arial" w:cs="Arial"/>
          <w:color w:val="000000"/>
          <w:sz w:val="22"/>
          <w:szCs w:val="22"/>
        </w:rPr>
        <w:t xml:space="preserve"> </w:t>
      </w:r>
      <w:r w:rsidRPr="00AF4C9E">
        <w:rPr>
          <w:rFonts w:ascii="Arial" w:hAnsi="Arial" w:cs="Arial"/>
          <w:b/>
          <w:color w:val="000000"/>
          <w:sz w:val="22"/>
          <w:szCs w:val="22"/>
        </w:rPr>
        <w:t>Text S1</w:t>
      </w:r>
      <w:r w:rsidRPr="00AF4C9E">
        <w:rPr>
          <w:rFonts w:ascii="Arial" w:hAnsi="Arial" w:cs="Arial"/>
          <w:b/>
          <w:color w:val="000000"/>
          <w:sz w:val="22"/>
          <w:szCs w:val="22"/>
        </w:rPr>
        <w:t>．</w:t>
      </w:r>
    </w:p>
    <w:p w14:paraId="2EA3DD5F" w14:textId="7D5E832D" w:rsidR="00201ED5" w:rsidRPr="00AF4C9E" w:rsidRDefault="00201ED5" w:rsidP="00FC1189">
      <w:pPr>
        <w:snapToGrid w:val="0"/>
        <w:spacing w:line="480" w:lineRule="auto"/>
        <w:contextualSpacing/>
        <w:rPr>
          <w:rFonts w:ascii="Arial" w:hAnsi="Arial" w:cs="Arial"/>
          <w:b/>
          <w:color w:val="000000"/>
          <w:sz w:val="22"/>
          <w:szCs w:val="22"/>
        </w:rPr>
      </w:pPr>
      <w:r w:rsidRPr="00AF4C9E">
        <w:rPr>
          <w:rFonts w:ascii="Arial" w:hAnsi="Arial" w:cs="Arial"/>
          <w:b/>
          <w:color w:val="000000"/>
          <w:sz w:val="22"/>
          <w:szCs w:val="22"/>
        </w:rPr>
        <w:t>Methodology of meta-analysis</w:t>
      </w:r>
    </w:p>
    <w:p w14:paraId="5147FFFF" w14:textId="482704E9" w:rsidR="005825F1" w:rsidRPr="00AF4C9E" w:rsidRDefault="005825F1" w:rsidP="00FC1189">
      <w:pPr>
        <w:snapToGrid w:val="0"/>
        <w:spacing w:line="480" w:lineRule="auto"/>
        <w:contextualSpacing/>
        <w:rPr>
          <w:rFonts w:ascii="Arial" w:hAnsi="Arial" w:cs="Arial"/>
          <w:b/>
          <w:color w:val="000000"/>
          <w:sz w:val="22"/>
          <w:szCs w:val="22"/>
        </w:rPr>
      </w:pPr>
      <w:r w:rsidRPr="00AF4C9E">
        <w:rPr>
          <w:rFonts w:ascii="Arial" w:hAnsi="Arial" w:cs="Arial"/>
          <w:b/>
          <w:color w:val="000000"/>
          <w:sz w:val="22"/>
          <w:szCs w:val="22"/>
        </w:rPr>
        <w:t>Publication online search</w:t>
      </w:r>
    </w:p>
    <w:p w14:paraId="64640F4D" w14:textId="5FD3D9DA" w:rsidR="005825F1" w:rsidRPr="00AF4C9E" w:rsidRDefault="005825F1" w:rsidP="00FC1189">
      <w:pPr>
        <w:snapToGrid w:val="0"/>
        <w:spacing w:line="480" w:lineRule="auto"/>
        <w:contextualSpacing/>
        <w:rPr>
          <w:rFonts w:ascii="Arial" w:hAnsi="Arial" w:cs="Arial"/>
          <w:color w:val="000000"/>
          <w:sz w:val="22"/>
          <w:szCs w:val="22"/>
        </w:rPr>
      </w:pPr>
      <w:r w:rsidRPr="00AF4C9E">
        <w:rPr>
          <w:rFonts w:ascii="Arial" w:hAnsi="Arial" w:cs="Arial"/>
          <w:color w:val="000000"/>
          <w:sz w:val="22"/>
          <w:szCs w:val="22"/>
        </w:rPr>
        <w:t xml:space="preserve">We performed a </w:t>
      </w:r>
      <w:r w:rsidR="00A3476A" w:rsidRPr="00AF4C9E">
        <w:rPr>
          <w:rFonts w:ascii="Arial" w:hAnsi="Arial" w:cs="Arial"/>
          <w:color w:val="000000"/>
          <w:sz w:val="22"/>
          <w:szCs w:val="22"/>
        </w:rPr>
        <w:t xml:space="preserve">comprehensive </w:t>
      </w:r>
      <w:r w:rsidRPr="00AF4C9E">
        <w:rPr>
          <w:rFonts w:ascii="Arial" w:hAnsi="Arial" w:cs="Arial"/>
          <w:color w:val="000000"/>
          <w:sz w:val="22"/>
          <w:szCs w:val="22"/>
        </w:rPr>
        <w:t>publication search through PubMed/Medline, EMBASE, Google Scholar,</w:t>
      </w:r>
      <w:r w:rsidR="00A3476A" w:rsidRPr="00AF4C9E">
        <w:rPr>
          <w:rFonts w:ascii="Arial" w:hAnsi="Arial" w:cs="Arial"/>
          <w:color w:val="000000"/>
          <w:sz w:val="22"/>
          <w:szCs w:val="22"/>
        </w:rPr>
        <w:t xml:space="preserve"> </w:t>
      </w:r>
      <w:r w:rsidRPr="00AF4C9E">
        <w:rPr>
          <w:rFonts w:ascii="Arial" w:hAnsi="Arial" w:cs="Arial"/>
          <w:color w:val="000000"/>
          <w:sz w:val="22"/>
          <w:szCs w:val="22"/>
        </w:rPr>
        <w:t>Cochrane Library and Web of Science until December 31, 20</w:t>
      </w:r>
      <w:r w:rsidR="00A3476A" w:rsidRPr="00AF4C9E">
        <w:rPr>
          <w:rFonts w:ascii="Arial" w:hAnsi="Arial" w:cs="Arial"/>
          <w:color w:val="000000"/>
          <w:sz w:val="22"/>
          <w:szCs w:val="22"/>
        </w:rPr>
        <w:t>20</w:t>
      </w:r>
      <w:r w:rsidRPr="00AF4C9E">
        <w:rPr>
          <w:rFonts w:ascii="Arial" w:hAnsi="Arial" w:cs="Arial"/>
          <w:color w:val="000000"/>
          <w:sz w:val="22"/>
          <w:szCs w:val="22"/>
        </w:rPr>
        <w:t xml:space="preserve"> by using “lung cancer” and “PD-L1” and “</w:t>
      </w:r>
      <w:r w:rsidR="00A3476A" w:rsidRPr="00AF4C9E">
        <w:rPr>
          <w:rFonts w:ascii="Arial" w:hAnsi="Arial" w:cs="Arial"/>
          <w:color w:val="000000"/>
          <w:sz w:val="22"/>
          <w:szCs w:val="22"/>
        </w:rPr>
        <w:t>liver</w:t>
      </w:r>
      <w:r w:rsidRPr="00AF4C9E">
        <w:rPr>
          <w:rFonts w:ascii="Arial" w:hAnsi="Arial" w:cs="Arial"/>
          <w:color w:val="000000"/>
          <w:sz w:val="22"/>
          <w:szCs w:val="22"/>
        </w:rPr>
        <w:t xml:space="preserve">” or their related words. Titles and abstracts were firstly reviewed to determine publications We then collected the data on the relationship of </w:t>
      </w:r>
      <w:r w:rsidR="00A3476A" w:rsidRPr="00AF4C9E">
        <w:rPr>
          <w:rFonts w:ascii="Arial" w:hAnsi="Arial" w:cs="Arial"/>
          <w:color w:val="000000"/>
          <w:sz w:val="22"/>
          <w:szCs w:val="22"/>
        </w:rPr>
        <w:t>liver metastasis</w:t>
      </w:r>
      <w:r w:rsidRPr="00AF4C9E">
        <w:rPr>
          <w:rFonts w:ascii="Arial" w:hAnsi="Arial" w:cs="Arial"/>
          <w:color w:val="000000"/>
          <w:sz w:val="22"/>
          <w:szCs w:val="22"/>
        </w:rPr>
        <w:t xml:space="preserve"> with overall survival (OS)</w:t>
      </w:r>
      <w:r w:rsidR="00A3476A" w:rsidRPr="00AF4C9E">
        <w:rPr>
          <w:rFonts w:ascii="Arial" w:hAnsi="Arial" w:cs="Arial"/>
          <w:color w:val="000000"/>
          <w:sz w:val="22"/>
          <w:szCs w:val="22"/>
        </w:rPr>
        <w:t xml:space="preserve"> and</w:t>
      </w:r>
      <w:r w:rsidRPr="00AF4C9E">
        <w:rPr>
          <w:rFonts w:ascii="Arial" w:hAnsi="Arial" w:cs="Arial"/>
          <w:color w:val="000000"/>
          <w:sz w:val="22"/>
          <w:szCs w:val="22"/>
        </w:rPr>
        <w:t xml:space="preserve"> progression-free survival (PFS) in NSCLC patients</w:t>
      </w:r>
      <w:r w:rsidR="00A3476A" w:rsidRPr="00AF4C9E">
        <w:rPr>
          <w:rFonts w:ascii="Arial" w:hAnsi="Arial" w:cs="Arial"/>
          <w:color w:val="000000"/>
          <w:sz w:val="22"/>
          <w:szCs w:val="22"/>
        </w:rPr>
        <w:t xml:space="preserve"> </w:t>
      </w:r>
      <w:r w:rsidR="00A3476A" w:rsidRPr="00AF4C9E">
        <w:rPr>
          <w:rFonts w:ascii="Arial" w:hAnsi="Arial" w:cs="Arial"/>
          <w:sz w:val="22"/>
          <w:szCs w:val="22"/>
        </w:rPr>
        <w:t xml:space="preserve">treated with </w:t>
      </w:r>
      <w:r w:rsidR="00A3476A" w:rsidRPr="00AF4C9E">
        <w:rPr>
          <w:rFonts w:ascii="Arial" w:hAnsi="Arial" w:cs="Arial"/>
          <w:color w:val="000000" w:themeColor="text1"/>
          <w:sz w:val="22"/>
          <w:szCs w:val="22"/>
        </w:rPr>
        <w:t>anti-PD-1/PD-L1 based treatments</w:t>
      </w:r>
      <w:r w:rsidRPr="00AF4C9E">
        <w:rPr>
          <w:rFonts w:ascii="Arial" w:hAnsi="Arial" w:cs="Arial"/>
          <w:color w:val="000000"/>
          <w:sz w:val="22"/>
          <w:szCs w:val="22"/>
        </w:rPr>
        <w:t>.</w:t>
      </w:r>
      <w:r w:rsidR="00A3476A" w:rsidRPr="00AF4C9E">
        <w:rPr>
          <w:rFonts w:ascii="Arial" w:hAnsi="Arial" w:cs="Arial"/>
          <w:color w:val="000000"/>
          <w:sz w:val="22"/>
          <w:szCs w:val="22"/>
        </w:rPr>
        <w:t xml:space="preserve"> </w:t>
      </w:r>
      <w:r w:rsidR="00A3476A" w:rsidRPr="00AF4C9E">
        <w:rPr>
          <w:rFonts w:ascii="Arial" w:hAnsi="Arial" w:cs="Arial"/>
          <w:sz w:val="22"/>
          <w:szCs w:val="22"/>
        </w:rPr>
        <w:t xml:space="preserve">Relevant conferences abstracts and presentations including the American Society of Clinical Oncology, the American Association for Cancer Research, the European Society for Medical Oncology and the World Lung Cancer Conference were also searched until </w:t>
      </w:r>
      <w:r w:rsidR="00A3476A" w:rsidRPr="00AF4C9E">
        <w:rPr>
          <w:rFonts w:ascii="Arial" w:hAnsi="Arial" w:cs="Arial"/>
          <w:color w:val="000000"/>
          <w:sz w:val="22"/>
          <w:szCs w:val="22"/>
        </w:rPr>
        <w:t xml:space="preserve">December 31, </w:t>
      </w:r>
      <w:r w:rsidR="00A3476A" w:rsidRPr="00AF4C9E">
        <w:rPr>
          <w:rFonts w:ascii="Arial" w:hAnsi="Arial" w:cs="Arial"/>
          <w:sz w:val="22"/>
          <w:szCs w:val="22"/>
        </w:rPr>
        <w:t xml:space="preserve">2020. We also manually screened the references of each eligible study until no additional articles could be added. </w:t>
      </w:r>
      <w:r w:rsidRPr="00AF4C9E">
        <w:rPr>
          <w:rFonts w:ascii="Arial" w:hAnsi="Arial" w:cs="Arial"/>
          <w:color w:val="000000"/>
          <w:sz w:val="22"/>
          <w:szCs w:val="22"/>
        </w:rPr>
        <w:t>This analysis was conducted in line with Preferred Reporting Items for Systematic Reviews and Meta-Analyses: the PRISMA Statement.</w:t>
      </w:r>
    </w:p>
    <w:p w14:paraId="5519F9DB" w14:textId="77777777" w:rsidR="005825F1" w:rsidRPr="00AF4C9E" w:rsidRDefault="005825F1" w:rsidP="00FC1189">
      <w:pPr>
        <w:snapToGrid w:val="0"/>
        <w:spacing w:line="480" w:lineRule="auto"/>
        <w:contextualSpacing/>
        <w:rPr>
          <w:rFonts w:ascii="Arial" w:hAnsi="Arial" w:cs="Arial"/>
          <w:color w:val="000000"/>
          <w:sz w:val="22"/>
          <w:szCs w:val="22"/>
        </w:rPr>
      </w:pPr>
    </w:p>
    <w:p w14:paraId="6DABE259" w14:textId="77777777" w:rsidR="005825F1" w:rsidRPr="00AF4C9E" w:rsidRDefault="005825F1" w:rsidP="00FC1189">
      <w:pPr>
        <w:snapToGrid w:val="0"/>
        <w:spacing w:line="480" w:lineRule="auto"/>
        <w:contextualSpacing/>
        <w:rPr>
          <w:rFonts w:ascii="Arial" w:hAnsi="Arial" w:cs="Arial"/>
          <w:b/>
          <w:color w:val="000000"/>
          <w:sz w:val="22"/>
          <w:szCs w:val="22"/>
        </w:rPr>
      </w:pPr>
      <w:r w:rsidRPr="00AF4C9E">
        <w:rPr>
          <w:rFonts w:ascii="Arial" w:hAnsi="Arial" w:cs="Arial"/>
          <w:b/>
          <w:color w:val="000000"/>
          <w:sz w:val="22"/>
          <w:szCs w:val="22"/>
        </w:rPr>
        <w:t>Publication selection</w:t>
      </w:r>
    </w:p>
    <w:p w14:paraId="76176751" w14:textId="19F917B9" w:rsidR="005825F1" w:rsidRPr="00AF4C9E" w:rsidRDefault="005825F1" w:rsidP="00FC1189">
      <w:pPr>
        <w:snapToGrid w:val="0"/>
        <w:spacing w:line="480" w:lineRule="auto"/>
        <w:contextualSpacing/>
        <w:rPr>
          <w:rFonts w:ascii="Arial" w:hAnsi="Arial" w:cs="Arial"/>
          <w:color w:val="000000"/>
          <w:sz w:val="22"/>
          <w:szCs w:val="22"/>
        </w:rPr>
      </w:pPr>
      <w:r w:rsidRPr="00AF4C9E">
        <w:rPr>
          <w:rFonts w:ascii="Arial" w:hAnsi="Arial" w:cs="Arial"/>
          <w:color w:val="000000"/>
          <w:sz w:val="22"/>
          <w:szCs w:val="22"/>
        </w:rPr>
        <w:t xml:space="preserve">Publications met the following criteria were eligible: (1) </w:t>
      </w:r>
      <w:r w:rsidR="00A3476A" w:rsidRPr="00AF4C9E">
        <w:rPr>
          <w:rFonts w:ascii="Arial" w:hAnsi="Arial" w:cs="Arial"/>
          <w:sz w:val="22"/>
          <w:szCs w:val="22"/>
        </w:rPr>
        <w:t xml:space="preserve">randomized controlled trials (RCTs)that </w:t>
      </w:r>
      <w:r w:rsidRPr="00AF4C9E">
        <w:rPr>
          <w:rFonts w:ascii="Arial" w:hAnsi="Arial" w:cs="Arial"/>
          <w:color w:val="000000"/>
          <w:sz w:val="22"/>
          <w:szCs w:val="22"/>
        </w:rPr>
        <w:t xml:space="preserve">evaluated </w:t>
      </w:r>
      <w:r w:rsidR="00A3476A" w:rsidRPr="00AF4C9E">
        <w:rPr>
          <w:rFonts w:ascii="Arial" w:hAnsi="Arial" w:cs="Arial"/>
          <w:color w:val="000000"/>
          <w:sz w:val="22"/>
          <w:szCs w:val="22"/>
        </w:rPr>
        <w:t xml:space="preserve">the efficacy of </w:t>
      </w:r>
      <w:r w:rsidR="00A3476A" w:rsidRPr="00AF4C9E">
        <w:rPr>
          <w:rFonts w:ascii="Arial" w:hAnsi="Arial" w:cs="Arial"/>
          <w:color w:val="000000" w:themeColor="text1"/>
          <w:sz w:val="22"/>
          <w:szCs w:val="22"/>
        </w:rPr>
        <w:t>anti-PD-1/PD-L1 based treatments</w:t>
      </w:r>
      <w:r w:rsidRPr="00AF4C9E">
        <w:rPr>
          <w:rFonts w:ascii="Arial" w:hAnsi="Arial" w:cs="Arial"/>
          <w:color w:val="000000"/>
          <w:sz w:val="22"/>
          <w:szCs w:val="22"/>
        </w:rPr>
        <w:t xml:space="preserve"> in </w:t>
      </w:r>
      <w:r w:rsidR="00A3476A" w:rsidRPr="00AF4C9E">
        <w:rPr>
          <w:rFonts w:ascii="Arial" w:hAnsi="Arial" w:cs="Arial"/>
          <w:color w:val="000000"/>
          <w:sz w:val="22"/>
          <w:szCs w:val="22"/>
        </w:rPr>
        <w:t xml:space="preserve">patients </w:t>
      </w:r>
      <w:r w:rsidRPr="00AF4C9E">
        <w:rPr>
          <w:rFonts w:ascii="Arial" w:hAnsi="Arial" w:cs="Arial"/>
          <w:color w:val="000000"/>
          <w:sz w:val="22"/>
          <w:szCs w:val="22"/>
        </w:rPr>
        <w:t xml:space="preserve">with </w:t>
      </w:r>
      <w:r w:rsidR="00A3476A" w:rsidRPr="00AF4C9E">
        <w:rPr>
          <w:rFonts w:ascii="Arial" w:hAnsi="Arial" w:cs="Arial"/>
          <w:color w:val="000000"/>
          <w:sz w:val="22"/>
          <w:szCs w:val="22"/>
        </w:rPr>
        <w:t>advanced NSCLC</w:t>
      </w:r>
      <w:r w:rsidRPr="00AF4C9E">
        <w:rPr>
          <w:rFonts w:ascii="Arial" w:hAnsi="Arial" w:cs="Arial"/>
          <w:color w:val="000000"/>
          <w:sz w:val="22"/>
          <w:szCs w:val="22"/>
        </w:rPr>
        <w:t xml:space="preserve">; (2) </w:t>
      </w:r>
      <w:r w:rsidR="00A3476A" w:rsidRPr="00AF4C9E">
        <w:rPr>
          <w:rFonts w:ascii="Arial" w:hAnsi="Arial" w:cs="Arial"/>
          <w:color w:val="000000"/>
          <w:sz w:val="22"/>
          <w:szCs w:val="22"/>
        </w:rPr>
        <w:t xml:space="preserve">subgroup analysis included the liver metastatic group </w:t>
      </w:r>
      <w:r w:rsidRPr="00AF4C9E">
        <w:rPr>
          <w:rFonts w:ascii="Arial" w:hAnsi="Arial" w:cs="Arial"/>
          <w:color w:val="000000"/>
          <w:sz w:val="22"/>
          <w:szCs w:val="22"/>
        </w:rPr>
        <w:t xml:space="preserve">; (3) reported data could analyze the </w:t>
      </w:r>
      <w:r w:rsidR="00A3476A" w:rsidRPr="00AF4C9E">
        <w:rPr>
          <w:rFonts w:ascii="Arial" w:hAnsi="Arial" w:cs="Arial"/>
          <w:color w:val="000000"/>
          <w:sz w:val="22"/>
          <w:szCs w:val="22"/>
        </w:rPr>
        <w:t>presence of liver metastasis</w:t>
      </w:r>
      <w:r w:rsidRPr="00AF4C9E">
        <w:rPr>
          <w:rFonts w:ascii="Arial" w:hAnsi="Arial" w:cs="Arial"/>
          <w:color w:val="000000"/>
          <w:sz w:val="22"/>
          <w:szCs w:val="22"/>
        </w:rPr>
        <w:t xml:space="preserve"> and/or high risk (HR) on clinical outcomes including PFS and OS. Studies were ineligible if they were: (1)</w:t>
      </w:r>
      <w:r w:rsidR="00A3476A" w:rsidRPr="00AF4C9E">
        <w:rPr>
          <w:rFonts w:ascii="Arial" w:hAnsi="Arial" w:cs="Arial"/>
          <w:sz w:val="22"/>
          <w:szCs w:val="22"/>
        </w:rPr>
        <w:t xml:space="preserve"> retrospective studies,</w:t>
      </w:r>
      <w:r w:rsidR="00A3476A" w:rsidRPr="00AF4C9E">
        <w:rPr>
          <w:rFonts w:ascii="Arial" w:hAnsi="Arial" w:cs="Arial"/>
          <w:color w:val="000000"/>
          <w:sz w:val="22"/>
          <w:szCs w:val="22"/>
        </w:rPr>
        <w:t xml:space="preserve"> cost effectiveness analyses,</w:t>
      </w:r>
      <w:r w:rsidR="00A3476A" w:rsidRPr="00AF4C9E">
        <w:rPr>
          <w:rFonts w:ascii="Arial" w:hAnsi="Arial" w:cs="Arial"/>
          <w:sz w:val="22"/>
          <w:szCs w:val="22"/>
        </w:rPr>
        <w:t xml:space="preserve"> </w:t>
      </w:r>
      <w:r w:rsidR="00A3476A" w:rsidRPr="00AF4C9E">
        <w:rPr>
          <w:rFonts w:ascii="Arial" w:hAnsi="Arial" w:cs="Arial"/>
          <w:color w:val="000000"/>
          <w:sz w:val="22"/>
          <w:szCs w:val="22"/>
        </w:rPr>
        <w:t>quality of life studies,</w:t>
      </w:r>
      <w:r w:rsidR="00A3476A" w:rsidRPr="00AF4C9E">
        <w:rPr>
          <w:rFonts w:ascii="Arial" w:hAnsi="Arial" w:cs="Arial"/>
          <w:sz w:val="22"/>
          <w:szCs w:val="22"/>
        </w:rPr>
        <w:t xml:space="preserve"> single-arm phase I or II trials,</w:t>
      </w:r>
      <w:r w:rsidRPr="00AF4C9E">
        <w:rPr>
          <w:rFonts w:ascii="Arial" w:hAnsi="Arial" w:cs="Arial"/>
          <w:color w:val="000000"/>
          <w:sz w:val="22"/>
          <w:szCs w:val="22"/>
        </w:rPr>
        <w:t xml:space="preserve"> comment, reviews, case-only studies, editorial, or familial studies; (2) insufficient data for analysis of rate and/or HR with 95% confidence intervals (CIs); and (3) repeat of previous publications or replicated samples.</w:t>
      </w:r>
      <w:r w:rsidR="00A3476A" w:rsidRPr="00AF4C9E">
        <w:rPr>
          <w:rFonts w:ascii="Arial" w:hAnsi="Arial" w:cs="Arial"/>
          <w:color w:val="000000"/>
          <w:sz w:val="22"/>
          <w:szCs w:val="22"/>
        </w:rPr>
        <w:t xml:space="preserve"> </w:t>
      </w:r>
      <w:r w:rsidR="00A3476A" w:rsidRPr="00AF4C9E">
        <w:rPr>
          <w:rFonts w:ascii="Arial" w:hAnsi="Arial" w:cs="Arial"/>
          <w:sz w:val="22"/>
          <w:szCs w:val="22"/>
        </w:rPr>
        <w:t xml:space="preserve">When duplicate </w:t>
      </w:r>
      <w:r w:rsidR="00A3476A" w:rsidRPr="00AF4C9E">
        <w:rPr>
          <w:rFonts w:ascii="Arial" w:hAnsi="Arial" w:cs="Arial"/>
          <w:sz w:val="22"/>
          <w:szCs w:val="22"/>
        </w:rPr>
        <w:lastRenderedPageBreak/>
        <w:t>publications for the same study occurred, we included only the most recent and complete publications or the ones supporting the approval by the US Food and Drug Administration (FDA).</w:t>
      </w:r>
      <w:r w:rsidRPr="00AF4C9E">
        <w:rPr>
          <w:rFonts w:ascii="Arial" w:hAnsi="Arial" w:cs="Arial"/>
          <w:color w:val="000000"/>
          <w:sz w:val="22"/>
          <w:szCs w:val="22"/>
        </w:rPr>
        <w:t xml:space="preserve"> The study eligibility was independently evaluated by two reviewers. Disagreements were resolved </w:t>
      </w:r>
      <w:r w:rsidR="005C3925" w:rsidRPr="00AF4C9E">
        <w:rPr>
          <w:rFonts w:ascii="Arial" w:hAnsi="Arial" w:cs="Arial"/>
          <w:color w:val="000000"/>
          <w:sz w:val="22"/>
          <w:szCs w:val="22"/>
        </w:rPr>
        <w:t xml:space="preserve">by </w:t>
      </w:r>
      <w:r w:rsidRPr="00AF4C9E">
        <w:rPr>
          <w:rFonts w:ascii="Arial" w:hAnsi="Arial" w:cs="Arial"/>
          <w:color w:val="000000"/>
          <w:sz w:val="22"/>
          <w:szCs w:val="22"/>
        </w:rPr>
        <w:t xml:space="preserve">discussion. </w:t>
      </w:r>
    </w:p>
    <w:p w14:paraId="676EE244" w14:textId="77777777" w:rsidR="005825F1" w:rsidRPr="00AF4C9E" w:rsidRDefault="005825F1" w:rsidP="00FC1189">
      <w:pPr>
        <w:snapToGrid w:val="0"/>
        <w:spacing w:line="480" w:lineRule="auto"/>
        <w:contextualSpacing/>
        <w:rPr>
          <w:rFonts w:ascii="Arial" w:hAnsi="Arial" w:cs="Arial"/>
          <w:color w:val="000000"/>
          <w:sz w:val="22"/>
          <w:szCs w:val="22"/>
        </w:rPr>
      </w:pPr>
    </w:p>
    <w:p w14:paraId="7AE37958" w14:textId="308C48AD" w:rsidR="005825F1" w:rsidRPr="00AF4C9E" w:rsidRDefault="005825F1" w:rsidP="00FC1189">
      <w:pPr>
        <w:snapToGrid w:val="0"/>
        <w:spacing w:line="480" w:lineRule="auto"/>
        <w:contextualSpacing/>
        <w:rPr>
          <w:rFonts w:ascii="Arial" w:hAnsi="Arial" w:cs="Arial"/>
          <w:b/>
          <w:color w:val="000000"/>
          <w:sz w:val="22"/>
          <w:szCs w:val="22"/>
        </w:rPr>
      </w:pPr>
      <w:r w:rsidRPr="00AF4C9E">
        <w:rPr>
          <w:rFonts w:ascii="Arial" w:hAnsi="Arial" w:cs="Arial"/>
          <w:b/>
          <w:color w:val="000000"/>
          <w:sz w:val="22"/>
          <w:szCs w:val="22"/>
        </w:rPr>
        <w:t>Data extraction</w:t>
      </w:r>
    </w:p>
    <w:p w14:paraId="6A6C196A" w14:textId="77777777" w:rsidR="00A3476A" w:rsidRPr="00AF4C9E" w:rsidRDefault="00A3476A" w:rsidP="00FC1189">
      <w:pPr>
        <w:snapToGrid w:val="0"/>
        <w:spacing w:line="480" w:lineRule="auto"/>
        <w:contextualSpacing/>
        <w:rPr>
          <w:rFonts w:ascii="Arial" w:hAnsi="Arial" w:cs="Arial"/>
          <w:color w:val="000000"/>
          <w:sz w:val="22"/>
          <w:szCs w:val="22"/>
        </w:rPr>
      </w:pPr>
      <w:r w:rsidRPr="00AF4C9E">
        <w:rPr>
          <w:rFonts w:ascii="Arial" w:hAnsi="Arial" w:cs="Arial"/>
          <w:color w:val="000000"/>
          <w:sz w:val="22"/>
          <w:szCs w:val="22"/>
        </w:rPr>
        <w:t xml:space="preserve">Three authors (T.J., X.J.C. and L.Z.) independently carried out the data extraction based on PRISMA statement by using a standardized data collection form. </w:t>
      </w:r>
      <w:r w:rsidR="005825F1" w:rsidRPr="00AF4C9E">
        <w:rPr>
          <w:rFonts w:ascii="Arial" w:hAnsi="Arial" w:cs="Arial"/>
          <w:color w:val="000000"/>
          <w:sz w:val="22"/>
          <w:szCs w:val="22"/>
        </w:rPr>
        <w:t xml:space="preserve">We extracted the following information from the included studies: </w:t>
      </w:r>
      <w:r w:rsidRPr="00AF4C9E">
        <w:rPr>
          <w:rFonts w:ascii="Arial" w:hAnsi="Arial" w:cs="Arial"/>
          <w:sz w:val="22"/>
          <w:szCs w:val="22"/>
        </w:rPr>
        <w:t>trial name</w:t>
      </w:r>
      <w:r w:rsidRPr="00AF4C9E">
        <w:rPr>
          <w:rFonts w:ascii="Arial" w:hAnsi="Arial" w:cs="Arial"/>
          <w:color w:val="000000"/>
          <w:sz w:val="22"/>
          <w:szCs w:val="22"/>
        </w:rPr>
        <w:t xml:space="preserve">, published year, </w:t>
      </w:r>
      <w:r w:rsidRPr="00AF4C9E">
        <w:rPr>
          <w:rFonts w:ascii="Arial" w:hAnsi="Arial" w:cs="Arial"/>
          <w:sz w:val="22"/>
          <w:szCs w:val="22"/>
        </w:rPr>
        <w:t>National Clinical Trials (NCT) identification number,</w:t>
      </w:r>
      <w:r w:rsidRPr="00AF4C9E">
        <w:rPr>
          <w:rFonts w:ascii="Arial" w:hAnsi="Arial" w:cs="Arial"/>
          <w:color w:val="000000"/>
          <w:sz w:val="22"/>
          <w:szCs w:val="22"/>
        </w:rPr>
        <w:t xml:space="preserve"> trial phase, total patients, histological type, </w:t>
      </w:r>
      <w:r w:rsidRPr="00AF4C9E">
        <w:rPr>
          <w:rFonts w:ascii="Arial" w:hAnsi="Arial" w:cs="Arial"/>
          <w:sz w:val="22"/>
          <w:szCs w:val="22"/>
        </w:rPr>
        <w:t>anti–</w:t>
      </w:r>
      <w:r w:rsidRPr="00AF4C9E">
        <w:rPr>
          <w:rFonts w:ascii="Arial" w:hAnsi="Arial" w:cs="Arial"/>
          <w:color w:val="000000"/>
          <w:sz w:val="22"/>
          <w:szCs w:val="22"/>
        </w:rPr>
        <w:t xml:space="preserve">PD-(L)1 drugs, </w:t>
      </w:r>
      <w:r w:rsidRPr="00AF4C9E">
        <w:rPr>
          <w:rFonts w:ascii="Arial" w:hAnsi="Arial" w:cs="Arial"/>
          <w:sz w:val="22"/>
          <w:szCs w:val="22"/>
        </w:rPr>
        <w:t>lines of treatment, treatment group, primary endpoint, and</w:t>
      </w:r>
      <w:r w:rsidRPr="00AF4C9E">
        <w:rPr>
          <w:rFonts w:ascii="Arial" w:hAnsi="Arial" w:cs="Arial"/>
          <w:color w:val="000000"/>
          <w:sz w:val="22"/>
          <w:szCs w:val="22"/>
        </w:rPr>
        <w:t xml:space="preserve"> follow-up duration.</w:t>
      </w:r>
      <w:r w:rsidR="005825F1" w:rsidRPr="00AF4C9E">
        <w:rPr>
          <w:rFonts w:ascii="Arial" w:hAnsi="Arial" w:cs="Arial"/>
          <w:color w:val="000000"/>
          <w:sz w:val="22"/>
          <w:szCs w:val="22"/>
        </w:rPr>
        <w:t xml:space="preserve"> To avoid the selection bias, we did not </w:t>
      </w:r>
      <w:r w:rsidR="005C3925" w:rsidRPr="00AF4C9E">
        <w:rPr>
          <w:rFonts w:ascii="Arial" w:hAnsi="Arial" w:cs="Arial"/>
          <w:color w:val="000000"/>
          <w:sz w:val="22"/>
          <w:szCs w:val="22"/>
        </w:rPr>
        <w:t>utilize</w:t>
      </w:r>
      <w:r w:rsidR="005825F1" w:rsidRPr="00AF4C9E">
        <w:rPr>
          <w:rFonts w:ascii="Arial" w:hAnsi="Arial" w:cs="Arial"/>
          <w:color w:val="000000"/>
          <w:sz w:val="22"/>
          <w:szCs w:val="22"/>
        </w:rPr>
        <w:t xml:space="preserve"> the data from the Kaplan-Meier curves. Two reviewers (Y.B and T.J.) independently extracted the data by using a predefined Excel form.</w:t>
      </w:r>
      <w:r w:rsidRPr="00AF4C9E">
        <w:rPr>
          <w:rFonts w:ascii="Arial" w:hAnsi="Arial" w:cs="Arial"/>
          <w:color w:val="000000"/>
          <w:sz w:val="22"/>
          <w:szCs w:val="22"/>
        </w:rPr>
        <w:t xml:space="preserve"> </w:t>
      </w:r>
      <w:r w:rsidRPr="00AF4C9E">
        <w:rPr>
          <w:rFonts w:ascii="Arial" w:hAnsi="Arial" w:cs="Arial"/>
          <w:sz w:val="22"/>
          <w:szCs w:val="22"/>
        </w:rPr>
        <w:t>They</w:t>
      </w:r>
      <w:r w:rsidRPr="00AF4C9E">
        <w:rPr>
          <w:rFonts w:ascii="Arial" w:hAnsi="Arial" w:cs="Arial"/>
          <w:color w:val="000000"/>
          <w:sz w:val="22"/>
          <w:szCs w:val="22"/>
        </w:rPr>
        <w:t xml:space="preserve"> also</w:t>
      </w:r>
      <w:r w:rsidRPr="00AF4C9E">
        <w:rPr>
          <w:rFonts w:ascii="Arial" w:hAnsi="Arial" w:cs="Arial"/>
          <w:sz w:val="22"/>
          <w:szCs w:val="22"/>
        </w:rPr>
        <w:t xml:space="preserve"> independently extracted the hazard ratios (HRs) and the related 95% confidence intervals (CIs) for PFS and OS. Where available, we included the most updated survival data.</w:t>
      </w:r>
      <w:r w:rsidR="005825F1" w:rsidRPr="00AF4C9E">
        <w:rPr>
          <w:rFonts w:ascii="Arial" w:hAnsi="Arial" w:cs="Arial"/>
          <w:color w:val="000000"/>
          <w:sz w:val="22"/>
          <w:szCs w:val="22"/>
        </w:rPr>
        <w:t xml:space="preserve"> Disagreements were solved by consensus. </w:t>
      </w:r>
    </w:p>
    <w:p w14:paraId="408A09AE" w14:textId="10CCD3A4" w:rsidR="00A3476A" w:rsidRPr="00AF4C9E" w:rsidRDefault="00A3476A" w:rsidP="00FC1189">
      <w:pPr>
        <w:snapToGrid w:val="0"/>
        <w:spacing w:line="480" w:lineRule="auto"/>
        <w:contextualSpacing/>
        <w:rPr>
          <w:rFonts w:ascii="Arial" w:hAnsi="Arial" w:cs="Arial"/>
          <w:sz w:val="22"/>
          <w:szCs w:val="22"/>
        </w:rPr>
      </w:pPr>
    </w:p>
    <w:p w14:paraId="1CDFF64C" w14:textId="56F89288" w:rsidR="00A3476A" w:rsidRPr="00AF4C9E" w:rsidRDefault="00A3476A" w:rsidP="00FC1189">
      <w:pPr>
        <w:snapToGrid w:val="0"/>
        <w:spacing w:line="480" w:lineRule="auto"/>
        <w:contextualSpacing/>
        <w:rPr>
          <w:rFonts w:ascii="Arial" w:hAnsi="Arial" w:cs="Arial"/>
          <w:sz w:val="22"/>
          <w:szCs w:val="22"/>
        </w:rPr>
      </w:pPr>
      <w:r w:rsidRPr="00AF4C9E">
        <w:rPr>
          <w:rFonts w:ascii="Arial" w:hAnsi="Arial" w:cs="Arial"/>
          <w:b/>
          <w:color w:val="000000"/>
          <w:sz w:val="22"/>
          <w:szCs w:val="22"/>
        </w:rPr>
        <w:t>Quality assessment</w:t>
      </w:r>
    </w:p>
    <w:p w14:paraId="03B32CF8" w14:textId="18553BDB" w:rsidR="005825F1" w:rsidRPr="00AF4C9E" w:rsidRDefault="00A3476A" w:rsidP="00FC1189">
      <w:pPr>
        <w:snapToGrid w:val="0"/>
        <w:spacing w:line="480" w:lineRule="auto"/>
        <w:contextualSpacing/>
        <w:rPr>
          <w:rFonts w:ascii="Arial" w:hAnsi="Arial" w:cs="Arial"/>
          <w:color w:val="000000"/>
          <w:sz w:val="22"/>
          <w:szCs w:val="22"/>
        </w:rPr>
      </w:pPr>
      <w:r w:rsidRPr="00AF4C9E">
        <w:rPr>
          <w:rFonts w:ascii="Arial" w:hAnsi="Arial" w:cs="Arial"/>
          <w:sz w:val="22"/>
          <w:szCs w:val="22"/>
        </w:rPr>
        <w:t xml:space="preserve">The methodologic quality for each included study was assessed according to the Cochrane Collaboration handbook based on the original publication or its update and the supplemental materials. The adequacy of the following aspects was evaluated: random sequence generation, allocation concealment, blinding of participants, blinding of outcome assessment, incomplete outcome data, selective outcome reporting, and other potential threats to validity. The risk of bias of each aspect was classified as low, high, or unknown. </w:t>
      </w:r>
      <w:r w:rsidRPr="00AF4C9E">
        <w:rPr>
          <w:rFonts w:ascii="Arial" w:hAnsi="Arial" w:cs="Arial"/>
          <w:color w:val="000000"/>
          <w:sz w:val="22"/>
          <w:szCs w:val="22"/>
        </w:rPr>
        <w:t>Discrepancies</w:t>
      </w:r>
      <w:r w:rsidRPr="00AF4C9E">
        <w:rPr>
          <w:rFonts w:ascii="Arial" w:hAnsi="Arial" w:cs="Arial"/>
          <w:sz w:val="22"/>
          <w:szCs w:val="22"/>
        </w:rPr>
        <w:t xml:space="preserve"> in data extraction and quality assessment were resolved by discussion to achieve consensus among all investigators.</w:t>
      </w:r>
    </w:p>
    <w:p w14:paraId="6F7F5F9D" w14:textId="77777777" w:rsidR="005825F1" w:rsidRPr="00AF4C9E" w:rsidRDefault="005825F1" w:rsidP="00FC1189">
      <w:pPr>
        <w:snapToGrid w:val="0"/>
        <w:spacing w:line="480" w:lineRule="auto"/>
        <w:contextualSpacing/>
        <w:rPr>
          <w:rFonts w:ascii="Arial" w:hAnsi="Arial" w:cs="Arial"/>
          <w:color w:val="000000"/>
          <w:sz w:val="22"/>
          <w:szCs w:val="22"/>
        </w:rPr>
      </w:pPr>
    </w:p>
    <w:p w14:paraId="56425470" w14:textId="77777777" w:rsidR="005825F1" w:rsidRPr="00AF4C9E" w:rsidRDefault="005825F1" w:rsidP="00FC1189">
      <w:pPr>
        <w:snapToGrid w:val="0"/>
        <w:spacing w:line="480" w:lineRule="auto"/>
        <w:contextualSpacing/>
        <w:rPr>
          <w:rFonts w:ascii="Arial" w:hAnsi="Arial" w:cs="Arial"/>
          <w:b/>
          <w:color w:val="000000"/>
          <w:sz w:val="22"/>
          <w:szCs w:val="22"/>
        </w:rPr>
      </w:pPr>
      <w:r w:rsidRPr="00AF4C9E">
        <w:rPr>
          <w:rFonts w:ascii="Arial" w:hAnsi="Arial" w:cs="Arial"/>
          <w:b/>
          <w:color w:val="000000"/>
          <w:sz w:val="22"/>
          <w:szCs w:val="22"/>
        </w:rPr>
        <w:t>Statistical analysis</w:t>
      </w:r>
    </w:p>
    <w:p w14:paraId="62D7333F" w14:textId="69D35E43" w:rsidR="00FC1189" w:rsidRPr="00AF4C9E" w:rsidRDefault="005825F1" w:rsidP="00A32582">
      <w:pPr>
        <w:snapToGrid w:val="0"/>
        <w:spacing w:line="480" w:lineRule="auto"/>
        <w:contextualSpacing/>
        <w:rPr>
          <w:rFonts w:ascii="Arial" w:hAnsi="Arial" w:cs="Arial"/>
          <w:b/>
          <w:color w:val="000000"/>
          <w:sz w:val="22"/>
          <w:szCs w:val="22"/>
        </w:rPr>
      </w:pPr>
      <w:r w:rsidRPr="00AF4C9E">
        <w:rPr>
          <w:rFonts w:ascii="Arial" w:hAnsi="Arial" w:cs="Arial"/>
          <w:color w:val="000000"/>
          <w:sz w:val="22"/>
          <w:szCs w:val="22"/>
        </w:rPr>
        <w:t>95% CIs were determined per estimate and presented in forest plots. For time-to-event data, the HRs with related 95% CIs were directly extracted from the eligible publications or calculated using previous methods proposed by Tierney et al. Cochran's Q test and I</w:t>
      </w:r>
      <w:r w:rsidRPr="00AF4C9E">
        <w:rPr>
          <w:rFonts w:ascii="Arial" w:hAnsi="Arial" w:cs="Arial"/>
          <w:color w:val="000000"/>
          <w:sz w:val="22"/>
          <w:szCs w:val="22"/>
          <w:vertAlign w:val="superscript"/>
        </w:rPr>
        <w:t>2</w:t>
      </w:r>
      <w:r w:rsidRPr="00AF4C9E">
        <w:rPr>
          <w:rFonts w:ascii="Arial" w:hAnsi="Arial" w:cs="Arial"/>
          <w:color w:val="000000"/>
          <w:sz w:val="22"/>
          <w:szCs w:val="22"/>
        </w:rPr>
        <w:t xml:space="preserve"> statistic were used to determine the heterogeneity of different studies. Low-level heterogeneity was defined as </w:t>
      </w:r>
      <w:r w:rsidRPr="00AF4C9E">
        <w:rPr>
          <w:rFonts w:ascii="Arial" w:hAnsi="Arial" w:cs="Arial"/>
          <w:i/>
          <w:color w:val="000000"/>
          <w:sz w:val="22"/>
          <w:szCs w:val="22"/>
        </w:rPr>
        <w:t>P</w:t>
      </w:r>
      <w:r w:rsidRPr="00AF4C9E">
        <w:rPr>
          <w:rFonts w:ascii="Arial" w:hAnsi="Arial" w:cs="Arial"/>
          <w:color w:val="000000"/>
          <w:sz w:val="22"/>
          <w:szCs w:val="22"/>
        </w:rPr>
        <w:t xml:space="preserve"> &gt; 0.1 for the χ2 test and I</w:t>
      </w:r>
      <w:r w:rsidRPr="00AF4C9E">
        <w:rPr>
          <w:rFonts w:ascii="Arial" w:hAnsi="Arial" w:cs="Arial"/>
          <w:color w:val="000000"/>
          <w:sz w:val="22"/>
          <w:szCs w:val="22"/>
          <w:vertAlign w:val="superscript"/>
        </w:rPr>
        <w:t xml:space="preserve">2 </w:t>
      </w:r>
      <w:r w:rsidRPr="00AF4C9E">
        <w:rPr>
          <w:rFonts w:ascii="Arial" w:hAnsi="Arial" w:cs="Arial"/>
          <w:color w:val="000000"/>
          <w:sz w:val="22"/>
          <w:szCs w:val="22"/>
        </w:rPr>
        <w:t xml:space="preserve">&lt; 25%. If the heterogeneity was non-significant, a pooled effect was calculated with a fixed-effects model. A random-effects model was used when the heterogeneity was statistically significant. Publication bias was assessed by using funnel plots, Begg’s and Egger’s tests. Statistical analysis was conducted by Review Manager 5.0 software and STATA v12.0 (Stata Corporation, TX). </w:t>
      </w:r>
      <w:r w:rsidRPr="00AF4C9E">
        <w:rPr>
          <w:rFonts w:ascii="Arial" w:hAnsi="Arial" w:cs="Arial"/>
          <w:i/>
          <w:color w:val="000000"/>
          <w:sz w:val="22"/>
          <w:szCs w:val="22"/>
        </w:rPr>
        <w:t>P</w:t>
      </w:r>
      <w:r w:rsidRPr="00AF4C9E">
        <w:rPr>
          <w:rFonts w:ascii="Arial" w:hAnsi="Arial" w:cs="Arial"/>
          <w:color w:val="000000"/>
          <w:sz w:val="22"/>
          <w:szCs w:val="22"/>
        </w:rPr>
        <w:t xml:space="preserve"> values were two-sided and considered significant if </w:t>
      </w:r>
      <w:r w:rsidR="00616E77" w:rsidRPr="00AF4C9E">
        <w:rPr>
          <w:rFonts w:ascii="Arial" w:hAnsi="Arial" w:cs="Arial"/>
          <w:color w:val="000000"/>
          <w:sz w:val="22"/>
          <w:szCs w:val="22"/>
        </w:rPr>
        <w:t>&lt;</w:t>
      </w:r>
      <w:r w:rsidRPr="00AF4C9E">
        <w:rPr>
          <w:rFonts w:ascii="Arial" w:hAnsi="Arial" w:cs="Arial"/>
          <w:color w:val="000000"/>
          <w:sz w:val="22"/>
          <w:szCs w:val="22"/>
        </w:rPr>
        <w:t xml:space="preserve"> 0.05 except for the Q-test.</w:t>
      </w:r>
      <w:r w:rsidR="00A32582" w:rsidRPr="00AF4C9E">
        <w:rPr>
          <w:rFonts w:ascii="Arial" w:hAnsi="Arial" w:cs="Arial"/>
          <w:b/>
          <w:color w:val="000000"/>
          <w:sz w:val="22"/>
          <w:szCs w:val="22"/>
        </w:rPr>
        <w:t xml:space="preserve"> </w:t>
      </w:r>
      <w:r w:rsidR="00FC1189" w:rsidRPr="00AF4C9E">
        <w:rPr>
          <w:rFonts w:ascii="Arial" w:hAnsi="Arial" w:cs="Arial"/>
          <w:b/>
          <w:color w:val="000000"/>
          <w:sz w:val="22"/>
          <w:szCs w:val="22"/>
        </w:rPr>
        <w:br w:type="page"/>
      </w:r>
    </w:p>
    <w:p w14:paraId="41BCF342" w14:textId="7D13274A" w:rsidR="007074ED" w:rsidRPr="00AF4C9E" w:rsidRDefault="007074ED" w:rsidP="005C3925">
      <w:pPr>
        <w:snapToGrid w:val="0"/>
        <w:spacing w:line="360" w:lineRule="auto"/>
        <w:contextualSpacing/>
        <w:rPr>
          <w:rFonts w:ascii="Arial" w:hAnsi="Arial" w:cs="Arial"/>
          <w:b/>
          <w:color w:val="000000"/>
          <w:sz w:val="22"/>
          <w:szCs w:val="22"/>
        </w:rPr>
      </w:pPr>
      <w:r w:rsidRPr="00AF4C9E">
        <w:rPr>
          <w:rFonts w:ascii="Arial" w:hAnsi="Arial" w:cs="Arial"/>
          <w:b/>
          <w:color w:val="000000"/>
          <w:sz w:val="22"/>
          <w:szCs w:val="22"/>
        </w:rPr>
        <w:lastRenderedPageBreak/>
        <w:t>Supplementary</w:t>
      </w:r>
      <w:r w:rsidRPr="00AF4C9E">
        <w:rPr>
          <w:rFonts w:ascii="Arial" w:hAnsi="Arial" w:cs="Arial"/>
          <w:color w:val="000000"/>
          <w:sz w:val="22"/>
          <w:szCs w:val="22"/>
        </w:rPr>
        <w:t xml:space="preserve"> </w:t>
      </w:r>
      <w:r w:rsidRPr="00AF4C9E">
        <w:rPr>
          <w:rFonts w:ascii="Arial" w:hAnsi="Arial" w:cs="Arial"/>
          <w:b/>
          <w:color w:val="000000"/>
          <w:sz w:val="22"/>
          <w:szCs w:val="22"/>
        </w:rPr>
        <w:t xml:space="preserve">Table </w:t>
      </w:r>
      <w:r w:rsidR="00064A28" w:rsidRPr="00AF4C9E">
        <w:rPr>
          <w:rFonts w:ascii="Arial" w:hAnsi="Arial" w:cs="Arial"/>
          <w:b/>
          <w:color w:val="000000"/>
          <w:sz w:val="22"/>
          <w:szCs w:val="22"/>
        </w:rPr>
        <w:t>S</w:t>
      </w:r>
      <w:r w:rsidRPr="00AF4C9E">
        <w:rPr>
          <w:rFonts w:ascii="Arial" w:hAnsi="Arial" w:cs="Arial"/>
          <w:b/>
          <w:color w:val="000000"/>
          <w:sz w:val="22"/>
          <w:szCs w:val="22"/>
        </w:rPr>
        <w:t>1</w:t>
      </w:r>
      <w:r w:rsidRPr="00AF4C9E">
        <w:rPr>
          <w:rFonts w:ascii="Arial" w:hAnsi="Arial" w:cs="Arial"/>
          <w:b/>
          <w:color w:val="000000"/>
          <w:sz w:val="22"/>
          <w:szCs w:val="22"/>
        </w:rPr>
        <w:t>．</w:t>
      </w:r>
      <w:r w:rsidRPr="00AF4C9E">
        <w:rPr>
          <w:rFonts w:ascii="Arial" w:hAnsi="Arial" w:cs="Arial"/>
          <w:b/>
          <w:color w:val="000000"/>
          <w:sz w:val="22"/>
          <w:szCs w:val="22"/>
        </w:rPr>
        <w:t>Search Strategies</w:t>
      </w:r>
    </w:p>
    <w:p w14:paraId="08CD0A84" w14:textId="4C220DF5" w:rsidR="007074ED" w:rsidRPr="00AF4C9E" w:rsidRDefault="007074ED" w:rsidP="005C3925">
      <w:pPr>
        <w:snapToGrid w:val="0"/>
        <w:spacing w:line="360" w:lineRule="auto"/>
        <w:contextualSpacing/>
        <w:rPr>
          <w:rFonts w:ascii="Arial" w:hAnsi="Arial" w:cs="Arial"/>
          <w:b/>
          <w:color w:val="000000"/>
          <w:sz w:val="22"/>
          <w:szCs w:val="22"/>
        </w:rPr>
      </w:pPr>
      <w:r w:rsidRPr="00AF4C9E">
        <w:rPr>
          <w:rFonts w:ascii="Arial" w:hAnsi="Arial" w:cs="Arial"/>
          <w:sz w:val="22"/>
          <w:szCs w:val="22"/>
        </w:rPr>
        <w:t>Search included: P</w:t>
      </w:r>
      <w:r w:rsidR="00B76120" w:rsidRPr="00AF4C9E">
        <w:rPr>
          <w:rFonts w:ascii="Arial" w:hAnsi="Arial" w:cs="Arial"/>
          <w:sz w:val="22"/>
          <w:szCs w:val="22"/>
        </w:rPr>
        <w:t>ub</w:t>
      </w:r>
      <w:r w:rsidRPr="00AF4C9E">
        <w:rPr>
          <w:rFonts w:ascii="Arial" w:hAnsi="Arial" w:cs="Arial"/>
          <w:sz w:val="22"/>
          <w:szCs w:val="22"/>
        </w:rPr>
        <w:t>M</w:t>
      </w:r>
      <w:r w:rsidR="00B76120" w:rsidRPr="00AF4C9E">
        <w:rPr>
          <w:rFonts w:ascii="Arial" w:hAnsi="Arial" w:cs="Arial"/>
          <w:sz w:val="22"/>
          <w:szCs w:val="22"/>
        </w:rPr>
        <w:t>ed</w:t>
      </w:r>
      <w:r w:rsidRPr="00AF4C9E">
        <w:rPr>
          <w:rFonts w:ascii="Arial" w:hAnsi="Arial" w:cs="Arial"/>
          <w:sz w:val="22"/>
          <w:szCs w:val="22"/>
        </w:rPr>
        <w:t xml:space="preserve"> and EMBASE</w:t>
      </w:r>
      <w:r w:rsidR="00064A28" w:rsidRPr="00AF4C9E">
        <w:rPr>
          <w:rFonts w:ascii="Arial" w:hAnsi="Arial" w:cs="Arial"/>
          <w:sz w:val="22"/>
          <w:szCs w:val="22"/>
        </w:rPr>
        <w:t>:</w:t>
      </w:r>
      <w:r w:rsidRPr="00AF4C9E">
        <w:rPr>
          <w:rFonts w:ascii="Arial" w:hAnsi="Arial" w:cs="Arial"/>
          <w:sz w:val="22"/>
          <w:szCs w:val="22"/>
        </w:rPr>
        <w:t xml:space="preserve"> date was from the inception through</w:t>
      </w:r>
      <w:bookmarkStart w:id="0" w:name="OLE_LINK8"/>
      <w:bookmarkStart w:id="1" w:name="OLE_LINK9"/>
      <w:r w:rsidRPr="00AF4C9E">
        <w:rPr>
          <w:rFonts w:ascii="Arial" w:hAnsi="Arial" w:cs="Arial"/>
          <w:sz w:val="22"/>
          <w:szCs w:val="22"/>
        </w:rPr>
        <w:t xml:space="preserve"> </w:t>
      </w:r>
      <w:r w:rsidR="00F83FB6" w:rsidRPr="00AF4C9E">
        <w:rPr>
          <w:rFonts w:ascii="Arial" w:hAnsi="Arial" w:cs="Arial"/>
          <w:sz w:val="22"/>
          <w:szCs w:val="22"/>
        </w:rPr>
        <w:t>June</w:t>
      </w:r>
      <w:r w:rsidRPr="00AF4C9E">
        <w:rPr>
          <w:rFonts w:ascii="Arial" w:hAnsi="Arial" w:cs="Arial"/>
          <w:sz w:val="22"/>
          <w:szCs w:val="22"/>
        </w:rPr>
        <w:t xml:space="preserve"> 201</w:t>
      </w:r>
      <w:bookmarkEnd w:id="0"/>
      <w:bookmarkEnd w:id="1"/>
      <w:r w:rsidRPr="00AF4C9E">
        <w:rPr>
          <w:rFonts w:ascii="Arial" w:hAnsi="Arial" w:cs="Arial"/>
          <w:sz w:val="22"/>
          <w:szCs w:val="22"/>
        </w:rPr>
        <w:t>7</w:t>
      </w:r>
    </w:p>
    <w:p w14:paraId="3D190DC5" w14:textId="77777777" w:rsidR="007074ED" w:rsidRPr="00AF4C9E" w:rsidRDefault="007074ED" w:rsidP="005825F1">
      <w:pPr>
        <w:snapToGrid w:val="0"/>
        <w:contextualSpacing/>
        <w:rPr>
          <w:rFonts w:ascii="Arial" w:hAnsi="Arial" w:cs="Arial"/>
          <w:sz w:val="22"/>
          <w:szCs w:val="22"/>
        </w:rPr>
      </w:pPr>
      <w:r w:rsidRPr="00AF4C9E">
        <w:rPr>
          <w:rFonts w:ascii="Arial" w:hAnsi="Arial" w:cs="Arial"/>
          <w:sz w:val="22"/>
          <w:szCs w:val="22"/>
        </w:rPr>
        <w:t xml:space="preserve"> </w:t>
      </w:r>
    </w:p>
    <w:p w14:paraId="6CDC6B17" w14:textId="3FC8DAD5" w:rsidR="007074ED" w:rsidRPr="00AF4C9E" w:rsidRDefault="007074ED" w:rsidP="005825F1">
      <w:pPr>
        <w:snapToGrid w:val="0"/>
        <w:contextualSpacing/>
        <w:rPr>
          <w:rFonts w:ascii="Arial" w:hAnsi="Arial" w:cs="Arial"/>
          <w:b/>
          <w:color w:val="000000"/>
          <w:sz w:val="22"/>
          <w:szCs w:val="22"/>
        </w:rPr>
      </w:pPr>
      <w:r w:rsidRPr="00AF4C9E">
        <w:rPr>
          <w:rFonts w:ascii="Arial" w:hAnsi="Arial" w:cs="Arial"/>
          <w:b/>
          <w:color w:val="000000"/>
          <w:sz w:val="22"/>
          <w:szCs w:val="22"/>
        </w:rPr>
        <w:t>1) PubMed search strategy</w:t>
      </w: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0"/>
      </w:tblGrid>
      <w:tr w:rsidR="007074ED" w:rsidRPr="00AF4C9E" w14:paraId="681CC375" w14:textId="77777777" w:rsidTr="00172DCD">
        <w:trPr>
          <w:jc w:val="center"/>
        </w:trPr>
        <w:tc>
          <w:tcPr>
            <w:tcW w:w="7830" w:type="dxa"/>
          </w:tcPr>
          <w:p w14:paraId="5F05445E" w14:textId="1BC813B7" w:rsidR="007074ED" w:rsidRPr="00AF4C9E" w:rsidRDefault="007074ED"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w:t>
            </w:r>
            <w:r w:rsidR="004903B0" w:rsidRPr="00AF4C9E">
              <w:rPr>
                <w:rFonts w:ascii="Arial" w:hAnsi="Arial" w:cs="Arial"/>
                <w:color w:val="000000"/>
                <w:sz w:val="22"/>
                <w:szCs w:val="22"/>
              </w:rPr>
              <w:t xml:space="preserve">Lung </w:t>
            </w:r>
            <w:r w:rsidR="00946FAA" w:rsidRPr="00AF4C9E">
              <w:rPr>
                <w:rFonts w:ascii="Arial" w:hAnsi="Arial" w:cs="Arial"/>
                <w:color w:val="000000"/>
                <w:sz w:val="22"/>
                <w:szCs w:val="22"/>
              </w:rPr>
              <w:t>n</w:t>
            </w:r>
            <w:r w:rsidRPr="00AF4C9E">
              <w:rPr>
                <w:rFonts w:ascii="Arial" w:hAnsi="Arial" w:cs="Arial"/>
                <w:color w:val="000000"/>
                <w:sz w:val="22"/>
                <w:szCs w:val="22"/>
              </w:rPr>
              <w:t>eoplasms"[Mesh]</w:t>
            </w:r>
          </w:p>
        </w:tc>
      </w:tr>
      <w:tr w:rsidR="007074ED" w:rsidRPr="00AF4C9E" w14:paraId="6FABD198" w14:textId="77777777" w:rsidTr="00172DCD">
        <w:trPr>
          <w:jc w:val="center"/>
        </w:trPr>
        <w:tc>
          <w:tcPr>
            <w:tcW w:w="7830" w:type="dxa"/>
          </w:tcPr>
          <w:p w14:paraId="32833C44" w14:textId="29BBD79F" w:rsidR="007074ED" w:rsidRPr="00AF4C9E" w:rsidRDefault="004903B0"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 xml:space="preserve">Lung </w:t>
            </w:r>
            <w:r w:rsidR="007074ED" w:rsidRPr="00AF4C9E">
              <w:rPr>
                <w:rFonts w:ascii="Arial" w:hAnsi="Arial" w:cs="Arial"/>
                <w:color w:val="000000"/>
                <w:sz w:val="22"/>
                <w:szCs w:val="22"/>
              </w:rPr>
              <w:t>cancer [Title/Abstract]</w:t>
            </w:r>
          </w:p>
        </w:tc>
      </w:tr>
      <w:tr w:rsidR="007074ED" w:rsidRPr="00AF4C9E" w14:paraId="3BB2523A" w14:textId="77777777" w:rsidTr="00172DCD">
        <w:trPr>
          <w:jc w:val="center"/>
        </w:trPr>
        <w:tc>
          <w:tcPr>
            <w:tcW w:w="7830" w:type="dxa"/>
          </w:tcPr>
          <w:p w14:paraId="2D94ACB4" w14:textId="46F03DDF" w:rsidR="007074ED" w:rsidRPr="00AF4C9E" w:rsidRDefault="004903B0"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 xml:space="preserve">Lung </w:t>
            </w:r>
            <w:r w:rsidR="007074ED" w:rsidRPr="00AF4C9E">
              <w:rPr>
                <w:rFonts w:ascii="Arial" w:hAnsi="Arial" w:cs="Arial"/>
                <w:color w:val="000000"/>
                <w:sz w:val="22"/>
                <w:szCs w:val="22"/>
              </w:rPr>
              <w:t>tumor [Title/Abstract]</w:t>
            </w:r>
          </w:p>
        </w:tc>
      </w:tr>
      <w:tr w:rsidR="007074ED" w:rsidRPr="00AF4C9E" w14:paraId="5858DCD3" w14:textId="77777777" w:rsidTr="00172DCD">
        <w:trPr>
          <w:jc w:val="center"/>
        </w:trPr>
        <w:tc>
          <w:tcPr>
            <w:tcW w:w="7830" w:type="dxa"/>
          </w:tcPr>
          <w:p w14:paraId="430956EF" w14:textId="0982678F" w:rsidR="007074ED" w:rsidRPr="00AF4C9E" w:rsidRDefault="004903B0"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 xml:space="preserve">Lung </w:t>
            </w:r>
            <w:r w:rsidR="007074ED" w:rsidRPr="00AF4C9E">
              <w:rPr>
                <w:rFonts w:ascii="Arial" w:hAnsi="Arial" w:cs="Arial"/>
                <w:color w:val="000000"/>
                <w:sz w:val="22"/>
                <w:szCs w:val="22"/>
              </w:rPr>
              <w:t>tumour [Title/Abstract]</w:t>
            </w:r>
          </w:p>
        </w:tc>
      </w:tr>
      <w:tr w:rsidR="007074ED" w:rsidRPr="00AF4C9E" w14:paraId="30C961A0" w14:textId="77777777" w:rsidTr="00172DCD">
        <w:trPr>
          <w:jc w:val="center"/>
        </w:trPr>
        <w:tc>
          <w:tcPr>
            <w:tcW w:w="7830" w:type="dxa"/>
          </w:tcPr>
          <w:p w14:paraId="641C67DC" w14:textId="79C64920" w:rsidR="007074ED" w:rsidRPr="00AF4C9E" w:rsidRDefault="004903B0"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 xml:space="preserve">Lung </w:t>
            </w:r>
            <w:r w:rsidR="007074ED" w:rsidRPr="00AF4C9E">
              <w:rPr>
                <w:rFonts w:ascii="Arial" w:hAnsi="Arial" w:cs="Arial"/>
                <w:color w:val="000000"/>
                <w:sz w:val="22"/>
                <w:szCs w:val="22"/>
              </w:rPr>
              <w:t>carcinoma* [Title/Abstract]</w:t>
            </w:r>
          </w:p>
        </w:tc>
      </w:tr>
      <w:tr w:rsidR="007074ED" w:rsidRPr="00AF4C9E" w14:paraId="4981BB2F" w14:textId="77777777" w:rsidTr="00172DCD">
        <w:trPr>
          <w:jc w:val="center"/>
        </w:trPr>
        <w:tc>
          <w:tcPr>
            <w:tcW w:w="7830" w:type="dxa"/>
          </w:tcPr>
          <w:p w14:paraId="38B316E2" w14:textId="6ACBA0BA" w:rsidR="007074ED" w:rsidRPr="00AF4C9E" w:rsidRDefault="004903B0"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 xml:space="preserve">Lung </w:t>
            </w:r>
            <w:r w:rsidR="007074ED" w:rsidRPr="00AF4C9E">
              <w:rPr>
                <w:rFonts w:ascii="Arial" w:hAnsi="Arial" w:cs="Arial"/>
                <w:color w:val="000000"/>
                <w:sz w:val="22"/>
                <w:szCs w:val="22"/>
              </w:rPr>
              <w:t>neoplas* [Title/Abstract]</w:t>
            </w:r>
          </w:p>
        </w:tc>
      </w:tr>
      <w:tr w:rsidR="007074ED" w:rsidRPr="00AF4C9E" w14:paraId="6B0F4871" w14:textId="77777777" w:rsidTr="00172DCD">
        <w:trPr>
          <w:jc w:val="center"/>
        </w:trPr>
        <w:tc>
          <w:tcPr>
            <w:tcW w:w="7830" w:type="dxa"/>
          </w:tcPr>
          <w:p w14:paraId="10F6E72C" w14:textId="20E20039" w:rsidR="007074ED" w:rsidRPr="00AF4C9E" w:rsidRDefault="004903B0"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 xml:space="preserve">Lung </w:t>
            </w:r>
            <w:r w:rsidR="007074ED" w:rsidRPr="00AF4C9E">
              <w:rPr>
                <w:rFonts w:ascii="Arial" w:hAnsi="Arial" w:cs="Arial"/>
                <w:color w:val="000000"/>
                <w:sz w:val="22"/>
                <w:szCs w:val="22"/>
              </w:rPr>
              <w:t>malignan*[Title/Abstract]</w:t>
            </w:r>
          </w:p>
        </w:tc>
      </w:tr>
      <w:tr w:rsidR="007074ED" w:rsidRPr="00AF4C9E" w14:paraId="7208B36E" w14:textId="77777777" w:rsidTr="00172DCD">
        <w:trPr>
          <w:jc w:val="center"/>
        </w:trPr>
        <w:tc>
          <w:tcPr>
            <w:tcW w:w="7830" w:type="dxa"/>
          </w:tcPr>
          <w:p w14:paraId="445AFF80" w14:textId="497EE88D" w:rsidR="007074ED" w:rsidRPr="00AF4C9E" w:rsidRDefault="007074ED"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w:t>
            </w:r>
            <w:r w:rsidR="004903B0" w:rsidRPr="00AF4C9E">
              <w:rPr>
                <w:rFonts w:ascii="Arial" w:hAnsi="Arial" w:cs="Arial"/>
                <w:color w:val="000000"/>
                <w:sz w:val="22"/>
                <w:szCs w:val="22"/>
              </w:rPr>
              <w:t>B7-H1 antigen</w:t>
            </w:r>
            <w:r w:rsidRPr="00AF4C9E">
              <w:rPr>
                <w:rFonts w:ascii="Arial" w:hAnsi="Arial" w:cs="Arial"/>
                <w:color w:val="000000"/>
                <w:sz w:val="22"/>
                <w:szCs w:val="22"/>
              </w:rPr>
              <w:t>" [Mesh]</w:t>
            </w:r>
          </w:p>
        </w:tc>
      </w:tr>
      <w:tr w:rsidR="007074ED" w:rsidRPr="00AF4C9E" w14:paraId="53BFFB86" w14:textId="77777777" w:rsidTr="00172DCD">
        <w:trPr>
          <w:trHeight w:val="255"/>
          <w:jc w:val="center"/>
        </w:trPr>
        <w:tc>
          <w:tcPr>
            <w:tcW w:w="7830" w:type="dxa"/>
          </w:tcPr>
          <w:p w14:paraId="52D86C4F" w14:textId="7D9025C2" w:rsidR="007074ED" w:rsidRPr="00AF4C9E" w:rsidRDefault="007074ED"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w:t>
            </w:r>
            <w:r w:rsidR="004903B0" w:rsidRPr="00AF4C9E">
              <w:rPr>
                <w:rFonts w:ascii="Arial" w:hAnsi="Arial" w:cs="Arial"/>
                <w:color w:val="000000"/>
                <w:sz w:val="22"/>
                <w:szCs w:val="22"/>
              </w:rPr>
              <w:t>CD274 protein</w:t>
            </w:r>
            <w:r w:rsidRPr="00AF4C9E">
              <w:rPr>
                <w:rFonts w:ascii="Arial" w:hAnsi="Arial" w:cs="Arial"/>
                <w:color w:val="000000"/>
                <w:sz w:val="22"/>
                <w:szCs w:val="22"/>
              </w:rPr>
              <w:t>" [Mesh]</w:t>
            </w:r>
          </w:p>
        </w:tc>
      </w:tr>
      <w:tr w:rsidR="007074ED" w:rsidRPr="00AF4C9E" w14:paraId="1D1FE15C" w14:textId="77777777" w:rsidTr="00172DCD">
        <w:trPr>
          <w:jc w:val="center"/>
        </w:trPr>
        <w:tc>
          <w:tcPr>
            <w:tcW w:w="7830" w:type="dxa"/>
          </w:tcPr>
          <w:p w14:paraId="072121F1" w14:textId="5676A67D" w:rsidR="007074ED" w:rsidRPr="00AF4C9E" w:rsidRDefault="004903B0"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PD-L1</w:t>
            </w:r>
            <w:r w:rsidR="007074ED" w:rsidRPr="00AF4C9E">
              <w:rPr>
                <w:rFonts w:ascii="Arial" w:hAnsi="Arial" w:cs="Arial"/>
                <w:color w:val="000000"/>
                <w:sz w:val="22"/>
                <w:szCs w:val="22"/>
              </w:rPr>
              <w:t>[Title/Abstract]</w:t>
            </w:r>
          </w:p>
        </w:tc>
      </w:tr>
      <w:tr w:rsidR="007074ED" w:rsidRPr="00AF4C9E" w14:paraId="2C18332A" w14:textId="77777777" w:rsidTr="00172DCD">
        <w:trPr>
          <w:jc w:val="center"/>
        </w:trPr>
        <w:tc>
          <w:tcPr>
            <w:tcW w:w="7830" w:type="dxa"/>
          </w:tcPr>
          <w:p w14:paraId="6B1552D9" w14:textId="5C5EDF14" w:rsidR="007074ED" w:rsidRPr="00AF4C9E" w:rsidRDefault="004903B0"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PDL1</w:t>
            </w:r>
            <w:r w:rsidR="007074ED" w:rsidRPr="00AF4C9E">
              <w:rPr>
                <w:rFonts w:ascii="Arial" w:hAnsi="Arial" w:cs="Arial"/>
                <w:color w:val="000000"/>
                <w:sz w:val="22"/>
                <w:szCs w:val="22"/>
              </w:rPr>
              <w:t>[Title/Abstract]</w:t>
            </w:r>
          </w:p>
        </w:tc>
      </w:tr>
      <w:tr w:rsidR="004903B0" w:rsidRPr="00AF4C9E" w14:paraId="35D4492E" w14:textId="77777777" w:rsidTr="00172DCD">
        <w:trPr>
          <w:jc w:val="center"/>
        </w:trPr>
        <w:tc>
          <w:tcPr>
            <w:tcW w:w="7830" w:type="dxa"/>
          </w:tcPr>
          <w:p w14:paraId="67BF6D62" w14:textId="0FF9DC9F" w:rsidR="004903B0" w:rsidRPr="00AF4C9E" w:rsidRDefault="004903B0"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B7-H1 [Title/Abstract]</w:t>
            </w:r>
          </w:p>
        </w:tc>
      </w:tr>
      <w:tr w:rsidR="004903B0" w:rsidRPr="00AF4C9E" w14:paraId="767B28A2" w14:textId="77777777" w:rsidTr="00172DCD">
        <w:trPr>
          <w:jc w:val="center"/>
        </w:trPr>
        <w:tc>
          <w:tcPr>
            <w:tcW w:w="7830" w:type="dxa"/>
          </w:tcPr>
          <w:p w14:paraId="5253DE12" w14:textId="784E7778" w:rsidR="004903B0" w:rsidRPr="00AF4C9E" w:rsidRDefault="004903B0"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CD274[Title/Abstract]</w:t>
            </w:r>
          </w:p>
        </w:tc>
      </w:tr>
      <w:tr w:rsidR="007074ED" w:rsidRPr="00AF4C9E" w14:paraId="4DAC407C" w14:textId="77777777" w:rsidTr="00172DCD">
        <w:trPr>
          <w:jc w:val="center"/>
        </w:trPr>
        <w:tc>
          <w:tcPr>
            <w:tcW w:w="7830" w:type="dxa"/>
          </w:tcPr>
          <w:p w14:paraId="376F8E20" w14:textId="5149A2E3" w:rsidR="007074ED" w:rsidRPr="00AF4C9E" w:rsidRDefault="007074ED"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w:t>
            </w:r>
            <w:r w:rsidR="00A3476A" w:rsidRPr="00AF4C9E">
              <w:rPr>
                <w:rFonts w:ascii="Arial" w:hAnsi="Arial" w:cs="Arial"/>
                <w:color w:val="000000"/>
                <w:sz w:val="22"/>
                <w:szCs w:val="22"/>
              </w:rPr>
              <w:t>liver metastasis</w:t>
            </w:r>
            <w:r w:rsidRPr="00AF4C9E">
              <w:rPr>
                <w:rFonts w:ascii="Arial" w:hAnsi="Arial" w:cs="Arial"/>
                <w:color w:val="000000"/>
                <w:sz w:val="22"/>
                <w:szCs w:val="22"/>
              </w:rPr>
              <w:t>"[Mesh]</w:t>
            </w:r>
          </w:p>
        </w:tc>
      </w:tr>
      <w:tr w:rsidR="007074ED" w:rsidRPr="00AF4C9E" w14:paraId="072CCEFC" w14:textId="77777777" w:rsidTr="00172DCD">
        <w:trPr>
          <w:jc w:val="center"/>
        </w:trPr>
        <w:tc>
          <w:tcPr>
            <w:tcW w:w="7830" w:type="dxa"/>
          </w:tcPr>
          <w:p w14:paraId="6432AD3C" w14:textId="1A6042A6" w:rsidR="007074ED" w:rsidRPr="00AF4C9E" w:rsidRDefault="007074ED"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w:t>
            </w:r>
            <w:r w:rsidR="00A3476A" w:rsidRPr="00AF4C9E">
              <w:rPr>
                <w:rFonts w:ascii="Arial" w:hAnsi="Arial" w:cs="Arial"/>
                <w:color w:val="000000"/>
                <w:sz w:val="22"/>
                <w:szCs w:val="22"/>
              </w:rPr>
              <w:t>hepatic metastasis</w:t>
            </w:r>
            <w:r w:rsidRPr="00AF4C9E">
              <w:rPr>
                <w:rFonts w:ascii="Arial" w:hAnsi="Arial" w:cs="Arial"/>
                <w:color w:val="000000"/>
                <w:sz w:val="22"/>
                <w:szCs w:val="22"/>
              </w:rPr>
              <w:t>"[Mesh]</w:t>
            </w:r>
          </w:p>
        </w:tc>
      </w:tr>
      <w:tr w:rsidR="007074ED" w:rsidRPr="00AF4C9E" w14:paraId="64561992" w14:textId="77777777" w:rsidTr="00172DCD">
        <w:trPr>
          <w:jc w:val="center"/>
        </w:trPr>
        <w:tc>
          <w:tcPr>
            <w:tcW w:w="7830" w:type="dxa"/>
          </w:tcPr>
          <w:p w14:paraId="5D0D5A82" w14:textId="0B88F5C0" w:rsidR="007074ED" w:rsidRPr="00AF4C9E" w:rsidRDefault="00A3476A"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 xml:space="preserve">liver metastasis </w:t>
            </w:r>
            <w:r w:rsidR="007074ED" w:rsidRPr="00AF4C9E">
              <w:rPr>
                <w:rFonts w:ascii="Arial" w:hAnsi="Arial" w:cs="Arial"/>
                <w:color w:val="000000"/>
                <w:sz w:val="22"/>
                <w:szCs w:val="22"/>
              </w:rPr>
              <w:t>[Title/Abstract]</w:t>
            </w:r>
          </w:p>
        </w:tc>
      </w:tr>
      <w:tr w:rsidR="007074ED" w:rsidRPr="00AF4C9E" w14:paraId="2136D138" w14:textId="77777777" w:rsidTr="00172DCD">
        <w:trPr>
          <w:jc w:val="center"/>
        </w:trPr>
        <w:tc>
          <w:tcPr>
            <w:tcW w:w="7830" w:type="dxa"/>
          </w:tcPr>
          <w:p w14:paraId="561FE8E7" w14:textId="121E6953" w:rsidR="007074ED" w:rsidRPr="00AF4C9E" w:rsidRDefault="00A3476A"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 xml:space="preserve">hepatic metastasis </w:t>
            </w:r>
            <w:r w:rsidR="007074ED" w:rsidRPr="00AF4C9E">
              <w:rPr>
                <w:rFonts w:ascii="Arial" w:hAnsi="Arial" w:cs="Arial"/>
                <w:color w:val="000000"/>
                <w:sz w:val="22"/>
                <w:szCs w:val="22"/>
              </w:rPr>
              <w:t>[Title/Abstract]</w:t>
            </w:r>
          </w:p>
        </w:tc>
      </w:tr>
      <w:tr w:rsidR="007074ED" w:rsidRPr="00AF4C9E" w14:paraId="56D1EF0E" w14:textId="77777777" w:rsidTr="00172DCD">
        <w:trPr>
          <w:jc w:val="center"/>
        </w:trPr>
        <w:tc>
          <w:tcPr>
            <w:tcW w:w="7830" w:type="dxa"/>
          </w:tcPr>
          <w:p w14:paraId="676989A2" w14:textId="66BC3F73" w:rsidR="007074ED" w:rsidRPr="00AF4C9E" w:rsidRDefault="007074ED" w:rsidP="005825F1">
            <w:pPr>
              <w:numPr>
                <w:ilvl w:val="0"/>
                <w:numId w:val="1"/>
              </w:numPr>
              <w:tabs>
                <w:tab w:val="clear" w:pos="502"/>
                <w:tab w:val="num" w:pos="360"/>
              </w:tabs>
              <w:snapToGrid w:val="0"/>
              <w:ind w:left="0" w:firstLine="0"/>
              <w:contextualSpacing/>
              <w:rPr>
                <w:rFonts w:ascii="Arial" w:hAnsi="Arial" w:cs="Arial"/>
                <w:color w:val="000000"/>
                <w:sz w:val="22"/>
                <w:szCs w:val="22"/>
              </w:rPr>
            </w:pPr>
            <w:r w:rsidRPr="00AF4C9E">
              <w:rPr>
                <w:rFonts w:ascii="Arial" w:hAnsi="Arial" w:cs="Arial"/>
                <w:color w:val="000000"/>
                <w:sz w:val="22"/>
                <w:szCs w:val="22"/>
              </w:rPr>
              <w:t>(1 OR 2 OR 3 OR 4 OR 5 OR 6 OR 7) AND (8 OR 9 OR 10 OR 11</w:t>
            </w:r>
            <w:r w:rsidR="004903B0" w:rsidRPr="00AF4C9E">
              <w:rPr>
                <w:rFonts w:ascii="Arial" w:hAnsi="Arial" w:cs="Arial"/>
                <w:color w:val="000000"/>
                <w:sz w:val="22"/>
                <w:szCs w:val="22"/>
              </w:rPr>
              <w:t xml:space="preserve"> OR 12 OR 13</w:t>
            </w:r>
            <w:r w:rsidRPr="00AF4C9E">
              <w:rPr>
                <w:rFonts w:ascii="Arial" w:hAnsi="Arial" w:cs="Arial"/>
                <w:color w:val="000000"/>
                <w:sz w:val="22"/>
                <w:szCs w:val="22"/>
              </w:rPr>
              <w:t>) AND (14 OR 15 OR 16</w:t>
            </w:r>
            <w:r w:rsidR="004903B0" w:rsidRPr="00AF4C9E">
              <w:rPr>
                <w:rFonts w:ascii="Arial" w:hAnsi="Arial" w:cs="Arial"/>
                <w:color w:val="000000"/>
                <w:sz w:val="22"/>
                <w:szCs w:val="22"/>
              </w:rPr>
              <w:t xml:space="preserve"> OR </w:t>
            </w:r>
            <w:r w:rsidR="000638BD" w:rsidRPr="00AF4C9E">
              <w:rPr>
                <w:rFonts w:ascii="Arial" w:hAnsi="Arial" w:cs="Arial"/>
                <w:color w:val="000000"/>
                <w:sz w:val="22"/>
                <w:szCs w:val="22"/>
              </w:rPr>
              <w:t>17)</w:t>
            </w:r>
          </w:p>
        </w:tc>
      </w:tr>
    </w:tbl>
    <w:p w14:paraId="23A6462E" w14:textId="77777777" w:rsidR="007074ED" w:rsidRPr="00AF4C9E" w:rsidRDefault="007074ED" w:rsidP="005825F1">
      <w:pPr>
        <w:snapToGrid w:val="0"/>
        <w:contextualSpacing/>
        <w:rPr>
          <w:rFonts w:ascii="Arial" w:hAnsi="Arial" w:cs="Arial"/>
          <w:b/>
          <w:color w:val="000000"/>
          <w:sz w:val="22"/>
          <w:szCs w:val="22"/>
        </w:rPr>
      </w:pPr>
    </w:p>
    <w:p w14:paraId="58443453" w14:textId="75CF6A88" w:rsidR="007074ED" w:rsidRPr="00AF4C9E" w:rsidRDefault="007074ED" w:rsidP="005825F1">
      <w:pPr>
        <w:snapToGrid w:val="0"/>
        <w:contextualSpacing/>
        <w:rPr>
          <w:rFonts w:ascii="Arial" w:hAnsi="Arial" w:cs="Arial"/>
          <w:b/>
          <w:color w:val="000000"/>
          <w:sz w:val="22"/>
          <w:szCs w:val="22"/>
        </w:rPr>
      </w:pPr>
      <w:r w:rsidRPr="00AF4C9E">
        <w:rPr>
          <w:rFonts w:ascii="Arial" w:hAnsi="Arial" w:cs="Arial"/>
          <w:b/>
          <w:color w:val="000000"/>
          <w:sz w:val="22"/>
          <w:szCs w:val="22"/>
        </w:rPr>
        <w:t>2) E</w:t>
      </w:r>
      <w:r w:rsidR="00B76120" w:rsidRPr="00AF4C9E">
        <w:rPr>
          <w:rFonts w:ascii="Arial" w:hAnsi="Arial" w:cs="Arial"/>
          <w:b/>
          <w:color w:val="000000"/>
          <w:sz w:val="22"/>
          <w:szCs w:val="22"/>
        </w:rPr>
        <w:t>MBASE</w:t>
      </w:r>
      <w:r w:rsidRPr="00AF4C9E">
        <w:rPr>
          <w:rFonts w:ascii="Arial" w:hAnsi="Arial" w:cs="Arial"/>
          <w:b/>
          <w:color w:val="000000"/>
          <w:sz w:val="22"/>
          <w:szCs w:val="22"/>
        </w:rPr>
        <w:t xml:space="preserve"> search strategy</w:t>
      </w:r>
    </w:p>
    <w:tbl>
      <w:tblPr>
        <w:tblW w:w="7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5"/>
      </w:tblGrid>
      <w:tr w:rsidR="007074ED" w:rsidRPr="00AF4C9E" w14:paraId="2B0919D7" w14:textId="77777777" w:rsidTr="00172DCD">
        <w:tc>
          <w:tcPr>
            <w:tcW w:w="7825" w:type="dxa"/>
            <w:shd w:val="clear" w:color="auto" w:fill="auto"/>
          </w:tcPr>
          <w:p w14:paraId="4B98412C" w14:textId="7318EFE6" w:rsidR="007074ED" w:rsidRPr="00AF4C9E" w:rsidRDefault="007074ED" w:rsidP="005825F1">
            <w:pPr>
              <w:pStyle w:val="p0"/>
              <w:numPr>
                <w:ilvl w:val="0"/>
                <w:numId w:val="2"/>
              </w:numPr>
              <w:tabs>
                <w:tab w:val="left" w:pos="176"/>
              </w:tabs>
              <w:snapToGrid w:val="0"/>
              <w:ind w:left="0" w:firstLine="0"/>
              <w:contextualSpacing/>
              <w:jc w:val="left"/>
              <w:rPr>
                <w:rFonts w:ascii="Arial" w:hAnsi="Arial" w:cs="Arial"/>
                <w:sz w:val="22"/>
                <w:szCs w:val="22"/>
                <w:lang w:val="en-US" w:eastAsia="zh-CN"/>
              </w:rPr>
            </w:pPr>
            <w:r w:rsidRPr="00AF4C9E">
              <w:rPr>
                <w:rFonts w:ascii="Arial" w:hAnsi="Arial" w:cs="Arial"/>
                <w:sz w:val="22"/>
                <w:szCs w:val="22"/>
                <w:lang w:val="en-US" w:eastAsia="zh-CN"/>
              </w:rPr>
              <w:t>'</w:t>
            </w:r>
            <w:r w:rsidR="004903B0" w:rsidRPr="00AF4C9E">
              <w:rPr>
                <w:rFonts w:ascii="Arial" w:hAnsi="Arial" w:cs="Arial"/>
                <w:sz w:val="22"/>
                <w:szCs w:val="22"/>
                <w:lang w:val="en-US" w:eastAsia="zh-CN"/>
              </w:rPr>
              <w:t xml:space="preserve">lung </w:t>
            </w:r>
            <w:r w:rsidRPr="00AF4C9E">
              <w:rPr>
                <w:rFonts w:ascii="Arial" w:hAnsi="Arial" w:cs="Arial"/>
                <w:sz w:val="22"/>
                <w:szCs w:val="22"/>
                <w:lang w:val="en-US" w:eastAsia="zh-CN"/>
              </w:rPr>
              <w:t>neoplasm'/exp</w:t>
            </w:r>
          </w:p>
        </w:tc>
      </w:tr>
      <w:tr w:rsidR="007074ED" w:rsidRPr="00AF4C9E" w14:paraId="50BEC578" w14:textId="77777777" w:rsidTr="00172DCD">
        <w:tc>
          <w:tcPr>
            <w:tcW w:w="7825" w:type="dxa"/>
            <w:shd w:val="clear" w:color="auto" w:fill="auto"/>
          </w:tcPr>
          <w:p w14:paraId="17311351" w14:textId="1EB83B19" w:rsidR="007074ED" w:rsidRPr="00AF4C9E" w:rsidRDefault="004903B0" w:rsidP="005825F1">
            <w:pPr>
              <w:pStyle w:val="p0"/>
              <w:numPr>
                <w:ilvl w:val="0"/>
                <w:numId w:val="2"/>
              </w:numPr>
              <w:tabs>
                <w:tab w:val="left" w:pos="176"/>
              </w:tabs>
              <w:snapToGrid w:val="0"/>
              <w:ind w:left="0" w:firstLine="0"/>
              <w:contextualSpacing/>
              <w:jc w:val="left"/>
              <w:rPr>
                <w:rFonts w:ascii="Arial" w:hAnsi="Arial" w:cs="Arial"/>
                <w:sz w:val="22"/>
                <w:szCs w:val="22"/>
                <w:lang w:val="en-US" w:eastAsia="zh-CN"/>
              </w:rPr>
            </w:pPr>
            <w:r w:rsidRPr="00AF4C9E">
              <w:rPr>
                <w:rFonts w:ascii="Arial" w:hAnsi="Arial" w:cs="Arial"/>
                <w:sz w:val="22"/>
                <w:szCs w:val="22"/>
                <w:lang w:val="en-US" w:eastAsia="zh-CN"/>
              </w:rPr>
              <w:t xml:space="preserve">lung </w:t>
            </w:r>
            <w:r w:rsidR="007074ED" w:rsidRPr="00AF4C9E">
              <w:rPr>
                <w:rFonts w:ascii="Arial" w:hAnsi="Arial" w:cs="Arial"/>
                <w:sz w:val="22"/>
                <w:szCs w:val="22"/>
                <w:lang w:val="en-US" w:eastAsia="zh-CN"/>
              </w:rPr>
              <w:t>cancer:ab,ti</w:t>
            </w:r>
          </w:p>
        </w:tc>
      </w:tr>
      <w:tr w:rsidR="007074ED" w:rsidRPr="00AF4C9E" w14:paraId="41EBF934" w14:textId="77777777" w:rsidTr="00172DCD">
        <w:tc>
          <w:tcPr>
            <w:tcW w:w="7825" w:type="dxa"/>
            <w:shd w:val="clear" w:color="auto" w:fill="auto"/>
          </w:tcPr>
          <w:p w14:paraId="41AA6B87" w14:textId="1CC00154" w:rsidR="007074ED" w:rsidRPr="00AF4C9E" w:rsidRDefault="004903B0"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 xml:space="preserve">lung </w:t>
            </w:r>
            <w:r w:rsidR="007074ED" w:rsidRPr="00AF4C9E">
              <w:rPr>
                <w:rFonts w:ascii="Arial" w:hAnsi="Arial" w:cs="Arial"/>
                <w:sz w:val="22"/>
                <w:szCs w:val="22"/>
              </w:rPr>
              <w:t>tumor:ab,ti</w:t>
            </w:r>
          </w:p>
        </w:tc>
      </w:tr>
      <w:tr w:rsidR="007074ED" w:rsidRPr="00AF4C9E" w14:paraId="404A418E" w14:textId="77777777" w:rsidTr="00172DCD">
        <w:tc>
          <w:tcPr>
            <w:tcW w:w="7825" w:type="dxa"/>
            <w:shd w:val="clear" w:color="auto" w:fill="auto"/>
          </w:tcPr>
          <w:p w14:paraId="14C40D98" w14:textId="0CFFC5CA" w:rsidR="007074ED" w:rsidRPr="00AF4C9E" w:rsidRDefault="004903B0"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 xml:space="preserve">lung </w:t>
            </w:r>
            <w:r w:rsidR="007074ED" w:rsidRPr="00AF4C9E">
              <w:rPr>
                <w:rFonts w:ascii="Arial" w:hAnsi="Arial" w:cs="Arial"/>
                <w:sz w:val="22"/>
                <w:szCs w:val="22"/>
              </w:rPr>
              <w:t>tumour:ab,ti</w:t>
            </w:r>
          </w:p>
        </w:tc>
      </w:tr>
      <w:tr w:rsidR="007074ED" w:rsidRPr="00AF4C9E" w14:paraId="54F21367" w14:textId="77777777" w:rsidTr="00172DCD">
        <w:tc>
          <w:tcPr>
            <w:tcW w:w="7825" w:type="dxa"/>
            <w:shd w:val="clear" w:color="auto" w:fill="auto"/>
          </w:tcPr>
          <w:p w14:paraId="7BC1CD68" w14:textId="4B539ACB" w:rsidR="007074ED" w:rsidRPr="00AF4C9E" w:rsidRDefault="004903B0"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 xml:space="preserve">lung </w:t>
            </w:r>
            <w:r w:rsidR="007074ED" w:rsidRPr="00AF4C9E">
              <w:rPr>
                <w:rFonts w:ascii="Arial" w:hAnsi="Arial" w:cs="Arial"/>
                <w:sz w:val="22"/>
                <w:szCs w:val="22"/>
              </w:rPr>
              <w:t>carcinoma:ab,ti</w:t>
            </w:r>
          </w:p>
        </w:tc>
      </w:tr>
      <w:tr w:rsidR="007074ED" w:rsidRPr="00AF4C9E" w14:paraId="41368406" w14:textId="77777777" w:rsidTr="00172DCD">
        <w:tc>
          <w:tcPr>
            <w:tcW w:w="7825" w:type="dxa"/>
            <w:shd w:val="clear" w:color="auto" w:fill="auto"/>
          </w:tcPr>
          <w:p w14:paraId="65DF43BD" w14:textId="6166315D" w:rsidR="007074ED" w:rsidRPr="00AF4C9E" w:rsidRDefault="004903B0"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 xml:space="preserve">lung </w:t>
            </w:r>
            <w:r w:rsidR="007074ED" w:rsidRPr="00AF4C9E">
              <w:rPr>
                <w:rFonts w:ascii="Arial" w:hAnsi="Arial" w:cs="Arial"/>
                <w:sz w:val="22"/>
                <w:szCs w:val="22"/>
              </w:rPr>
              <w:t>neoplas*:ab,ti</w:t>
            </w:r>
          </w:p>
        </w:tc>
      </w:tr>
      <w:tr w:rsidR="007074ED" w:rsidRPr="00AF4C9E" w14:paraId="6924319B" w14:textId="77777777" w:rsidTr="00172DCD">
        <w:tc>
          <w:tcPr>
            <w:tcW w:w="7825" w:type="dxa"/>
            <w:shd w:val="clear" w:color="auto" w:fill="auto"/>
          </w:tcPr>
          <w:p w14:paraId="6373B644" w14:textId="2880B1E6" w:rsidR="007074ED" w:rsidRPr="00AF4C9E" w:rsidRDefault="004903B0"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 xml:space="preserve">lung </w:t>
            </w:r>
            <w:r w:rsidR="007074ED" w:rsidRPr="00AF4C9E">
              <w:rPr>
                <w:rFonts w:ascii="Arial" w:hAnsi="Arial" w:cs="Arial"/>
                <w:sz w:val="22"/>
                <w:szCs w:val="22"/>
              </w:rPr>
              <w:t>malignan*:ab,ti</w:t>
            </w:r>
          </w:p>
        </w:tc>
      </w:tr>
      <w:tr w:rsidR="007074ED" w:rsidRPr="00AF4C9E" w14:paraId="2B240DC8" w14:textId="77777777" w:rsidTr="00172DCD">
        <w:tc>
          <w:tcPr>
            <w:tcW w:w="7825" w:type="dxa"/>
            <w:shd w:val="clear" w:color="auto" w:fill="auto"/>
          </w:tcPr>
          <w:p w14:paraId="2C8FFE85" w14:textId="6C359AB8" w:rsidR="007074ED" w:rsidRPr="00AF4C9E" w:rsidRDefault="004903B0"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 xml:space="preserve">lung </w:t>
            </w:r>
            <w:r w:rsidR="007074ED" w:rsidRPr="00AF4C9E">
              <w:rPr>
                <w:rFonts w:ascii="Arial" w:hAnsi="Arial" w:cs="Arial"/>
                <w:sz w:val="22"/>
                <w:szCs w:val="22"/>
              </w:rPr>
              <w:t>adenoma*:ab,ti</w:t>
            </w:r>
          </w:p>
        </w:tc>
      </w:tr>
      <w:tr w:rsidR="007074ED" w:rsidRPr="00AF4C9E" w14:paraId="040F20D5" w14:textId="77777777" w:rsidTr="00172DCD">
        <w:tc>
          <w:tcPr>
            <w:tcW w:w="7825" w:type="dxa"/>
            <w:shd w:val="clear" w:color="auto" w:fill="auto"/>
          </w:tcPr>
          <w:p w14:paraId="213186DA" w14:textId="7E9EC181" w:rsidR="007074ED" w:rsidRPr="00AF4C9E" w:rsidRDefault="007074ED"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w:t>
            </w:r>
            <w:r w:rsidR="004903B0" w:rsidRPr="00AF4C9E">
              <w:rPr>
                <w:rFonts w:ascii="Arial" w:hAnsi="Arial" w:cs="Arial"/>
                <w:sz w:val="22"/>
                <w:szCs w:val="22"/>
              </w:rPr>
              <w:t>B7-H1 antigen</w:t>
            </w:r>
            <w:r w:rsidRPr="00AF4C9E">
              <w:rPr>
                <w:rFonts w:ascii="Arial" w:hAnsi="Arial" w:cs="Arial"/>
                <w:sz w:val="22"/>
                <w:szCs w:val="22"/>
              </w:rPr>
              <w:t>'/exp</w:t>
            </w:r>
          </w:p>
        </w:tc>
      </w:tr>
      <w:tr w:rsidR="007074ED" w:rsidRPr="00AF4C9E" w14:paraId="5251C082" w14:textId="77777777" w:rsidTr="00172DCD">
        <w:tc>
          <w:tcPr>
            <w:tcW w:w="7825" w:type="dxa"/>
            <w:shd w:val="clear" w:color="auto" w:fill="auto"/>
          </w:tcPr>
          <w:p w14:paraId="536B315E" w14:textId="7E63EA41" w:rsidR="007074ED" w:rsidRPr="00AF4C9E" w:rsidRDefault="004903B0"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B7-H1</w:t>
            </w:r>
          </w:p>
        </w:tc>
      </w:tr>
      <w:tr w:rsidR="007074ED" w:rsidRPr="00AF4C9E" w14:paraId="01392962" w14:textId="77777777" w:rsidTr="00172DCD">
        <w:tc>
          <w:tcPr>
            <w:tcW w:w="7825" w:type="dxa"/>
            <w:shd w:val="clear" w:color="auto" w:fill="auto"/>
          </w:tcPr>
          <w:p w14:paraId="25532181" w14:textId="660E04FD" w:rsidR="007074ED" w:rsidRPr="00AF4C9E" w:rsidRDefault="007074ED"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w:t>
            </w:r>
            <w:r w:rsidR="004903B0" w:rsidRPr="00AF4C9E">
              <w:rPr>
                <w:rFonts w:ascii="Arial" w:hAnsi="Arial" w:cs="Arial"/>
                <w:sz w:val="22"/>
                <w:szCs w:val="22"/>
              </w:rPr>
              <w:t>CD274 protein</w:t>
            </w:r>
            <w:r w:rsidRPr="00AF4C9E">
              <w:rPr>
                <w:rFonts w:ascii="Arial" w:hAnsi="Arial" w:cs="Arial"/>
                <w:sz w:val="22"/>
                <w:szCs w:val="22"/>
              </w:rPr>
              <w:t>'/exp</w:t>
            </w:r>
          </w:p>
        </w:tc>
      </w:tr>
      <w:tr w:rsidR="007074ED" w:rsidRPr="00AF4C9E" w14:paraId="45C0EE98" w14:textId="77777777" w:rsidTr="00172DCD">
        <w:tc>
          <w:tcPr>
            <w:tcW w:w="7825" w:type="dxa"/>
            <w:shd w:val="clear" w:color="auto" w:fill="auto"/>
          </w:tcPr>
          <w:p w14:paraId="08F54E13" w14:textId="5BDF9A7A" w:rsidR="007074ED" w:rsidRPr="00AF4C9E" w:rsidRDefault="004903B0"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CD274</w:t>
            </w:r>
          </w:p>
        </w:tc>
      </w:tr>
      <w:tr w:rsidR="007074ED" w:rsidRPr="00AF4C9E" w14:paraId="05559067" w14:textId="77777777" w:rsidTr="00172DCD">
        <w:tc>
          <w:tcPr>
            <w:tcW w:w="7825" w:type="dxa"/>
            <w:shd w:val="clear" w:color="auto" w:fill="auto"/>
          </w:tcPr>
          <w:p w14:paraId="158E0B56" w14:textId="7CED7F4D" w:rsidR="007074ED" w:rsidRPr="00AF4C9E" w:rsidRDefault="004903B0"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'PD-L1</w:t>
            </w:r>
            <w:r w:rsidR="007074ED" w:rsidRPr="00AF4C9E">
              <w:rPr>
                <w:rFonts w:ascii="Arial" w:hAnsi="Arial" w:cs="Arial"/>
                <w:sz w:val="22"/>
                <w:szCs w:val="22"/>
              </w:rPr>
              <w:t>'/exp</w:t>
            </w:r>
          </w:p>
        </w:tc>
      </w:tr>
      <w:tr w:rsidR="007074ED" w:rsidRPr="00AF4C9E" w14:paraId="6C50941A" w14:textId="77777777" w:rsidTr="00172DCD">
        <w:tc>
          <w:tcPr>
            <w:tcW w:w="7825" w:type="dxa"/>
            <w:shd w:val="clear" w:color="auto" w:fill="auto"/>
          </w:tcPr>
          <w:p w14:paraId="3E916EB3" w14:textId="3302F02B" w:rsidR="007074ED" w:rsidRPr="00AF4C9E" w:rsidRDefault="004903B0"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PDL1</w:t>
            </w:r>
            <w:r w:rsidR="007074ED" w:rsidRPr="00AF4C9E">
              <w:rPr>
                <w:rFonts w:ascii="Arial" w:hAnsi="Arial" w:cs="Arial"/>
                <w:sz w:val="22"/>
                <w:szCs w:val="22"/>
              </w:rPr>
              <w:t>:ab,ti</w:t>
            </w:r>
          </w:p>
        </w:tc>
      </w:tr>
      <w:tr w:rsidR="007074ED" w:rsidRPr="00AF4C9E" w14:paraId="19064905" w14:textId="77777777" w:rsidTr="00172DCD">
        <w:tc>
          <w:tcPr>
            <w:tcW w:w="7825" w:type="dxa"/>
            <w:shd w:val="clear" w:color="auto" w:fill="auto"/>
          </w:tcPr>
          <w:p w14:paraId="391C982A" w14:textId="54D2EB27" w:rsidR="007074ED" w:rsidRPr="00AF4C9E" w:rsidRDefault="007074ED"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w:t>
            </w:r>
            <w:r w:rsidR="00A3476A" w:rsidRPr="00AF4C9E">
              <w:rPr>
                <w:rFonts w:ascii="Arial" w:hAnsi="Arial" w:cs="Arial"/>
                <w:sz w:val="22"/>
                <w:szCs w:val="22"/>
              </w:rPr>
              <w:t>liver</w:t>
            </w:r>
            <w:r w:rsidRPr="00AF4C9E">
              <w:rPr>
                <w:rFonts w:ascii="Arial" w:hAnsi="Arial" w:cs="Arial"/>
                <w:sz w:val="22"/>
                <w:szCs w:val="22"/>
              </w:rPr>
              <w:t>'/exp</w:t>
            </w:r>
          </w:p>
        </w:tc>
      </w:tr>
      <w:tr w:rsidR="007074ED" w:rsidRPr="00AF4C9E" w14:paraId="2F7F3FCE" w14:textId="77777777" w:rsidTr="00172DCD">
        <w:tc>
          <w:tcPr>
            <w:tcW w:w="7825" w:type="dxa"/>
            <w:shd w:val="clear" w:color="auto" w:fill="auto"/>
          </w:tcPr>
          <w:p w14:paraId="212BFC6A" w14:textId="0694C57E" w:rsidR="007074ED" w:rsidRPr="00AF4C9E" w:rsidRDefault="007074ED"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w:t>
            </w:r>
            <w:r w:rsidR="00A3476A" w:rsidRPr="00AF4C9E">
              <w:rPr>
                <w:rFonts w:ascii="Arial" w:hAnsi="Arial" w:cs="Arial"/>
                <w:sz w:val="22"/>
                <w:szCs w:val="22"/>
              </w:rPr>
              <w:t>metastasis</w:t>
            </w:r>
            <w:r w:rsidRPr="00AF4C9E">
              <w:rPr>
                <w:rFonts w:ascii="Arial" w:hAnsi="Arial" w:cs="Arial"/>
                <w:sz w:val="22"/>
                <w:szCs w:val="22"/>
              </w:rPr>
              <w:t>'/exp</w:t>
            </w:r>
          </w:p>
        </w:tc>
      </w:tr>
      <w:tr w:rsidR="007074ED" w:rsidRPr="00AF4C9E" w14:paraId="3539E838" w14:textId="77777777" w:rsidTr="00172DCD">
        <w:tc>
          <w:tcPr>
            <w:tcW w:w="7825" w:type="dxa"/>
            <w:shd w:val="clear" w:color="auto" w:fill="auto"/>
          </w:tcPr>
          <w:p w14:paraId="3FBF9EBF" w14:textId="36F4E6A4" w:rsidR="007074ED" w:rsidRPr="00AF4C9E" w:rsidRDefault="004903B0"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w:t>
            </w:r>
            <w:r w:rsidR="00A3476A" w:rsidRPr="00AF4C9E">
              <w:rPr>
                <w:rFonts w:ascii="Arial" w:hAnsi="Arial" w:cs="Arial"/>
                <w:sz w:val="22"/>
                <w:szCs w:val="22"/>
              </w:rPr>
              <w:t>liver metastasis</w:t>
            </w:r>
            <w:r w:rsidR="007074ED" w:rsidRPr="00AF4C9E">
              <w:rPr>
                <w:rFonts w:ascii="Arial" w:hAnsi="Arial" w:cs="Arial"/>
                <w:sz w:val="22"/>
                <w:szCs w:val="22"/>
              </w:rPr>
              <w:t>'/exp</w:t>
            </w:r>
          </w:p>
        </w:tc>
      </w:tr>
      <w:tr w:rsidR="007074ED" w:rsidRPr="00AF4C9E" w14:paraId="46B50798" w14:textId="77777777" w:rsidTr="00172DCD">
        <w:tc>
          <w:tcPr>
            <w:tcW w:w="7825" w:type="dxa"/>
            <w:shd w:val="clear" w:color="auto" w:fill="auto"/>
          </w:tcPr>
          <w:p w14:paraId="0739927A" w14:textId="031D879A" w:rsidR="007074ED" w:rsidRPr="00AF4C9E" w:rsidRDefault="00A3476A"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Liver metastasis</w:t>
            </w:r>
            <w:r w:rsidR="007074ED" w:rsidRPr="00AF4C9E">
              <w:rPr>
                <w:rFonts w:ascii="Arial" w:hAnsi="Arial" w:cs="Arial"/>
                <w:sz w:val="22"/>
                <w:szCs w:val="22"/>
              </w:rPr>
              <w:t>:ab,ti</w:t>
            </w:r>
          </w:p>
        </w:tc>
      </w:tr>
      <w:tr w:rsidR="007074ED" w:rsidRPr="00AF4C9E" w14:paraId="250BA36C" w14:textId="77777777" w:rsidTr="00172DCD">
        <w:tc>
          <w:tcPr>
            <w:tcW w:w="7825" w:type="dxa"/>
            <w:shd w:val="clear" w:color="auto" w:fill="auto"/>
          </w:tcPr>
          <w:p w14:paraId="29F131AE" w14:textId="29A430D8" w:rsidR="007074ED" w:rsidRPr="00AF4C9E" w:rsidRDefault="00A3476A" w:rsidP="005825F1">
            <w:pPr>
              <w:numPr>
                <w:ilvl w:val="0"/>
                <w:numId w:val="2"/>
              </w:numPr>
              <w:tabs>
                <w:tab w:val="left" w:pos="317"/>
              </w:tabs>
              <w:snapToGrid w:val="0"/>
              <w:ind w:left="0" w:firstLine="0"/>
              <w:contextualSpacing/>
              <w:rPr>
                <w:rFonts w:ascii="Arial" w:hAnsi="Arial" w:cs="Arial"/>
                <w:sz w:val="22"/>
                <w:szCs w:val="22"/>
              </w:rPr>
            </w:pPr>
            <w:r w:rsidRPr="00AF4C9E">
              <w:rPr>
                <w:rFonts w:ascii="Arial" w:hAnsi="Arial" w:cs="Arial"/>
                <w:sz w:val="22"/>
                <w:szCs w:val="22"/>
              </w:rPr>
              <w:t>Hepatic metastasis</w:t>
            </w:r>
            <w:r w:rsidR="007074ED" w:rsidRPr="00AF4C9E">
              <w:rPr>
                <w:rFonts w:ascii="Arial" w:hAnsi="Arial" w:cs="Arial"/>
                <w:sz w:val="22"/>
                <w:szCs w:val="22"/>
              </w:rPr>
              <w:t xml:space="preserve">:ab,ti </w:t>
            </w:r>
          </w:p>
        </w:tc>
      </w:tr>
      <w:tr w:rsidR="007074ED" w:rsidRPr="00AF4C9E" w14:paraId="45245CE0" w14:textId="77777777" w:rsidTr="00172DCD">
        <w:tc>
          <w:tcPr>
            <w:tcW w:w="7825" w:type="dxa"/>
            <w:shd w:val="clear" w:color="auto" w:fill="auto"/>
          </w:tcPr>
          <w:p w14:paraId="4972689E" w14:textId="0EC29BE0" w:rsidR="007074ED" w:rsidRPr="00AF4C9E" w:rsidRDefault="007074ED" w:rsidP="005825F1">
            <w:pPr>
              <w:numPr>
                <w:ilvl w:val="0"/>
                <w:numId w:val="2"/>
              </w:numPr>
              <w:snapToGrid w:val="0"/>
              <w:ind w:left="0" w:firstLine="0"/>
              <w:contextualSpacing/>
              <w:rPr>
                <w:rFonts w:ascii="Arial" w:hAnsi="Arial" w:cs="Arial"/>
                <w:sz w:val="22"/>
                <w:szCs w:val="22"/>
              </w:rPr>
            </w:pPr>
            <w:r w:rsidRPr="00AF4C9E">
              <w:rPr>
                <w:rFonts w:ascii="Arial" w:hAnsi="Arial" w:cs="Arial"/>
                <w:sz w:val="22"/>
                <w:szCs w:val="22"/>
              </w:rPr>
              <w:t xml:space="preserve">(1 OR 2 OR 3 OR 4 OR 5 OR 6 OR 7 OR 8) AND (((9 OR 10) </w:t>
            </w:r>
            <w:r w:rsidR="005F0B28" w:rsidRPr="00AF4C9E">
              <w:rPr>
                <w:rFonts w:ascii="Arial" w:hAnsi="Arial" w:cs="Arial"/>
                <w:sz w:val="22"/>
                <w:szCs w:val="22"/>
              </w:rPr>
              <w:t>OR</w:t>
            </w:r>
            <w:r w:rsidRPr="00AF4C9E">
              <w:rPr>
                <w:rFonts w:ascii="Arial" w:hAnsi="Arial" w:cs="Arial"/>
                <w:sz w:val="22"/>
                <w:szCs w:val="22"/>
              </w:rPr>
              <w:t xml:space="preserve"> (11 OR 12)) OR 13 OR 14) AND (</w:t>
            </w:r>
            <w:r w:rsidR="005F0B28" w:rsidRPr="00AF4C9E">
              <w:rPr>
                <w:rFonts w:ascii="Arial" w:hAnsi="Arial" w:cs="Arial"/>
                <w:sz w:val="22"/>
                <w:szCs w:val="22"/>
              </w:rPr>
              <w:t xml:space="preserve">15 OR 16 </w:t>
            </w:r>
            <w:r w:rsidRPr="00AF4C9E">
              <w:rPr>
                <w:rFonts w:ascii="Arial" w:hAnsi="Arial" w:cs="Arial"/>
                <w:sz w:val="22"/>
                <w:szCs w:val="22"/>
              </w:rPr>
              <w:t>17 OR 18 OR 19</w:t>
            </w:r>
            <w:r w:rsidR="00596191" w:rsidRPr="00AF4C9E">
              <w:rPr>
                <w:rFonts w:ascii="Arial" w:hAnsi="Arial" w:cs="Arial"/>
                <w:sz w:val="22"/>
                <w:szCs w:val="22"/>
              </w:rPr>
              <w:t>)</w:t>
            </w:r>
            <w:r w:rsidRPr="00AF4C9E">
              <w:rPr>
                <w:rFonts w:ascii="Arial" w:hAnsi="Arial" w:cs="Arial"/>
                <w:sz w:val="22"/>
                <w:szCs w:val="22"/>
              </w:rPr>
              <w:t xml:space="preserve"> </w:t>
            </w:r>
          </w:p>
        </w:tc>
      </w:tr>
    </w:tbl>
    <w:p w14:paraId="1F0BD14C" w14:textId="77777777" w:rsidR="007074ED" w:rsidRPr="00AF4C9E" w:rsidRDefault="007074ED" w:rsidP="005825F1">
      <w:pPr>
        <w:autoSpaceDE w:val="0"/>
        <w:autoSpaceDN w:val="0"/>
        <w:adjustRightInd w:val="0"/>
        <w:rPr>
          <w:rFonts w:ascii="Arial" w:hAnsi="Arial" w:cs="Arial"/>
          <w:sz w:val="22"/>
          <w:szCs w:val="22"/>
        </w:rPr>
      </w:pPr>
    </w:p>
    <w:p w14:paraId="236914DF" w14:textId="32C85F86" w:rsidR="002D772F" w:rsidRPr="00AF4C9E" w:rsidRDefault="002D772F" w:rsidP="005825F1">
      <w:pPr>
        <w:rPr>
          <w:rFonts w:ascii="Arial" w:hAnsi="Arial" w:cs="Arial"/>
          <w:sz w:val="22"/>
          <w:szCs w:val="22"/>
        </w:rPr>
      </w:pPr>
      <w:r w:rsidRPr="00AF4C9E">
        <w:rPr>
          <w:rFonts w:ascii="Arial" w:hAnsi="Arial" w:cs="Arial"/>
          <w:sz w:val="22"/>
          <w:szCs w:val="22"/>
        </w:rPr>
        <w:br w:type="page"/>
      </w:r>
    </w:p>
    <w:p w14:paraId="5F040240" w14:textId="77777777" w:rsidR="001D50AB" w:rsidRPr="00AF4C9E" w:rsidRDefault="001D50AB" w:rsidP="005825F1">
      <w:pPr>
        <w:rPr>
          <w:rFonts w:ascii="Arial" w:hAnsi="Arial" w:cs="Arial"/>
          <w:sz w:val="22"/>
          <w:szCs w:val="22"/>
        </w:rPr>
        <w:sectPr w:rsidR="001D50AB" w:rsidRPr="00AF4C9E" w:rsidSect="00885E8C">
          <w:pgSz w:w="11900" w:h="16840"/>
          <w:pgMar w:top="1440" w:right="1800" w:bottom="1440" w:left="1800" w:header="851" w:footer="992" w:gutter="0"/>
          <w:cols w:space="425"/>
          <w:docGrid w:type="lines" w:linePitch="312"/>
        </w:sectPr>
      </w:pPr>
    </w:p>
    <w:tbl>
      <w:tblPr>
        <w:tblW w:w="5000" w:type="pct"/>
        <w:tblLook w:val="04A0" w:firstRow="1" w:lastRow="0" w:firstColumn="1" w:lastColumn="0" w:noHBand="0" w:noVBand="1"/>
      </w:tblPr>
      <w:tblGrid>
        <w:gridCol w:w="2244"/>
        <w:gridCol w:w="1158"/>
        <w:gridCol w:w="1017"/>
        <w:gridCol w:w="742"/>
        <w:gridCol w:w="222"/>
        <w:gridCol w:w="1158"/>
        <w:gridCol w:w="1017"/>
        <w:gridCol w:w="742"/>
      </w:tblGrid>
      <w:tr w:rsidR="00AF4C9E" w:rsidRPr="00AF4C9E" w14:paraId="6B831553" w14:textId="77777777" w:rsidTr="00AF4C9E">
        <w:trPr>
          <w:trHeight w:val="300"/>
        </w:trPr>
        <w:tc>
          <w:tcPr>
            <w:tcW w:w="5000" w:type="pct"/>
            <w:gridSpan w:val="8"/>
            <w:tcBorders>
              <w:top w:val="nil"/>
              <w:left w:val="nil"/>
              <w:bottom w:val="single" w:sz="4" w:space="0" w:color="auto"/>
              <w:right w:val="nil"/>
            </w:tcBorders>
            <w:shd w:val="clear" w:color="000000" w:fill="FFFFFF"/>
            <w:noWrap/>
            <w:vAlign w:val="center"/>
            <w:hideMark/>
          </w:tcPr>
          <w:p w14:paraId="7D095EB4" w14:textId="77777777" w:rsidR="00AF4C9E" w:rsidRPr="00AF4C9E" w:rsidRDefault="00AF4C9E" w:rsidP="00AF4C9E">
            <w:pPr>
              <w:rPr>
                <w:rFonts w:ascii="Arial" w:eastAsia="SimSun" w:hAnsi="Arial" w:cs="Arial"/>
                <w:b/>
                <w:bCs/>
                <w:color w:val="000000"/>
                <w:sz w:val="15"/>
                <w:szCs w:val="15"/>
              </w:rPr>
            </w:pPr>
            <w:r w:rsidRPr="00AF4C9E">
              <w:rPr>
                <w:rFonts w:ascii="Arial" w:eastAsia="SimSun" w:hAnsi="Arial" w:cs="Arial"/>
                <w:b/>
                <w:bCs/>
                <w:color w:val="000000"/>
                <w:sz w:val="15"/>
                <w:szCs w:val="15"/>
              </w:rPr>
              <w:lastRenderedPageBreak/>
              <w:t>Table S1. Multivariate analyses of clinical parameters on PFS and OS in real-world cohort.</w:t>
            </w:r>
          </w:p>
        </w:tc>
      </w:tr>
      <w:tr w:rsidR="00AF4C9E" w:rsidRPr="00AF4C9E" w14:paraId="1418057C" w14:textId="77777777" w:rsidTr="00AF4C9E">
        <w:trPr>
          <w:trHeight w:val="300"/>
        </w:trPr>
        <w:tc>
          <w:tcPr>
            <w:tcW w:w="1471" w:type="pct"/>
            <w:tcBorders>
              <w:top w:val="nil"/>
              <w:left w:val="nil"/>
              <w:bottom w:val="nil"/>
              <w:right w:val="nil"/>
            </w:tcBorders>
            <w:shd w:val="clear" w:color="000000" w:fill="FFFFFF"/>
            <w:noWrap/>
            <w:vAlign w:val="center"/>
            <w:hideMark/>
          </w:tcPr>
          <w:p w14:paraId="1ED60DC3" w14:textId="77777777" w:rsidR="00AF4C9E" w:rsidRPr="00AF4C9E" w:rsidRDefault="00AF4C9E" w:rsidP="00AF4C9E">
            <w:pPr>
              <w:rPr>
                <w:rFonts w:ascii="Arial" w:eastAsia="SimSun" w:hAnsi="Arial" w:cs="Arial"/>
                <w:b/>
                <w:bCs/>
                <w:color w:val="000000"/>
                <w:sz w:val="15"/>
                <w:szCs w:val="15"/>
              </w:rPr>
            </w:pPr>
            <w:r w:rsidRPr="00AF4C9E">
              <w:rPr>
                <w:rFonts w:ascii="Arial" w:eastAsia="SimSun" w:hAnsi="Arial" w:cs="Arial"/>
                <w:b/>
                <w:bCs/>
                <w:color w:val="000000"/>
                <w:sz w:val="15"/>
                <w:szCs w:val="15"/>
              </w:rPr>
              <w:t xml:space="preserve">　</w:t>
            </w:r>
          </w:p>
        </w:tc>
        <w:tc>
          <w:tcPr>
            <w:tcW w:w="1711" w:type="pct"/>
            <w:gridSpan w:val="3"/>
            <w:tcBorders>
              <w:top w:val="single" w:sz="4" w:space="0" w:color="auto"/>
              <w:left w:val="nil"/>
              <w:bottom w:val="single" w:sz="4" w:space="0" w:color="auto"/>
              <w:right w:val="nil"/>
            </w:tcBorders>
            <w:shd w:val="clear" w:color="000000" w:fill="FFFFFF"/>
            <w:noWrap/>
            <w:vAlign w:val="center"/>
            <w:hideMark/>
          </w:tcPr>
          <w:p w14:paraId="14DAA804" w14:textId="77777777" w:rsidR="00AF4C9E" w:rsidRPr="00AF4C9E" w:rsidRDefault="00AF4C9E" w:rsidP="00AF4C9E">
            <w:pPr>
              <w:jc w:val="center"/>
              <w:rPr>
                <w:rFonts w:ascii="Arial" w:eastAsia="SimSun" w:hAnsi="Arial" w:cs="Arial"/>
                <w:b/>
                <w:bCs/>
                <w:color w:val="000000"/>
                <w:sz w:val="15"/>
                <w:szCs w:val="15"/>
              </w:rPr>
            </w:pPr>
            <w:r w:rsidRPr="00AF4C9E">
              <w:rPr>
                <w:rFonts w:ascii="Arial" w:eastAsia="SimSun" w:hAnsi="Arial" w:cs="Arial"/>
                <w:b/>
                <w:bCs/>
                <w:color w:val="000000"/>
                <w:sz w:val="15"/>
                <w:szCs w:val="15"/>
              </w:rPr>
              <w:t>PFS</w:t>
            </w:r>
          </w:p>
        </w:tc>
        <w:tc>
          <w:tcPr>
            <w:tcW w:w="107" w:type="pct"/>
            <w:tcBorders>
              <w:top w:val="nil"/>
              <w:left w:val="nil"/>
              <w:bottom w:val="nil"/>
              <w:right w:val="nil"/>
            </w:tcBorders>
            <w:shd w:val="clear" w:color="000000" w:fill="FFFFFF"/>
            <w:noWrap/>
            <w:vAlign w:val="center"/>
            <w:hideMark/>
          </w:tcPr>
          <w:p w14:paraId="236C6172" w14:textId="77777777" w:rsidR="00AF4C9E" w:rsidRPr="00AF4C9E" w:rsidRDefault="00AF4C9E" w:rsidP="00AF4C9E">
            <w:pPr>
              <w:rPr>
                <w:rFonts w:ascii="Arial" w:eastAsia="SimSun" w:hAnsi="Arial" w:cs="Arial"/>
                <w:b/>
                <w:bCs/>
                <w:color w:val="000000"/>
                <w:sz w:val="15"/>
                <w:szCs w:val="15"/>
              </w:rPr>
            </w:pPr>
            <w:r w:rsidRPr="00AF4C9E">
              <w:rPr>
                <w:rFonts w:ascii="Arial" w:eastAsia="SimSun" w:hAnsi="Arial" w:cs="Arial"/>
                <w:b/>
                <w:bCs/>
                <w:color w:val="000000"/>
                <w:sz w:val="15"/>
                <w:szCs w:val="15"/>
              </w:rPr>
              <w:t xml:space="preserve">　</w:t>
            </w:r>
          </w:p>
        </w:tc>
        <w:tc>
          <w:tcPr>
            <w:tcW w:w="1711" w:type="pct"/>
            <w:gridSpan w:val="3"/>
            <w:tcBorders>
              <w:top w:val="single" w:sz="4" w:space="0" w:color="auto"/>
              <w:left w:val="nil"/>
              <w:bottom w:val="single" w:sz="4" w:space="0" w:color="auto"/>
              <w:right w:val="nil"/>
            </w:tcBorders>
            <w:shd w:val="clear" w:color="000000" w:fill="FFFFFF"/>
            <w:noWrap/>
            <w:vAlign w:val="center"/>
            <w:hideMark/>
          </w:tcPr>
          <w:p w14:paraId="0FE30A8A" w14:textId="77777777" w:rsidR="00AF4C9E" w:rsidRPr="00AF4C9E" w:rsidRDefault="00AF4C9E" w:rsidP="00AF4C9E">
            <w:pPr>
              <w:jc w:val="center"/>
              <w:rPr>
                <w:rFonts w:ascii="Arial" w:eastAsia="SimSun" w:hAnsi="Arial" w:cs="Arial"/>
                <w:b/>
                <w:bCs/>
                <w:color w:val="000000"/>
                <w:sz w:val="15"/>
                <w:szCs w:val="15"/>
              </w:rPr>
            </w:pPr>
            <w:r w:rsidRPr="00AF4C9E">
              <w:rPr>
                <w:rFonts w:ascii="Arial" w:eastAsia="SimSun" w:hAnsi="Arial" w:cs="Arial"/>
                <w:b/>
                <w:bCs/>
                <w:color w:val="000000"/>
                <w:sz w:val="15"/>
                <w:szCs w:val="15"/>
              </w:rPr>
              <w:t>OS</w:t>
            </w:r>
          </w:p>
        </w:tc>
      </w:tr>
      <w:tr w:rsidR="00AF4C9E" w:rsidRPr="00AF4C9E" w14:paraId="4F51300B" w14:textId="77777777" w:rsidTr="00AF4C9E">
        <w:trPr>
          <w:trHeight w:val="300"/>
        </w:trPr>
        <w:tc>
          <w:tcPr>
            <w:tcW w:w="1471" w:type="pct"/>
            <w:tcBorders>
              <w:top w:val="nil"/>
              <w:left w:val="nil"/>
              <w:bottom w:val="single" w:sz="4" w:space="0" w:color="auto"/>
              <w:right w:val="nil"/>
            </w:tcBorders>
            <w:shd w:val="clear" w:color="000000" w:fill="FFFFFF"/>
            <w:noWrap/>
            <w:vAlign w:val="center"/>
            <w:hideMark/>
          </w:tcPr>
          <w:p w14:paraId="7897261C" w14:textId="77777777" w:rsidR="00AF4C9E" w:rsidRPr="00AF4C9E" w:rsidRDefault="00AF4C9E" w:rsidP="00AF4C9E">
            <w:pPr>
              <w:rPr>
                <w:rFonts w:ascii="Arial" w:eastAsia="SimSun" w:hAnsi="Arial" w:cs="Arial"/>
                <w:b/>
                <w:bCs/>
                <w:color w:val="000000"/>
                <w:sz w:val="15"/>
                <w:szCs w:val="15"/>
              </w:rPr>
            </w:pPr>
            <w:r w:rsidRPr="00AF4C9E">
              <w:rPr>
                <w:rFonts w:ascii="Arial" w:eastAsia="SimSun" w:hAnsi="Arial" w:cs="Arial"/>
                <w:b/>
                <w:bCs/>
                <w:color w:val="000000"/>
                <w:sz w:val="15"/>
                <w:szCs w:val="15"/>
              </w:rPr>
              <w:t>Factor</w:t>
            </w:r>
          </w:p>
        </w:tc>
        <w:tc>
          <w:tcPr>
            <w:tcW w:w="729" w:type="pct"/>
            <w:tcBorders>
              <w:top w:val="nil"/>
              <w:left w:val="nil"/>
              <w:bottom w:val="single" w:sz="4" w:space="0" w:color="auto"/>
              <w:right w:val="nil"/>
            </w:tcBorders>
            <w:shd w:val="clear" w:color="000000" w:fill="FFFFFF"/>
            <w:noWrap/>
            <w:vAlign w:val="center"/>
            <w:hideMark/>
          </w:tcPr>
          <w:p w14:paraId="599DE5A0" w14:textId="77777777" w:rsidR="00AF4C9E" w:rsidRPr="00AF4C9E" w:rsidRDefault="00AF4C9E" w:rsidP="00AF4C9E">
            <w:pPr>
              <w:rPr>
                <w:rFonts w:ascii="Arial" w:eastAsia="SimSun" w:hAnsi="Arial" w:cs="Arial"/>
                <w:b/>
                <w:bCs/>
                <w:color w:val="000000"/>
                <w:sz w:val="15"/>
                <w:szCs w:val="15"/>
              </w:rPr>
            </w:pPr>
            <w:r w:rsidRPr="00AF4C9E">
              <w:rPr>
                <w:rFonts w:ascii="Arial" w:eastAsia="SimSun" w:hAnsi="Arial" w:cs="Arial"/>
                <w:b/>
                <w:bCs/>
                <w:color w:val="000000"/>
                <w:sz w:val="15"/>
                <w:szCs w:val="15"/>
              </w:rPr>
              <w:t>HR (log rank)</w:t>
            </w:r>
          </w:p>
        </w:tc>
        <w:tc>
          <w:tcPr>
            <w:tcW w:w="591" w:type="pct"/>
            <w:tcBorders>
              <w:top w:val="nil"/>
              <w:left w:val="nil"/>
              <w:bottom w:val="single" w:sz="4" w:space="0" w:color="auto"/>
              <w:right w:val="nil"/>
            </w:tcBorders>
            <w:shd w:val="clear" w:color="000000" w:fill="FFFFFF"/>
            <w:noWrap/>
            <w:vAlign w:val="center"/>
            <w:hideMark/>
          </w:tcPr>
          <w:p w14:paraId="197F02DE" w14:textId="77777777" w:rsidR="00AF4C9E" w:rsidRPr="00AF4C9E" w:rsidRDefault="00AF4C9E" w:rsidP="00AF4C9E">
            <w:pPr>
              <w:jc w:val="center"/>
              <w:rPr>
                <w:rFonts w:ascii="Arial" w:eastAsia="SimSun" w:hAnsi="Arial" w:cs="Arial"/>
                <w:b/>
                <w:bCs/>
                <w:color w:val="000000"/>
                <w:sz w:val="15"/>
                <w:szCs w:val="15"/>
              </w:rPr>
            </w:pPr>
            <w:r w:rsidRPr="00AF4C9E">
              <w:rPr>
                <w:rFonts w:ascii="Arial" w:eastAsia="SimSun" w:hAnsi="Arial" w:cs="Arial"/>
                <w:b/>
                <w:bCs/>
                <w:color w:val="000000"/>
                <w:sz w:val="15"/>
                <w:szCs w:val="15"/>
              </w:rPr>
              <w:t>95% CI</w:t>
            </w:r>
          </w:p>
        </w:tc>
        <w:tc>
          <w:tcPr>
            <w:tcW w:w="390" w:type="pct"/>
            <w:tcBorders>
              <w:top w:val="nil"/>
              <w:left w:val="nil"/>
              <w:bottom w:val="single" w:sz="4" w:space="0" w:color="auto"/>
              <w:right w:val="nil"/>
            </w:tcBorders>
            <w:shd w:val="clear" w:color="000000" w:fill="FFFFFF"/>
            <w:noWrap/>
            <w:vAlign w:val="center"/>
            <w:hideMark/>
          </w:tcPr>
          <w:p w14:paraId="389DCD06" w14:textId="77777777" w:rsidR="00AF4C9E" w:rsidRPr="00AF4C9E" w:rsidRDefault="00AF4C9E" w:rsidP="00AF4C9E">
            <w:pPr>
              <w:jc w:val="center"/>
              <w:rPr>
                <w:rFonts w:ascii="Arial" w:eastAsia="SimSun" w:hAnsi="Arial" w:cs="Arial"/>
                <w:b/>
                <w:bCs/>
                <w:color w:val="000000"/>
                <w:sz w:val="15"/>
                <w:szCs w:val="15"/>
              </w:rPr>
            </w:pPr>
            <w:r w:rsidRPr="00AF4C9E">
              <w:rPr>
                <w:rFonts w:ascii="Arial" w:eastAsia="SimSun" w:hAnsi="Arial" w:cs="Arial"/>
                <w:b/>
                <w:bCs/>
                <w:i/>
                <w:iCs/>
                <w:color w:val="000000"/>
                <w:sz w:val="15"/>
                <w:szCs w:val="15"/>
              </w:rPr>
              <w:t>P</w:t>
            </w:r>
            <w:r w:rsidRPr="00AF4C9E">
              <w:rPr>
                <w:rFonts w:ascii="Arial" w:eastAsia="SimSun" w:hAnsi="Arial" w:cs="Arial"/>
                <w:b/>
                <w:bCs/>
                <w:color w:val="000000"/>
                <w:sz w:val="15"/>
                <w:szCs w:val="15"/>
              </w:rPr>
              <w:t xml:space="preserve"> value</w:t>
            </w:r>
          </w:p>
        </w:tc>
        <w:tc>
          <w:tcPr>
            <w:tcW w:w="107" w:type="pct"/>
            <w:tcBorders>
              <w:top w:val="nil"/>
              <w:left w:val="nil"/>
              <w:bottom w:val="nil"/>
              <w:right w:val="nil"/>
            </w:tcBorders>
            <w:shd w:val="clear" w:color="000000" w:fill="FFFFFF"/>
            <w:noWrap/>
            <w:vAlign w:val="bottom"/>
            <w:hideMark/>
          </w:tcPr>
          <w:p w14:paraId="18CF38DF"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 xml:space="preserve">　</w:t>
            </w:r>
          </w:p>
        </w:tc>
        <w:tc>
          <w:tcPr>
            <w:tcW w:w="729" w:type="pct"/>
            <w:tcBorders>
              <w:top w:val="nil"/>
              <w:left w:val="nil"/>
              <w:bottom w:val="single" w:sz="4" w:space="0" w:color="auto"/>
              <w:right w:val="nil"/>
            </w:tcBorders>
            <w:shd w:val="clear" w:color="000000" w:fill="FFFFFF"/>
            <w:noWrap/>
            <w:vAlign w:val="center"/>
            <w:hideMark/>
          </w:tcPr>
          <w:p w14:paraId="60C586BF" w14:textId="77777777" w:rsidR="00AF4C9E" w:rsidRPr="00AF4C9E" w:rsidRDefault="00AF4C9E" w:rsidP="00AF4C9E">
            <w:pPr>
              <w:jc w:val="center"/>
              <w:rPr>
                <w:rFonts w:ascii="Arial" w:eastAsia="SimSun" w:hAnsi="Arial" w:cs="Arial"/>
                <w:b/>
                <w:bCs/>
                <w:color w:val="000000"/>
                <w:sz w:val="15"/>
                <w:szCs w:val="15"/>
              </w:rPr>
            </w:pPr>
            <w:r w:rsidRPr="00AF4C9E">
              <w:rPr>
                <w:rFonts w:ascii="Arial" w:eastAsia="SimSun" w:hAnsi="Arial" w:cs="Arial"/>
                <w:b/>
                <w:bCs/>
                <w:color w:val="000000"/>
                <w:sz w:val="15"/>
                <w:szCs w:val="15"/>
              </w:rPr>
              <w:t>HR (log rank)</w:t>
            </w:r>
          </w:p>
        </w:tc>
        <w:tc>
          <w:tcPr>
            <w:tcW w:w="591" w:type="pct"/>
            <w:tcBorders>
              <w:top w:val="nil"/>
              <w:left w:val="nil"/>
              <w:bottom w:val="single" w:sz="4" w:space="0" w:color="auto"/>
              <w:right w:val="nil"/>
            </w:tcBorders>
            <w:shd w:val="clear" w:color="000000" w:fill="FFFFFF"/>
            <w:noWrap/>
            <w:vAlign w:val="center"/>
            <w:hideMark/>
          </w:tcPr>
          <w:p w14:paraId="14CF2F05" w14:textId="77777777" w:rsidR="00AF4C9E" w:rsidRPr="00AF4C9E" w:rsidRDefault="00AF4C9E" w:rsidP="00AF4C9E">
            <w:pPr>
              <w:jc w:val="center"/>
              <w:rPr>
                <w:rFonts w:ascii="Arial" w:eastAsia="SimSun" w:hAnsi="Arial" w:cs="Arial"/>
                <w:b/>
                <w:bCs/>
                <w:color w:val="000000"/>
                <w:sz w:val="15"/>
                <w:szCs w:val="15"/>
              </w:rPr>
            </w:pPr>
            <w:r w:rsidRPr="00AF4C9E">
              <w:rPr>
                <w:rFonts w:ascii="Arial" w:eastAsia="SimSun" w:hAnsi="Arial" w:cs="Arial"/>
                <w:b/>
                <w:bCs/>
                <w:color w:val="000000"/>
                <w:sz w:val="15"/>
                <w:szCs w:val="15"/>
              </w:rPr>
              <w:t>95% CI</w:t>
            </w:r>
          </w:p>
        </w:tc>
        <w:tc>
          <w:tcPr>
            <w:tcW w:w="390" w:type="pct"/>
            <w:tcBorders>
              <w:top w:val="nil"/>
              <w:left w:val="nil"/>
              <w:bottom w:val="single" w:sz="4" w:space="0" w:color="auto"/>
              <w:right w:val="nil"/>
            </w:tcBorders>
            <w:shd w:val="clear" w:color="000000" w:fill="FFFFFF"/>
            <w:noWrap/>
            <w:vAlign w:val="center"/>
            <w:hideMark/>
          </w:tcPr>
          <w:p w14:paraId="6B4BA04A" w14:textId="77777777" w:rsidR="00AF4C9E" w:rsidRPr="00AF4C9E" w:rsidRDefault="00AF4C9E" w:rsidP="00AF4C9E">
            <w:pPr>
              <w:jc w:val="center"/>
              <w:rPr>
                <w:rFonts w:ascii="Arial" w:eastAsia="SimSun" w:hAnsi="Arial" w:cs="Arial"/>
                <w:b/>
                <w:bCs/>
                <w:color w:val="000000"/>
                <w:sz w:val="15"/>
                <w:szCs w:val="15"/>
              </w:rPr>
            </w:pPr>
            <w:r w:rsidRPr="00AF4C9E">
              <w:rPr>
                <w:rFonts w:ascii="Arial" w:eastAsia="SimSun" w:hAnsi="Arial" w:cs="Arial"/>
                <w:b/>
                <w:bCs/>
                <w:i/>
                <w:iCs/>
                <w:color w:val="000000"/>
                <w:sz w:val="15"/>
                <w:szCs w:val="15"/>
              </w:rPr>
              <w:t>P</w:t>
            </w:r>
            <w:r w:rsidRPr="00AF4C9E">
              <w:rPr>
                <w:rFonts w:ascii="Arial" w:eastAsia="SimSun" w:hAnsi="Arial" w:cs="Arial"/>
                <w:b/>
                <w:bCs/>
                <w:color w:val="000000"/>
                <w:sz w:val="15"/>
                <w:szCs w:val="15"/>
              </w:rPr>
              <w:t xml:space="preserve"> value</w:t>
            </w:r>
          </w:p>
        </w:tc>
      </w:tr>
      <w:tr w:rsidR="00AF4C9E" w:rsidRPr="00AF4C9E" w14:paraId="30D6CA44" w14:textId="77777777" w:rsidTr="00AF4C9E">
        <w:trPr>
          <w:trHeight w:val="300"/>
        </w:trPr>
        <w:tc>
          <w:tcPr>
            <w:tcW w:w="1471" w:type="pct"/>
            <w:tcBorders>
              <w:top w:val="nil"/>
              <w:left w:val="nil"/>
              <w:bottom w:val="nil"/>
              <w:right w:val="nil"/>
            </w:tcBorders>
            <w:shd w:val="clear" w:color="000000" w:fill="FFFFFF"/>
            <w:noWrap/>
            <w:vAlign w:val="center"/>
            <w:hideMark/>
          </w:tcPr>
          <w:p w14:paraId="78ACE4E4"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Sex (Female/male)</w:t>
            </w:r>
          </w:p>
        </w:tc>
        <w:tc>
          <w:tcPr>
            <w:tcW w:w="729" w:type="pct"/>
            <w:tcBorders>
              <w:top w:val="nil"/>
              <w:left w:val="nil"/>
              <w:bottom w:val="nil"/>
              <w:right w:val="nil"/>
            </w:tcBorders>
            <w:shd w:val="clear" w:color="000000" w:fill="FFFFFF"/>
            <w:noWrap/>
            <w:vAlign w:val="bottom"/>
            <w:hideMark/>
          </w:tcPr>
          <w:p w14:paraId="1BD6094C"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1.420</w:t>
            </w:r>
          </w:p>
        </w:tc>
        <w:tc>
          <w:tcPr>
            <w:tcW w:w="591" w:type="pct"/>
            <w:tcBorders>
              <w:top w:val="nil"/>
              <w:left w:val="nil"/>
              <w:bottom w:val="nil"/>
              <w:right w:val="nil"/>
            </w:tcBorders>
            <w:shd w:val="clear" w:color="000000" w:fill="FFFFFF"/>
            <w:noWrap/>
            <w:vAlign w:val="bottom"/>
            <w:hideMark/>
          </w:tcPr>
          <w:p w14:paraId="7D2F75DB"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0.832-2.425</w:t>
            </w:r>
          </w:p>
        </w:tc>
        <w:tc>
          <w:tcPr>
            <w:tcW w:w="390" w:type="pct"/>
            <w:tcBorders>
              <w:top w:val="nil"/>
              <w:left w:val="nil"/>
              <w:bottom w:val="nil"/>
              <w:right w:val="nil"/>
            </w:tcBorders>
            <w:shd w:val="clear" w:color="000000" w:fill="FFFFFF"/>
            <w:noWrap/>
            <w:vAlign w:val="bottom"/>
            <w:hideMark/>
          </w:tcPr>
          <w:p w14:paraId="20C95D2E"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0.199</w:t>
            </w:r>
          </w:p>
        </w:tc>
        <w:tc>
          <w:tcPr>
            <w:tcW w:w="107" w:type="pct"/>
            <w:tcBorders>
              <w:top w:val="nil"/>
              <w:left w:val="nil"/>
              <w:bottom w:val="nil"/>
              <w:right w:val="nil"/>
            </w:tcBorders>
            <w:shd w:val="clear" w:color="000000" w:fill="FFFFFF"/>
            <w:noWrap/>
            <w:vAlign w:val="bottom"/>
            <w:hideMark/>
          </w:tcPr>
          <w:p w14:paraId="680862AF"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 xml:space="preserve">　</w:t>
            </w:r>
          </w:p>
        </w:tc>
        <w:tc>
          <w:tcPr>
            <w:tcW w:w="729" w:type="pct"/>
            <w:tcBorders>
              <w:top w:val="nil"/>
              <w:left w:val="nil"/>
              <w:bottom w:val="nil"/>
              <w:right w:val="nil"/>
            </w:tcBorders>
            <w:shd w:val="clear" w:color="000000" w:fill="FFFFFF"/>
            <w:noWrap/>
            <w:vAlign w:val="bottom"/>
            <w:hideMark/>
          </w:tcPr>
          <w:p w14:paraId="24BEBD86"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1.420</w:t>
            </w:r>
          </w:p>
        </w:tc>
        <w:tc>
          <w:tcPr>
            <w:tcW w:w="591" w:type="pct"/>
            <w:tcBorders>
              <w:top w:val="nil"/>
              <w:left w:val="nil"/>
              <w:bottom w:val="nil"/>
              <w:right w:val="nil"/>
            </w:tcBorders>
            <w:shd w:val="clear" w:color="000000" w:fill="FFFFFF"/>
            <w:noWrap/>
            <w:vAlign w:val="bottom"/>
            <w:hideMark/>
          </w:tcPr>
          <w:p w14:paraId="44799160"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0.653-3.091</w:t>
            </w:r>
          </w:p>
        </w:tc>
        <w:tc>
          <w:tcPr>
            <w:tcW w:w="390" w:type="pct"/>
            <w:tcBorders>
              <w:top w:val="nil"/>
              <w:left w:val="nil"/>
              <w:bottom w:val="nil"/>
              <w:right w:val="nil"/>
            </w:tcBorders>
            <w:shd w:val="clear" w:color="000000" w:fill="FFFFFF"/>
            <w:noWrap/>
            <w:vAlign w:val="bottom"/>
            <w:hideMark/>
          </w:tcPr>
          <w:p w14:paraId="06CAE599"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0.377</w:t>
            </w:r>
          </w:p>
        </w:tc>
      </w:tr>
      <w:tr w:rsidR="00AF4C9E" w:rsidRPr="00AF4C9E" w14:paraId="7560D542" w14:textId="77777777" w:rsidTr="00AF4C9E">
        <w:trPr>
          <w:trHeight w:val="300"/>
        </w:trPr>
        <w:tc>
          <w:tcPr>
            <w:tcW w:w="1471" w:type="pct"/>
            <w:tcBorders>
              <w:top w:val="nil"/>
              <w:left w:val="nil"/>
              <w:bottom w:val="nil"/>
              <w:right w:val="nil"/>
            </w:tcBorders>
            <w:shd w:val="clear" w:color="000000" w:fill="FFFFFF"/>
            <w:noWrap/>
            <w:vAlign w:val="center"/>
            <w:hideMark/>
          </w:tcPr>
          <w:p w14:paraId="3B1A6892"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Age (≥ 65/&lt; 65)</w:t>
            </w:r>
          </w:p>
        </w:tc>
        <w:tc>
          <w:tcPr>
            <w:tcW w:w="729" w:type="pct"/>
            <w:tcBorders>
              <w:top w:val="nil"/>
              <w:left w:val="nil"/>
              <w:bottom w:val="nil"/>
              <w:right w:val="nil"/>
            </w:tcBorders>
            <w:shd w:val="clear" w:color="000000" w:fill="FFFFFF"/>
            <w:noWrap/>
            <w:vAlign w:val="bottom"/>
            <w:hideMark/>
          </w:tcPr>
          <w:p w14:paraId="7F2A8905"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1.166</w:t>
            </w:r>
          </w:p>
        </w:tc>
        <w:tc>
          <w:tcPr>
            <w:tcW w:w="591" w:type="pct"/>
            <w:tcBorders>
              <w:top w:val="nil"/>
              <w:left w:val="nil"/>
              <w:bottom w:val="nil"/>
              <w:right w:val="nil"/>
            </w:tcBorders>
            <w:shd w:val="clear" w:color="000000" w:fill="FFFFFF"/>
            <w:noWrap/>
            <w:vAlign w:val="bottom"/>
            <w:hideMark/>
          </w:tcPr>
          <w:p w14:paraId="1DD778CF"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0.810-1.677</w:t>
            </w:r>
          </w:p>
        </w:tc>
        <w:tc>
          <w:tcPr>
            <w:tcW w:w="390" w:type="pct"/>
            <w:tcBorders>
              <w:top w:val="nil"/>
              <w:left w:val="nil"/>
              <w:bottom w:val="nil"/>
              <w:right w:val="nil"/>
            </w:tcBorders>
            <w:shd w:val="clear" w:color="000000" w:fill="FFFFFF"/>
            <w:noWrap/>
            <w:vAlign w:val="bottom"/>
            <w:hideMark/>
          </w:tcPr>
          <w:p w14:paraId="6E425791"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0.409</w:t>
            </w:r>
          </w:p>
        </w:tc>
        <w:tc>
          <w:tcPr>
            <w:tcW w:w="107" w:type="pct"/>
            <w:tcBorders>
              <w:top w:val="nil"/>
              <w:left w:val="nil"/>
              <w:bottom w:val="nil"/>
              <w:right w:val="nil"/>
            </w:tcBorders>
            <w:shd w:val="clear" w:color="000000" w:fill="FFFFFF"/>
            <w:noWrap/>
            <w:vAlign w:val="bottom"/>
            <w:hideMark/>
          </w:tcPr>
          <w:p w14:paraId="022642A0"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 xml:space="preserve">　</w:t>
            </w:r>
          </w:p>
        </w:tc>
        <w:tc>
          <w:tcPr>
            <w:tcW w:w="729" w:type="pct"/>
            <w:tcBorders>
              <w:top w:val="nil"/>
              <w:left w:val="nil"/>
              <w:bottom w:val="nil"/>
              <w:right w:val="nil"/>
            </w:tcBorders>
            <w:shd w:val="clear" w:color="000000" w:fill="FFFFFF"/>
            <w:noWrap/>
            <w:vAlign w:val="bottom"/>
            <w:hideMark/>
          </w:tcPr>
          <w:p w14:paraId="10D6ABCD"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1.087</w:t>
            </w:r>
          </w:p>
        </w:tc>
        <w:tc>
          <w:tcPr>
            <w:tcW w:w="591" w:type="pct"/>
            <w:tcBorders>
              <w:top w:val="nil"/>
              <w:left w:val="nil"/>
              <w:bottom w:val="nil"/>
              <w:right w:val="nil"/>
            </w:tcBorders>
            <w:shd w:val="clear" w:color="000000" w:fill="FFFFFF"/>
            <w:noWrap/>
            <w:vAlign w:val="bottom"/>
            <w:hideMark/>
          </w:tcPr>
          <w:p w14:paraId="16898961"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0.660-1.792</w:t>
            </w:r>
          </w:p>
        </w:tc>
        <w:tc>
          <w:tcPr>
            <w:tcW w:w="390" w:type="pct"/>
            <w:tcBorders>
              <w:top w:val="nil"/>
              <w:left w:val="nil"/>
              <w:bottom w:val="nil"/>
              <w:right w:val="nil"/>
            </w:tcBorders>
            <w:shd w:val="clear" w:color="000000" w:fill="FFFFFF"/>
            <w:noWrap/>
            <w:vAlign w:val="bottom"/>
            <w:hideMark/>
          </w:tcPr>
          <w:p w14:paraId="356817AB"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0.742</w:t>
            </w:r>
          </w:p>
        </w:tc>
      </w:tr>
      <w:tr w:rsidR="00AF4C9E" w:rsidRPr="00AF4C9E" w14:paraId="4AEE44C8" w14:textId="77777777" w:rsidTr="00AF4C9E">
        <w:trPr>
          <w:trHeight w:val="300"/>
        </w:trPr>
        <w:tc>
          <w:tcPr>
            <w:tcW w:w="1471" w:type="pct"/>
            <w:tcBorders>
              <w:top w:val="nil"/>
              <w:left w:val="nil"/>
              <w:bottom w:val="nil"/>
              <w:right w:val="nil"/>
            </w:tcBorders>
            <w:shd w:val="clear" w:color="000000" w:fill="FFFFFF"/>
            <w:noWrap/>
            <w:vAlign w:val="center"/>
            <w:hideMark/>
          </w:tcPr>
          <w:p w14:paraId="1EE23286"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Smoking (Smoking/Never)</w:t>
            </w:r>
          </w:p>
        </w:tc>
        <w:tc>
          <w:tcPr>
            <w:tcW w:w="729" w:type="pct"/>
            <w:tcBorders>
              <w:top w:val="nil"/>
              <w:left w:val="nil"/>
              <w:bottom w:val="nil"/>
              <w:right w:val="nil"/>
            </w:tcBorders>
            <w:shd w:val="clear" w:color="000000" w:fill="FFFFFF"/>
            <w:noWrap/>
            <w:vAlign w:val="bottom"/>
            <w:hideMark/>
          </w:tcPr>
          <w:p w14:paraId="66B907BC"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0.665</w:t>
            </w:r>
          </w:p>
        </w:tc>
        <w:tc>
          <w:tcPr>
            <w:tcW w:w="591" w:type="pct"/>
            <w:tcBorders>
              <w:top w:val="nil"/>
              <w:left w:val="nil"/>
              <w:bottom w:val="nil"/>
              <w:right w:val="nil"/>
            </w:tcBorders>
            <w:shd w:val="clear" w:color="000000" w:fill="FFFFFF"/>
            <w:noWrap/>
            <w:vAlign w:val="bottom"/>
            <w:hideMark/>
          </w:tcPr>
          <w:p w14:paraId="636A94F5"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0.428-1.034</w:t>
            </w:r>
          </w:p>
        </w:tc>
        <w:tc>
          <w:tcPr>
            <w:tcW w:w="390" w:type="pct"/>
            <w:tcBorders>
              <w:top w:val="nil"/>
              <w:left w:val="nil"/>
              <w:bottom w:val="nil"/>
              <w:right w:val="nil"/>
            </w:tcBorders>
            <w:shd w:val="clear" w:color="000000" w:fill="FFFFFF"/>
            <w:noWrap/>
            <w:vAlign w:val="bottom"/>
            <w:hideMark/>
          </w:tcPr>
          <w:p w14:paraId="0AE156CB"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0.070</w:t>
            </w:r>
          </w:p>
        </w:tc>
        <w:tc>
          <w:tcPr>
            <w:tcW w:w="107" w:type="pct"/>
            <w:tcBorders>
              <w:top w:val="nil"/>
              <w:left w:val="nil"/>
              <w:bottom w:val="nil"/>
              <w:right w:val="nil"/>
            </w:tcBorders>
            <w:shd w:val="clear" w:color="000000" w:fill="FFFFFF"/>
            <w:noWrap/>
            <w:vAlign w:val="bottom"/>
            <w:hideMark/>
          </w:tcPr>
          <w:p w14:paraId="01CB70C8"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 xml:space="preserve">　</w:t>
            </w:r>
          </w:p>
        </w:tc>
        <w:tc>
          <w:tcPr>
            <w:tcW w:w="729" w:type="pct"/>
            <w:tcBorders>
              <w:top w:val="nil"/>
              <w:left w:val="nil"/>
              <w:bottom w:val="nil"/>
              <w:right w:val="nil"/>
            </w:tcBorders>
            <w:shd w:val="clear" w:color="000000" w:fill="FFFFFF"/>
            <w:noWrap/>
            <w:vAlign w:val="bottom"/>
            <w:hideMark/>
          </w:tcPr>
          <w:p w14:paraId="74B2639F"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1.043</w:t>
            </w:r>
          </w:p>
        </w:tc>
        <w:tc>
          <w:tcPr>
            <w:tcW w:w="591" w:type="pct"/>
            <w:tcBorders>
              <w:top w:val="nil"/>
              <w:left w:val="nil"/>
              <w:bottom w:val="nil"/>
              <w:right w:val="nil"/>
            </w:tcBorders>
            <w:shd w:val="clear" w:color="000000" w:fill="FFFFFF"/>
            <w:noWrap/>
            <w:vAlign w:val="bottom"/>
            <w:hideMark/>
          </w:tcPr>
          <w:p w14:paraId="7AA4C917"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0.530-2.053</w:t>
            </w:r>
          </w:p>
        </w:tc>
        <w:tc>
          <w:tcPr>
            <w:tcW w:w="390" w:type="pct"/>
            <w:tcBorders>
              <w:top w:val="nil"/>
              <w:left w:val="nil"/>
              <w:bottom w:val="nil"/>
              <w:right w:val="nil"/>
            </w:tcBorders>
            <w:shd w:val="clear" w:color="000000" w:fill="FFFFFF"/>
            <w:noWrap/>
            <w:vAlign w:val="bottom"/>
            <w:hideMark/>
          </w:tcPr>
          <w:p w14:paraId="1EC371B7"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0.903</w:t>
            </w:r>
          </w:p>
        </w:tc>
      </w:tr>
      <w:tr w:rsidR="00AF4C9E" w:rsidRPr="00AF4C9E" w14:paraId="6540FDC0" w14:textId="77777777" w:rsidTr="00AF4C9E">
        <w:trPr>
          <w:trHeight w:val="300"/>
        </w:trPr>
        <w:tc>
          <w:tcPr>
            <w:tcW w:w="1471" w:type="pct"/>
            <w:tcBorders>
              <w:top w:val="nil"/>
              <w:left w:val="nil"/>
              <w:bottom w:val="nil"/>
              <w:right w:val="nil"/>
            </w:tcBorders>
            <w:shd w:val="clear" w:color="000000" w:fill="FFFFFF"/>
            <w:noWrap/>
            <w:vAlign w:val="center"/>
            <w:hideMark/>
          </w:tcPr>
          <w:p w14:paraId="31D19B8D"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PS (1-2/0)</w:t>
            </w:r>
          </w:p>
        </w:tc>
        <w:tc>
          <w:tcPr>
            <w:tcW w:w="729" w:type="pct"/>
            <w:tcBorders>
              <w:top w:val="nil"/>
              <w:left w:val="nil"/>
              <w:bottom w:val="nil"/>
              <w:right w:val="nil"/>
            </w:tcBorders>
            <w:shd w:val="clear" w:color="000000" w:fill="FFFFFF"/>
            <w:noWrap/>
            <w:vAlign w:val="bottom"/>
            <w:hideMark/>
          </w:tcPr>
          <w:p w14:paraId="51494378"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1.457</w:t>
            </w:r>
          </w:p>
        </w:tc>
        <w:tc>
          <w:tcPr>
            <w:tcW w:w="591" w:type="pct"/>
            <w:tcBorders>
              <w:top w:val="nil"/>
              <w:left w:val="nil"/>
              <w:bottom w:val="nil"/>
              <w:right w:val="nil"/>
            </w:tcBorders>
            <w:shd w:val="clear" w:color="000000" w:fill="FFFFFF"/>
            <w:noWrap/>
            <w:vAlign w:val="bottom"/>
            <w:hideMark/>
          </w:tcPr>
          <w:p w14:paraId="02AE24DE"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0.710-2.992</w:t>
            </w:r>
          </w:p>
        </w:tc>
        <w:tc>
          <w:tcPr>
            <w:tcW w:w="390" w:type="pct"/>
            <w:tcBorders>
              <w:top w:val="nil"/>
              <w:left w:val="nil"/>
              <w:bottom w:val="nil"/>
              <w:right w:val="nil"/>
            </w:tcBorders>
            <w:shd w:val="clear" w:color="000000" w:fill="FFFFFF"/>
            <w:noWrap/>
            <w:vAlign w:val="bottom"/>
            <w:hideMark/>
          </w:tcPr>
          <w:p w14:paraId="6DC91D0E"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0.305</w:t>
            </w:r>
          </w:p>
        </w:tc>
        <w:tc>
          <w:tcPr>
            <w:tcW w:w="107" w:type="pct"/>
            <w:tcBorders>
              <w:top w:val="nil"/>
              <w:left w:val="nil"/>
              <w:bottom w:val="nil"/>
              <w:right w:val="nil"/>
            </w:tcBorders>
            <w:shd w:val="clear" w:color="000000" w:fill="FFFFFF"/>
            <w:noWrap/>
            <w:vAlign w:val="bottom"/>
            <w:hideMark/>
          </w:tcPr>
          <w:p w14:paraId="576C9C12"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 xml:space="preserve">　</w:t>
            </w:r>
          </w:p>
        </w:tc>
        <w:tc>
          <w:tcPr>
            <w:tcW w:w="729" w:type="pct"/>
            <w:tcBorders>
              <w:top w:val="nil"/>
              <w:left w:val="nil"/>
              <w:bottom w:val="nil"/>
              <w:right w:val="nil"/>
            </w:tcBorders>
            <w:shd w:val="clear" w:color="000000" w:fill="FFFFFF"/>
            <w:noWrap/>
            <w:vAlign w:val="bottom"/>
            <w:hideMark/>
          </w:tcPr>
          <w:p w14:paraId="7CAC445D"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1.036</w:t>
            </w:r>
          </w:p>
        </w:tc>
        <w:tc>
          <w:tcPr>
            <w:tcW w:w="591" w:type="pct"/>
            <w:tcBorders>
              <w:top w:val="nil"/>
              <w:left w:val="nil"/>
              <w:bottom w:val="nil"/>
              <w:right w:val="nil"/>
            </w:tcBorders>
            <w:shd w:val="clear" w:color="000000" w:fill="FFFFFF"/>
            <w:noWrap/>
            <w:vAlign w:val="bottom"/>
            <w:hideMark/>
          </w:tcPr>
          <w:p w14:paraId="77C79E37"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0.401-2.677</w:t>
            </w:r>
          </w:p>
        </w:tc>
        <w:tc>
          <w:tcPr>
            <w:tcW w:w="390" w:type="pct"/>
            <w:tcBorders>
              <w:top w:val="nil"/>
              <w:left w:val="nil"/>
              <w:bottom w:val="nil"/>
              <w:right w:val="nil"/>
            </w:tcBorders>
            <w:shd w:val="clear" w:color="000000" w:fill="FFFFFF"/>
            <w:noWrap/>
            <w:vAlign w:val="bottom"/>
            <w:hideMark/>
          </w:tcPr>
          <w:p w14:paraId="400D9CB1"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0.941</w:t>
            </w:r>
          </w:p>
        </w:tc>
      </w:tr>
      <w:tr w:rsidR="00AF4C9E" w:rsidRPr="00AF4C9E" w14:paraId="72A85145" w14:textId="77777777" w:rsidTr="00AF4C9E">
        <w:trPr>
          <w:trHeight w:val="300"/>
        </w:trPr>
        <w:tc>
          <w:tcPr>
            <w:tcW w:w="1471" w:type="pct"/>
            <w:tcBorders>
              <w:top w:val="nil"/>
              <w:left w:val="nil"/>
              <w:bottom w:val="nil"/>
              <w:right w:val="nil"/>
            </w:tcBorders>
            <w:shd w:val="clear" w:color="000000" w:fill="FFFFFF"/>
            <w:noWrap/>
            <w:vAlign w:val="center"/>
            <w:hideMark/>
          </w:tcPr>
          <w:p w14:paraId="0953AB96"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Stage (IIIB/IV)</w:t>
            </w:r>
          </w:p>
        </w:tc>
        <w:tc>
          <w:tcPr>
            <w:tcW w:w="729" w:type="pct"/>
            <w:tcBorders>
              <w:top w:val="nil"/>
              <w:left w:val="nil"/>
              <w:bottom w:val="nil"/>
              <w:right w:val="nil"/>
            </w:tcBorders>
            <w:shd w:val="clear" w:color="000000" w:fill="FFFFFF"/>
            <w:noWrap/>
            <w:vAlign w:val="bottom"/>
            <w:hideMark/>
          </w:tcPr>
          <w:p w14:paraId="69EA3E21"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0.661</w:t>
            </w:r>
          </w:p>
        </w:tc>
        <w:tc>
          <w:tcPr>
            <w:tcW w:w="591" w:type="pct"/>
            <w:tcBorders>
              <w:top w:val="nil"/>
              <w:left w:val="nil"/>
              <w:bottom w:val="nil"/>
              <w:right w:val="nil"/>
            </w:tcBorders>
            <w:shd w:val="clear" w:color="000000" w:fill="FFFFFF"/>
            <w:noWrap/>
            <w:vAlign w:val="bottom"/>
            <w:hideMark/>
          </w:tcPr>
          <w:p w14:paraId="5A5E715F"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0.336-1.299</w:t>
            </w:r>
          </w:p>
        </w:tc>
        <w:tc>
          <w:tcPr>
            <w:tcW w:w="390" w:type="pct"/>
            <w:tcBorders>
              <w:top w:val="nil"/>
              <w:left w:val="nil"/>
              <w:bottom w:val="nil"/>
              <w:right w:val="nil"/>
            </w:tcBorders>
            <w:shd w:val="clear" w:color="000000" w:fill="FFFFFF"/>
            <w:noWrap/>
            <w:vAlign w:val="bottom"/>
            <w:hideMark/>
          </w:tcPr>
          <w:p w14:paraId="74302D3D"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0.229</w:t>
            </w:r>
          </w:p>
        </w:tc>
        <w:tc>
          <w:tcPr>
            <w:tcW w:w="107" w:type="pct"/>
            <w:tcBorders>
              <w:top w:val="nil"/>
              <w:left w:val="nil"/>
              <w:bottom w:val="nil"/>
              <w:right w:val="nil"/>
            </w:tcBorders>
            <w:shd w:val="clear" w:color="000000" w:fill="FFFFFF"/>
            <w:noWrap/>
            <w:vAlign w:val="bottom"/>
            <w:hideMark/>
          </w:tcPr>
          <w:p w14:paraId="7744744B"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 xml:space="preserve">　</w:t>
            </w:r>
          </w:p>
        </w:tc>
        <w:tc>
          <w:tcPr>
            <w:tcW w:w="729" w:type="pct"/>
            <w:tcBorders>
              <w:top w:val="nil"/>
              <w:left w:val="nil"/>
              <w:bottom w:val="nil"/>
              <w:right w:val="nil"/>
            </w:tcBorders>
            <w:shd w:val="clear" w:color="000000" w:fill="FFFFFF"/>
            <w:noWrap/>
            <w:vAlign w:val="bottom"/>
            <w:hideMark/>
          </w:tcPr>
          <w:p w14:paraId="182E5A42"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0.685</w:t>
            </w:r>
          </w:p>
        </w:tc>
        <w:tc>
          <w:tcPr>
            <w:tcW w:w="591" w:type="pct"/>
            <w:tcBorders>
              <w:top w:val="nil"/>
              <w:left w:val="nil"/>
              <w:bottom w:val="nil"/>
              <w:right w:val="nil"/>
            </w:tcBorders>
            <w:shd w:val="clear" w:color="000000" w:fill="FFFFFF"/>
            <w:noWrap/>
            <w:vAlign w:val="bottom"/>
            <w:hideMark/>
          </w:tcPr>
          <w:p w14:paraId="454956F0"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0.307-1.527</w:t>
            </w:r>
          </w:p>
        </w:tc>
        <w:tc>
          <w:tcPr>
            <w:tcW w:w="390" w:type="pct"/>
            <w:tcBorders>
              <w:top w:val="nil"/>
              <w:left w:val="nil"/>
              <w:bottom w:val="nil"/>
              <w:right w:val="nil"/>
            </w:tcBorders>
            <w:shd w:val="clear" w:color="000000" w:fill="FFFFFF"/>
            <w:noWrap/>
            <w:vAlign w:val="bottom"/>
            <w:hideMark/>
          </w:tcPr>
          <w:p w14:paraId="29992189"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0.355</w:t>
            </w:r>
          </w:p>
        </w:tc>
      </w:tr>
      <w:tr w:rsidR="00AF4C9E" w:rsidRPr="00AF4C9E" w14:paraId="7560FA39" w14:textId="77777777" w:rsidTr="00AF4C9E">
        <w:trPr>
          <w:trHeight w:val="300"/>
        </w:trPr>
        <w:tc>
          <w:tcPr>
            <w:tcW w:w="1471" w:type="pct"/>
            <w:tcBorders>
              <w:top w:val="nil"/>
              <w:left w:val="nil"/>
              <w:bottom w:val="nil"/>
              <w:right w:val="nil"/>
            </w:tcBorders>
            <w:shd w:val="clear" w:color="000000" w:fill="FFFFFF"/>
            <w:noWrap/>
            <w:vAlign w:val="center"/>
            <w:hideMark/>
          </w:tcPr>
          <w:p w14:paraId="3E42AF5D"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Histology (Non-adeno/Adeno)</w:t>
            </w:r>
          </w:p>
        </w:tc>
        <w:tc>
          <w:tcPr>
            <w:tcW w:w="729" w:type="pct"/>
            <w:tcBorders>
              <w:top w:val="nil"/>
              <w:left w:val="nil"/>
              <w:bottom w:val="nil"/>
              <w:right w:val="nil"/>
            </w:tcBorders>
            <w:shd w:val="clear" w:color="000000" w:fill="FFFFFF"/>
            <w:noWrap/>
            <w:vAlign w:val="bottom"/>
            <w:hideMark/>
          </w:tcPr>
          <w:p w14:paraId="1F4E60D3"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1.269</w:t>
            </w:r>
          </w:p>
        </w:tc>
        <w:tc>
          <w:tcPr>
            <w:tcW w:w="591" w:type="pct"/>
            <w:tcBorders>
              <w:top w:val="nil"/>
              <w:left w:val="nil"/>
              <w:bottom w:val="nil"/>
              <w:right w:val="nil"/>
            </w:tcBorders>
            <w:shd w:val="clear" w:color="000000" w:fill="FFFFFF"/>
            <w:noWrap/>
            <w:vAlign w:val="bottom"/>
            <w:hideMark/>
          </w:tcPr>
          <w:p w14:paraId="1CE5308F"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0.883-1.823</w:t>
            </w:r>
          </w:p>
        </w:tc>
        <w:tc>
          <w:tcPr>
            <w:tcW w:w="390" w:type="pct"/>
            <w:tcBorders>
              <w:top w:val="nil"/>
              <w:left w:val="nil"/>
              <w:bottom w:val="nil"/>
              <w:right w:val="nil"/>
            </w:tcBorders>
            <w:shd w:val="clear" w:color="000000" w:fill="FFFFFF"/>
            <w:noWrap/>
            <w:vAlign w:val="bottom"/>
            <w:hideMark/>
          </w:tcPr>
          <w:p w14:paraId="1F849061"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0.197</w:t>
            </w:r>
          </w:p>
        </w:tc>
        <w:tc>
          <w:tcPr>
            <w:tcW w:w="107" w:type="pct"/>
            <w:tcBorders>
              <w:top w:val="nil"/>
              <w:left w:val="nil"/>
              <w:bottom w:val="nil"/>
              <w:right w:val="nil"/>
            </w:tcBorders>
            <w:shd w:val="clear" w:color="000000" w:fill="FFFFFF"/>
            <w:noWrap/>
            <w:vAlign w:val="bottom"/>
            <w:hideMark/>
          </w:tcPr>
          <w:p w14:paraId="3BA39615"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 xml:space="preserve">　</w:t>
            </w:r>
          </w:p>
        </w:tc>
        <w:tc>
          <w:tcPr>
            <w:tcW w:w="729" w:type="pct"/>
            <w:tcBorders>
              <w:top w:val="nil"/>
              <w:left w:val="nil"/>
              <w:bottom w:val="nil"/>
              <w:right w:val="nil"/>
            </w:tcBorders>
            <w:shd w:val="clear" w:color="000000" w:fill="FFFFFF"/>
            <w:noWrap/>
            <w:vAlign w:val="bottom"/>
            <w:hideMark/>
          </w:tcPr>
          <w:p w14:paraId="0DC169FD"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1.198</w:t>
            </w:r>
          </w:p>
        </w:tc>
        <w:tc>
          <w:tcPr>
            <w:tcW w:w="591" w:type="pct"/>
            <w:tcBorders>
              <w:top w:val="nil"/>
              <w:left w:val="nil"/>
              <w:bottom w:val="nil"/>
              <w:right w:val="nil"/>
            </w:tcBorders>
            <w:shd w:val="clear" w:color="000000" w:fill="FFFFFF"/>
            <w:noWrap/>
            <w:vAlign w:val="bottom"/>
            <w:hideMark/>
          </w:tcPr>
          <w:p w14:paraId="500BD7E4"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0.724-1.984</w:t>
            </w:r>
          </w:p>
        </w:tc>
        <w:tc>
          <w:tcPr>
            <w:tcW w:w="390" w:type="pct"/>
            <w:tcBorders>
              <w:top w:val="nil"/>
              <w:left w:val="nil"/>
              <w:bottom w:val="nil"/>
              <w:right w:val="nil"/>
            </w:tcBorders>
            <w:shd w:val="clear" w:color="000000" w:fill="FFFFFF"/>
            <w:noWrap/>
            <w:vAlign w:val="bottom"/>
            <w:hideMark/>
          </w:tcPr>
          <w:p w14:paraId="71661C84"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0.482</w:t>
            </w:r>
          </w:p>
        </w:tc>
      </w:tr>
      <w:tr w:rsidR="00AF4C9E" w:rsidRPr="00AF4C9E" w14:paraId="36C0ABA4" w14:textId="77777777" w:rsidTr="00AF4C9E">
        <w:trPr>
          <w:trHeight w:val="300"/>
        </w:trPr>
        <w:tc>
          <w:tcPr>
            <w:tcW w:w="1471" w:type="pct"/>
            <w:tcBorders>
              <w:top w:val="nil"/>
              <w:left w:val="nil"/>
              <w:bottom w:val="nil"/>
              <w:right w:val="nil"/>
            </w:tcBorders>
            <w:shd w:val="clear" w:color="000000" w:fill="FFFFFF"/>
            <w:noWrap/>
            <w:vAlign w:val="center"/>
            <w:hideMark/>
          </w:tcPr>
          <w:p w14:paraId="246C49BB"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Treatment line (&gt;1/1)</w:t>
            </w:r>
          </w:p>
        </w:tc>
        <w:tc>
          <w:tcPr>
            <w:tcW w:w="729" w:type="pct"/>
            <w:tcBorders>
              <w:top w:val="nil"/>
              <w:left w:val="nil"/>
              <w:bottom w:val="nil"/>
              <w:right w:val="nil"/>
            </w:tcBorders>
            <w:shd w:val="clear" w:color="000000" w:fill="FFFFFF"/>
            <w:noWrap/>
            <w:vAlign w:val="bottom"/>
            <w:hideMark/>
          </w:tcPr>
          <w:p w14:paraId="6955497F"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1.694</w:t>
            </w:r>
          </w:p>
        </w:tc>
        <w:tc>
          <w:tcPr>
            <w:tcW w:w="591" w:type="pct"/>
            <w:tcBorders>
              <w:top w:val="nil"/>
              <w:left w:val="nil"/>
              <w:bottom w:val="nil"/>
              <w:right w:val="nil"/>
            </w:tcBorders>
            <w:shd w:val="clear" w:color="000000" w:fill="FFFFFF"/>
            <w:noWrap/>
            <w:vAlign w:val="bottom"/>
            <w:hideMark/>
          </w:tcPr>
          <w:p w14:paraId="07F180AE"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1.086-2.643</w:t>
            </w:r>
          </w:p>
        </w:tc>
        <w:tc>
          <w:tcPr>
            <w:tcW w:w="390" w:type="pct"/>
            <w:tcBorders>
              <w:top w:val="nil"/>
              <w:left w:val="nil"/>
              <w:bottom w:val="nil"/>
              <w:right w:val="nil"/>
            </w:tcBorders>
            <w:shd w:val="clear" w:color="000000" w:fill="FFFFFF"/>
            <w:noWrap/>
            <w:vAlign w:val="bottom"/>
            <w:hideMark/>
          </w:tcPr>
          <w:p w14:paraId="56E24A22"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0.020</w:t>
            </w:r>
          </w:p>
        </w:tc>
        <w:tc>
          <w:tcPr>
            <w:tcW w:w="107" w:type="pct"/>
            <w:tcBorders>
              <w:top w:val="nil"/>
              <w:left w:val="nil"/>
              <w:bottom w:val="nil"/>
              <w:right w:val="nil"/>
            </w:tcBorders>
            <w:shd w:val="clear" w:color="000000" w:fill="FFFFFF"/>
            <w:noWrap/>
            <w:vAlign w:val="bottom"/>
            <w:hideMark/>
          </w:tcPr>
          <w:p w14:paraId="4242D9A9"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 xml:space="preserve">　</w:t>
            </w:r>
          </w:p>
        </w:tc>
        <w:tc>
          <w:tcPr>
            <w:tcW w:w="729" w:type="pct"/>
            <w:tcBorders>
              <w:top w:val="nil"/>
              <w:left w:val="nil"/>
              <w:bottom w:val="nil"/>
              <w:right w:val="nil"/>
            </w:tcBorders>
            <w:shd w:val="clear" w:color="000000" w:fill="FFFFFF"/>
            <w:noWrap/>
            <w:vAlign w:val="bottom"/>
            <w:hideMark/>
          </w:tcPr>
          <w:p w14:paraId="19A50409"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2.154</w:t>
            </w:r>
          </w:p>
        </w:tc>
        <w:tc>
          <w:tcPr>
            <w:tcW w:w="591" w:type="pct"/>
            <w:tcBorders>
              <w:top w:val="nil"/>
              <w:left w:val="nil"/>
              <w:bottom w:val="nil"/>
              <w:right w:val="nil"/>
            </w:tcBorders>
            <w:shd w:val="clear" w:color="000000" w:fill="FFFFFF"/>
            <w:noWrap/>
            <w:vAlign w:val="bottom"/>
            <w:hideMark/>
          </w:tcPr>
          <w:p w14:paraId="6A98865D"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1.091-4.253</w:t>
            </w:r>
          </w:p>
        </w:tc>
        <w:tc>
          <w:tcPr>
            <w:tcW w:w="390" w:type="pct"/>
            <w:tcBorders>
              <w:top w:val="nil"/>
              <w:left w:val="nil"/>
              <w:bottom w:val="nil"/>
              <w:right w:val="nil"/>
            </w:tcBorders>
            <w:shd w:val="clear" w:color="000000" w:fill="FFFFFF"/>
            <w:noWrap/>
            <w:vAlign w:val="bottom"/>
            <w:hideMark/>
          </w:tcPr>
          <w:p w14:paraId="7867875B"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0.027</w:t>
            </w:r>
          </w:p>
        </w:tc>
      </w:tr>
      <w:tr w:rsidR="00AF4C9E" w:rsidRPr="00AF4C9E" w14:paraId="04BF3EC1" w14:textId="77777777" w:rsidTr="00AF4C9E">
        <w:trPr>
          <w:trHeight w:val="300"/>
        </w:trPr>
        <w:tc>
          <w:tcPr>
            <w:tcW w:w="1471" w:type="pct"/>
            <w:tcBorders>
              <w:top w:val="nil"/>
              <w:left w:val="nil"/>
              <w:bottom w:val="single" w:sz="4" w:space="0" w:color="auto"/>
              <w:right w:val="nil"/>
            </w:tcBorders>
            <w:shd w:val="clear" w:color="000000" w:fill="FFFFFF"/>
            <w:noWrap/>
            <w:vAlign w:val="center"/>
            <w:hideMark/>
          </w:tcPr>
          <w:p w14:paraId="1885768A"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Liver metastasis (yes/&gt;no)</w:t>
            </w:r>
          </w:p>
        </w:tc>
        <w:tc>
          <w:tcPr>
            <w:tcW w:w="729" w:type="pct"/>
            <w:tcBorders>
              <w:top w:val="nil"/>
              <w:left w:val="nil"/>
              <w:bottom w:val="single" w:sz="4" w:space="0" w:color="auto"/>
              <w:right w:val="nil"/>
            </w:tcBorders>
            <w:shd w:val="clear" w:color="000000" w:fill="FFFFFF"/>
            <w:noWrap/>
            <w:vAlign w:val="bottom"/>
            <w:hideMark/>
          </w:tcPr>
          <w:p w14:paraId="53215C4E"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1.546</w:t>
            </w:r>
          </w:p>
        </w:tc>
        <w:tc>
          <w:tcPr>
            <w:tcW w:w="591" w:type="pct"/>
            <w:tcBorders>
              <w:top w:val="nil"/>
              <w:left w:val="nil"/>
              <w:bottom w:val="single" w:sz="4" w:space="0" w:color="auto"/>
              <w:right w:val="nil"/>
            </w:tcBorders>
            <w:shd w:val="clear" w:color="000000" w:fill="FFFFFF"/>
            <w:noWrap/>
            <w:vAlign w:val="bottom"/>
            <w:hideMark/>
          </w:tcPr>
          <w:p w14:paraId="41DF03D0"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1.037-2.551</w:t>
            </w:r>
          </w:p>
        </w:tc>
        <w:tc>
          <w:tcPr>
            <w:tcW w:w="390" w:type="pct"/>
            <w:tcBorders>
              <w:top w:val="nil"/>
              <w:left w:val="nil"/>
              <w:bottom w:val="single" w:sz="4" w:space="0" w:color="auto"/>
              <w:right w:val="nil"/>
            </w:tcBorders>
            <w:shd w:val="clear" w:color="000000" w:fill="FFFFFF"/>
            <w:noWrap/>
            <w:vAlign w:val="bottom"/>
            <w:hideMark/>
          </w:tcPr>
          <w:p w14:paraId="23A2167C"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0.039</w:t>
            </w:r>
          </w:p>
        </w:tc>
        <w:tc>
          <w:tcPr>
            <w:tcW w:w="107" w:type="pct"/>
            <w:tcBorders>
              <w:top w:val="nil"/>
              <w:left w:val="nil"/>
              <w:bottom w:val="single" w:sz="4" w:space="0" w:color="auto"/>
              <w:right w:val="nil"/>
            </w:tcBorders>
            <w:shd w:val="clear" w:color="000000" w:fill="FFFFFF"/>
            <w:noWrap/>
            <w:vAlign w:val="bottom"/>
            <w:hideMark/>
          </w:tcPr>
          <w:p w14:paraId="1C45574F"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 xml:space="preserve">　</w:t>
            </w:r>
          </w:p>
        </w:tc>
        <w:tc>
          <w:tcPr>
            <w:tcW w:w="729" w:type="pct"/>
            <w:tcBorders>
              <w:top w:val="nil"/>
              <w:left w:val="nil"/>
              <w:bottom w:val="single" w:sz="4" w:space="0" w:color="auto"/>
              <w:right w:val="nil"/>
            </w:tcBorders>
            <w:shd w:val="clear" w:color="000000" w:fill="FFFFFF"/>
            <w:noWrap/>
            <w:vAlign w:val="bottom"/>
            <w:hideMark/>
          </w:tcPr>
          <w:p w14:paraId="2B333762"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1.543</w:t>
            </w:r>
          </w:p>
        </w:tc>
        <w:tc>
          <w:tcPr>
            <w:tcW w:w="591" w:type="pct"/>
            <w:tcBorders>
              <w:top w:val="nil"/>
              <w:left w:val="nil"/>
              <w:bottom w:val="single" w:sz="4" w:space="0" w:color="auto"/>
              <w:right w:val="nil"/>
            </w:tcBorders>
            <w:shd w:val="clear" w:color="000000" w:fill="FFFFFF"/>
            <w:noWrap/>
            <w:vAlign w:val="bottom"/>
            <w:hideMark/>
          </w:tcPr>
          <w:p w14:paraId="66E08197"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1.011-2.936</w:t>
            </w:r>
          </w:p>
        </w:tc>
        <w:tc>
          <w:tcPr>
            <w:tcW w:w="390" w:type="pct"/>
            <w:tcBorders>
              <w:top w:val="nil"/>
              <w:left w:val="nil"/>
              <w:bottom w:val="single" w:sz="4" w:space="0" w:color="auto"/>
              <w:right w:val="nil"/>
            </w:tcBorders>
            <w:shd w:val="clear" w:color="000000" w:fill="FFFFFF"/>
            <w:noWrap/>
            <w:vAlign w:val="bottom"/>
            <w:hideMark/>
          </w:tcPr>
          <w:p w14:paraId="4DD879A3" w14:textId="77777777" w:rsidR="00AF4C9E" w:rsidRPr="00AF4C9E" w:rsidRDefault="00AF4C9E" w:rsidP="00AF4C9E">
            <w:pPr>
              <w:jc w:val="center"/>
              <w:rPr>
                <w:rFonts w:ascii="Arial" w:eastAsia="SimSun" w:hAnsi="Arial" w:cs="Arial"/>
                <w:color w:val="000000"/>
                <w:sz w:val="15"/>
                <w:szCs w:val="15"/>
              </w:rPr>
            </w:pPr>
            <w:r w:rsidRPr="00AF4C9E">
              <w:rPr>
                <w:rFonts w:ascii="Arial" w:eastAsia="SimSun" w:hAnsi="Arial" w:cs="Arial"/>
                <w:color w:val="000000"/>
                <w:sz w:val="15"/>
                <w:szCs w:val="15"/>
              </w:rPr>
              <w:t>0.046</w:t>
            </w:r>
          </w:p>
        </w:tc>
      </w:tr>
      <w:tr w:rsidR="00AF4C9E" w:rsidRPr="00AF4C9E" w14:paraId="55A9EDEE" w14:textId="77777777" w:rsidTr="00AF4C9E">
        <w:trPr>
          <w:trHeight w:val="360"/>
        </w:trPr>
        <w:tc>
          <w:tcPr>
            <w:tcW w:w="5000" w:type="pct"/>
            <w:gridSpan w:val="8"/>
            <w:tcBorders>
              <w:top w:val="single" w:sz="4" w:space="0" w:color="auto"/>
              <w:left w:val="nil"/>
              <w:bottom w:val="nil"/>
              <w:right w:val="nil"/>
            </w:tcBorders>
            <w:shd w:val="clear" w:color="auto" w:fill="auto"/>
            <w:vAlign w:val="center"/>
            <w:hideMark/>
          </w:tcPr>
          <w:p w14:paraId="37D7321A" w14:textId="77777777" w:rsidR="00AF4C9E" w:rsidRPr="00AF4C9E" w:rsidRDefault="00AF4C9E" w:rsidP="00AF4C9E">
            <w:pPr>
              <w:rPr>
                <w:rFonts w:ascii="Arial" w:eastAsia="SimSun" w:hAnsi="Arial" w:cs="Arial"/>
                <w:color w:val="000000"/>
                <w:sz w:val="15"/>
                <w:szCs w:val="15"/>
              </w:rPr>
            </w:pPr>
            <w:r w:rsidRPr="00AF4C9E">
              <w:rPr>
                <w:rFonts w:ascii="Arial" w:eastAsia="SimSun" w:hAnsi="Arial" w:cs="Arial"/>
                <w:color w:val="000000"/>
                <w:sz w:val="15"/>
                <w:szCs w:val="15"/>
              </w:rPr>
              <w:t>HR: hazard ratio; CI: confidence interval; Adeno: adenocarcinoma; PS: performance score.</w:t>
            </w:r>
          </w:p>
        </w:tc>
      </w:tr>
    </w:tbl>
    <w:p w14:paraId="5A3B8563" w14:textId="77777777" w:rsidR="00AF4C9E" w:rsidRPr="00AF4C9E" w:rsidRDefault="00AF4C9E" w:rsidP="00AF4C9E">
      <w:pPr>
        <w:autoSpaceDE w:val="0"/>
        <w:autoSpaceDN w:val="0"/>
        <w:adjustRightInd w:val="0"/>
        <w:snapToGrid w:val="0"/>
        <w:spacing w:after="240" w:line="180" w:lineRule="atLeast"/>
        <w:contextualSpacing/>
        <w:rPr>
          <w:rFonts w:ascii="Arial" w:hAnsi="Arial" w:cs="Arial"/>
          <w:b/>
          <w:sz w:val="22"/>
          <w:szCs w:val="22"/>
        </w:rPr>
      </w:pPr>
    </w:p>
    <w:p w14:paraId="49485052" w14:textId="59CA8FFF" w:rsidR="005C3925" w:rsidRPr="00AF4C9E" w:rsidRDefault="005C3925" w:rsidP="00E56B28">
      <w:pPr>
        <w:autoSpaceDE w:val="0"/>
        <w:autoSpaceDN w:val="0"/>
        <w:adjustRightInd w:val="0"/>
        <w:snapToGrid w:val="0"/>
        <w:spacing w:after="240" w:line="180" w:lineRule="atLeast"/>
        <w:contextualSpacing/>
        <w:jc w:val="center"/>
        <w:rPr>
          <w:rFonts w:ascii="Arial" w:hAnsi="Arial" w:cs="Arial"/>
          <w:b/>
          <w:sz w:val="22"/>
          <w:szCs w:val="22"/>
        </w:rPr>
      </w:pPr>
      <w:r w:rsidRPr="00AF4C9E">
        <w:rPr>
          <w:rFonts w:ascii="Arial" w:hAnsi="Arial" w:cs="Arial"/>
          <w:b/>
          <w:sz w:val="22"/>
          <w:szCs w:val="22"/>
        </w:rPr>
        <w:br w:type="page"/>
      </w:r>
    </w:p>
    <w:p w14:paraId="0522F758" w14:textId="77777777" w:rsidR="00AF4C9E" w:rsidRPr="00AF4C9E" w:rsidRDefault="00AF4C9E" w:rsidP="00AF4C9E">
      <w:pPr>
        <w:autoSpaceDE w:val="0"/>
        <w:autoSpaceDN w:val="0"/>
        <w:adjustRightInd w:val="0"/>
        <w:snapToGrid w:val="0"/>
        <w:spacing w:after="240" w:line="180" w:lineRule="atLeast"/>
        <w:contextualSpacing/>
        <w:rPr>
          <w:rFonts w:ascii="Arial" w:hAnsi="Arial" w:cs="Arial"/>
          <w:b/>
          <w:sz w:val="22"/>
          <w:szCs w:val="22"/>
        </w:rPr>
        <w:sectPr w:rsidR="00AF4C9E" w:rsidRPr="00AF4C9E" w:rsidSect="001D50AB">
          <w:pgSz w:w="11900" w:h="16840"/>
          <w:pgMar w:top="1440" w:right="1800" w:bottom="1440" w:left="1800" w:header="851" w:footer="992" w:gutter="0"/>
          <w:cols w:space="425"/>
          <w:docGrid w:type="lines" w:linePitch="326"/>
        </w:sectPr>
      </w:pPr>
    </w:p>
    <w:tbl>
      <w:tblPr>
        <w:tblW w:w="5000" w:type="pct"/>
        <w:tblLook w:val="04A0" w:firstRow="1" w:lastRow="0" w:firstColumn="1" w:lastColumn="0" w:noHBand="0" w:noVBand="1"/>
      </w:tblPr>
      <w:tblGrid>
        <w:gridCol w:w="1064"/>
        <w:gridCol w:w="461"/>
        <w:gridCol w:w="988"/>
        <w:gridCol w:w="541"/>
        <w:gridCol w:w="871"/>
        <w:gridCol w:w="1535"/>
        <w:gridCol w:w="1501"/>
        <w:gridCol w:w="1150"/>
        <w:gridCol w:w="3487"/>
        <w:gridCol w:w="1249"/>
        <w:gridCol w:w="1093"/>
      </w:tblGrid>
      <w:tr w:rsidR="00AF4C9E" w:rsidRPr="00AF4C9E" w14:paraId="3F57289F" w14:textId="77777777" w:rsidTr="00AF4C9E">
        <w:trPr>
          <w:trHeight w:val="320"/>
        </w:trPr>
        <w:tc>
          <w:tcPr>
            <w:tcW w:w="5000" w:type="pct"/>
            <w:gridSpan w:val="11"/>
            <w:tcBorders>
              <w:top w:val="nil"/>
              <w:left w:val="nil"/>
              <w:bottom w:val="single" w:sz="4" w:space="0" w:color="auto"/>
              <w:right w:val="nil"/>
            </w:tcBorders>
            <w:shd w:val="clear" w:color="000000" w:fill="FFFFFF"/>
            <w:noWrap/>
            <w:vAlign w:val="center"/>
            <w:hideMark/>
          </w:tcPr>
          <w:p w14:paraId="21366897" w14:textId="77777777" w:rsidR="00AF4C9E" w:rsidRPr="00AF4C9E" w:rsidRDefault="00AF4C9E" w:rsidP="00AF4C9E">
            <w:pPr>
              <w:rPr>
                <w:rFonts w:ascii="Arial" w:eastAsia="DengXian" w:hAnsi="Arial" w:cs="Arial"/>
                <w:b/>
                <w:bCs/>
                <w:color w:val="000000"/>
                <w:sz w:val="16"/>
                <w:szCs w:val="16"/>
              </w:rPr>
            </w:pPr>
            <w:r w:rsidRPr="00AF4C9E">
              <w:rPr>
                <w:rFonts w:ascii="Arial" w:eastAsia="DengXian" w:hAnsi="Arial" w:cs="Arial"/>
                <w:b/>
                <w:bCs/>
                <w:color w:val="000000"/>
                <w:sz w:val="16"/>
                <w:szCs w:val="16"/>
              </w:rPr>
              <w:lastRenderedPageBreak/>
              <w:t>Table S2. Baseline features of included studies.</w:t>
            </w:r>
          </w:p>
        </w:tc>
      </w:tr>
      <w:tr w:rsidR="00AF4C9E" w:rsidRPr="00AF4C9E" w14:paraId="1FDD32C3" w14:textId="77777777" w:rsidTr="00AF4C9E">
        <w:trPr>
          <w:trHeight w:val="320"/>
        </w:trPr>
        <w:tc>
          <w:tcPr>
            <w:tcW w:w="388" w:type="pct"/>
            <w:tcBorders>
              <w:top w:val="nil"/>
              <w:left w:val="nil"/>
              <w:bottom w:val="single" w:sz="4" w:space="0" w:color="auto"/>
              <w:right w:val="nil"/>
            </w:tcBorders>
            <w:shd w:val="clear" w:color="000000" w:fill="FFFFFF"/>
            <w:noWrap/>
            <w:vAlign w:val="center"/>
            <w:hideMark/>
          </w:tcPr>
          <w:p w14:paraId="0DBE2558" w14:textId="77777777" w:rsidR="00AF4C9E" w:rsidRPr="00AF4C9E" w:rsidRDefault="00AF4C9E" w:rsidP="00AF4C9E">
            <w:pPr>
              <w:rPr>
                <w:rFonts w:ascii="Arial" w:eastAsia="DengXian" w:hAnsi="Arial" w:cs="Arial"/>
                <w:b/>
                <w:bCs/>
                <w:color w:val="000000"/>
                <w:sz w:val="11"/>
                <w:szCs w:val="11"/>
              </w:rPr>
            </w:pPr>
            <w:r w:rsidRPr="00AF4C9E">
              <w:rPr>
                <w:rFonts w:ascii="Arial" w:eastAsia="DengXian" w:hAnsi="Arial" w:cs="Arial"/>
                <w:b/>
                <w:bCs/>
                <w:color w:val="000000"/>
                <w:sz w:val="11"/>
                <w:szCs w:val="11"/>
              </w:rPr>
              <w:t>Trial ID</w:t>
            </w:r>
          </w:p>
        </w:tc>
        <w:tc>
          <w:tcPr>
            <w:tcW w:w="134" w:type="pct"/>
            <w:tcBorders>
              <w:top w:val="nil"/>
              <w:left w:val="nil"/>
              <w:bottom w:val="single" w:sz="4" w:space="0" w:color="auto"/>
              <w:right w:val="nil"/>
            </w:tcBorders>
            <w:shd w:val="clear" w:color="000000" w:fill="FFFFFF"/>
            <w:noWrap/>
            <w:vAlign w:val="center"/>
            <w:hideMark/>
          </w:tcPr>
          <w:p w14:paraId="52AB62AE" w14:textId="77777777" w:rsidR="00AF4C9E" w:rsidRPr="00AF4C9E" w:rsidRDefault="00AF4C9E" w:rsidP="00AF4C9E">
            <w:pPr>
              <w:rPr>
                <w:rFonts w:ascii="Arial" w:eastAsia="DengXian" w:hAnsi="Arial" w:cs="Arial"/>
                <w:b/>
                <w:bCs/>
                <w:color w:val="000000"/>
                <w:sz w:val="11"/>
                <w:szCs w:val="11"/>
              </w:rPr>
            </w:pPr>
            <w:r w:rsidRPr="00AF4C9E">
              <w:rPr>
                <w:rFonts w:ascii="Arial" w:eastAsia="DengXian" w:hAnsi="Arial" w:cs="Arial"/>
                <w:b/>
                <w:bCs/>
                <w:color w:val="000000"/>
                <w:sz w:val="11"/>
                <w:szCs w:val="11"/>
              </w:rPr>
              <w:t>Year</w:t>
            </w:r>
          </w:p>
        </w:tc>
        <w:tc>
          <w:tcPr>
            <w:tcW w:w="361" w:type="pct"/>
            <w:tcBorders>
              <w:top w:val="nil"/>
              <w:left w:val="nil"/>
              <w:bottom w:val="single" w:sz="4" w:space="0" w:color="auto"/>
              <w:right w:val="nil"/>
            </w:tcBorders>
            <w:shd w:val="clear" w:color="000000" w:fill="FFFFFF"/>
            <w:noWrap/>
            <w:vAlign w:val="center"/>
            <w:hideMark/>
          </w:tcPr>
          <w:p w14:paraId="13F59284" w14:textId="77777777" w:rsidR="00AF4C9E" w:rsidRPr="00AF4C9E" w:rsidRDefault="00AF4C9E" w:rsidP="00AF4C9E">
            <w:pPr>
              <w:rPr>
                <w:rFonts w:ascii="Arial" w:eastAsia="DengXian" w:hAnsi="Arial" w:cs="Arial"/>
                <w:b/>
                <w:bCs/>
                <w:color w:val="000000"/>
                <w:sz w:val="11"/>
                <w:szCs w:val="11"/>
              </w:rPr>
            </w:pPr>
            <w:r w:rsidRPr="00AF4C9E">
              <w:rPr>
                <w:rFonts w:ascii="Arial" w:eastAsia="DengXian" w:hAnsi="Arial" w:cs="Arial"/>
                <w:b/>
                <w:bCs/>
                <w:color w:val="000000"/>
                <w:sz w:val="11"/>
                <w:szCs w:val="11"/>
              </w:rPr>
              <w:t>NCT Number</w:t>
            </w:r>
          </w:p>
        </w:tc>
        <w:tc>
          <w:tcPr>
            <w:tcW w:w="168" w:type="pct"/>
            <w:tcBorders>
              <w:top w:val="nil"/>
              <w:left w:val="nil"/>
              <w:bottom w:val="single" w:sz="4" w:space="0" w:color="auto"/>
              <w:right w:val="nil"/>
            </w:tcBorders>
            <w:shd w:val="clear" w:color="000000" w:fill="FFFFFF"/>
            <w:noWrap/>
            <w:vAlign w:val="center"/>
            <w:hideMark/>
          </w:tcPr>
          <w:p w14:paraId="4F029B9B" w14:textId="77777777" w:rsidR="00AF4C9E" w:rsidRPr="00AF4C9E" w:rsidRDefault="00AF4C9E" w:rsidP="00AF4C9E">
            <w:pPr>
              <w:rPr>
                <w:rFonts w:ascii="Arial" w:eastAsia="DengXian" w:hAnsi="Arial" w:cs="Arial"/>
                <w:b/>
                <w:bCs/>
                <w:color w:val="000000"/>
                <w:sz w:val="11"/>
                <w:szCs w:val="11"/>
              </w:rPr>
            </w:pPr>
            <w:r w:rsidRPr="00AF4C9E">
              <w:rPr>
                <w:rFonts w:ascii="Arial" w:eastAsia="DengXian" w:hAnsi="Arial" w:cs="Arial"/>
                <w:b/>
                <w:bCs/>
                <w:color w:val="000000"/>
                <w:sz w:val="11"/>
                <w:szCs w:val="11"/>
              </w:rPr>
              <w:t>Phase</w:t>
            </w:r>
          </w:p>
        </w:tc>
        <w:tc>
          <w:tcPr>
            <w:tcW w:w="319" w:type="pct"/>
            <w:tcBorders>
              <w:top w:val="nil"/>
              <w:left w:val="nil"/>
              <w:bottom w:val="single" w:sz="4" w:space="0" w:color="auto"/>
              <w:right w:val="nil"/>
            </w:tcBorders>
            <w:shd w:val="clear" w:color="000000" w:fill="FFFFFF"/>
            <w:noWrap/>
            <w:vAlign w:val="center"/>
            <w:hideMark/>
          </w:tcPr>
          <w:p w14:paraId="3218785A" w14:textId="77777777" w:rsidR="00AF4C9E" w:rsidRPr="00AF4C9E" w:rsidRDefault="00AF4C9E" w:rsidP="00AF4C9E">
            <w:pPr>
              <w:rPr>
                <w:rFonts w:ascii="Arial" w:eastAsia="DengXian" w:hAnsi="Arial" w:cs="Arial"/>
                <w:b/>
                <w:bCs/>
                <w:color w:val="000000"/>
                <w:sz w:val="11"/>
                <w:szCs w:val="11"/>
              </w:rPr>
            </w:pPr>
            <w:r w:rsidRPr="00AF4C9E">
              <w:rPr>
                <w:rFonts w:ascii="Arial" w:eastAsia="DengXian" w:hAnsi="Arial" w:cs="Arial"/>
                <w:b/>
                <w:bCs/>
                <w:color w:val="000000"/>
                <w:sz w:val="11"/>
                <w:szCs w:val="11"/>
              </w:rPr>
              <w:t>No. patients</w:t>
            </w:r>
          </w:p>
        </w:tc>
        <w:tc>
          <w:tcPr>
            <w:tcW w:w="557" w:type="pct"/>
            <w:tcBorders>
              <w:top w:val="nil"/>
              <w:left w:val="nil"/>
              <w:bottom w:val="single" w:sz="4" w:space="0" w:color="auto"/>
              <w:right w:val="nil"/>
            </w:tcBorders>
            <w:shd w:val="clear" w:color="000000" w:fill="FFFFFF"/>
            <w:noWrap/>
            <w:vAlign w:val="center"/>
            <w:hideMark/>
          </w:tcPr>
          <w:p w14:paraId="6FCDF5E0" w14:textId="77777777" w:rsidR="00AF4C9E" w:rsidRPr="00AF4C9E" w:rsidRDefault="00AF4C9E" w:rsidP="00AF4C9E">
            <w:pPr>
              <w:rPr>
                <w:rFonts w:ascii="Arial" w:eastAsia="DengXian" w:hAnsi="Arial" w:cs="Arial"/>
                <w:b/>
                <w:bCs/>
                <w:color w:val="000000"/>
                <w:sz w:val="11"/>
                <w:szCs w:val="11"/>
              </w:rPr>
            </w:pPr>
            <w:r w:rsidRPr="00AF4C9E">
              <w:rPr>
                <w:rFonts w:ascii="Arial" w:eastAsia="DengXian" w:hAnsi="Arial" w:cs="Arial"/>
                <w:b/>
                <w:bCs/>
                <w:color w:val="000000"/>
                <w:sz w:val="11"/>
                <w:szCs w:val="11"/>
              </w:rPr>
              <w:t>Histological type</w:t>
            </w:r>
          </w:p>
        </w:tc>
        <w:tc>
          <w:tcPr>
            <w:tcW w:w="545" w:type="pct"/>
            <w:tcBorders>
              <w:top w:val="nil"/>
              <w:left w:val="nil"/>
              <w:bottom w:val="single" w:sz="4" w:space="0" w:color="auto"/>
              <w:right w:val="nil"/>
            </w:tcBorders>
            <w:shd w:val="clear" w:color="000000" w:fill="FFFFFF"/>
            <w:noWrap/>
            <w:vAlign w:val="center"/>
            <w:hideMark/>
          </w:tcPr>
          <w:p w14:paraId="4B5E82C4" w14:textId="77777777" w:rsidR="00AF4C9E" w:rsidRPr="00AF4C9E" w:rsidRDefault="00AF4C9E" w:rsidP="00AF4C9E">
            <w:pPr>
              <w:rPr>
                <w:rFonts w:ascii="Arial" w:eastAsia="DengXian" w:hAnsi="Arial" w:cs="Arial"/>
                <w:b/>
                <w:bCs/>
                <w:color w:val="000000"/>
                <w:sz w:val="11"/>
                <w:szCs w:val="11"/>
              </w:rPr>
            </w:pPr>
            <w:r w:rsidRPr="00AF4C9E">
              <w:rPr>
                <w:rFonts w:ascii="Arial" w:eastAsia="DengXian" w:hAnsi="Arial" w:cs="Arial"/>
                <w:b/>
                <w:bCs/>
                <w:color w:val="000000"/>
                <w:sz w:val="11"/>
                <w:szCs w:val="11"/>
              </w:rPr>
              <w:t>PD-1/PD-L1 antibody</w:t>
            </w:r>
          </w:p>
        </w:tc>
        <w:tc>
          <w:tcPr>
            <w:tcW w:w="419" w:type="pct"/>
            <w:tcBorders>
              <w:top w:val="nil"/>
              <w:left w:val="nil"/>
              <w:bottom w:val="single" w:sz="4" w:space="0" w:color="auto"/>
              <w:right w:val="nil"/>
            </w:tcBorders>
            <w:shd w:val="clear" w:color="000000" w:fill="FFFFFF"/>
            <w:noWrap/>
            <w:vAlign w:val="center"/>
            <w:hideMark/>
          </w:tcPr>
          <w:p w14:paraId="03CB84BB" w14:textId="77777777" w:rsidR="00AF4C9E" w:rsidRPr="00AF4C9E" w:rsidRDefault="00AF4C9E" w:rsidP="00AF4C9E">
            <w:pPr>
              <w:rPr>
                <w:rFonts w:ascii="Arial" w:eastAsia="DengXian" w:hAnsi="Arial" w:cs="Arial"/>
                <w:b/>
                <w:bCs/>
                <w:color w:val="000000"/>
                <w:sz w:val="11"/>
                <w:szCs w:val="11"/>
              </w:rPr>
            </w:pPr>
            <w:r w:rsidRPr="00AF4C9E">
              <w:rPr>
                <w:rFonts w:ascii="Arial" w:eastAsia="DengXian" w:hAnsi="Arial" w:cs="Arial"/>
                <w:b/>
                <w:bCs/>
                <w:color w:val="000000"/>
                <w:sz w:val="11"/>
                <w:szCs w:val="11"/>
              </w:rPr>
              <w:t>Treatment line</w:t>
            </w:r>
          </w:p>
        </w:tc>
        <w:tc>
          <w:tcPr>
            <w:tcW w:w="1257" w:type="pct"/>
            <w:tcBorders>
              <w:top w:val="nil"/>
              <w:left w:val="nil"/>
              <w:bottom w:val="single" w:sz="4" w:space="0" w:color="auto"/>
              <w:right w:val="nil"/>
            </w:tcBorders>
            <w:shd w:val="clear" w:color="000000" w:fill="FFFFFF"/>
            <w:noWrap/>
            <w:vAlign w:val="center"/>
            <w:hideMark/>
          </w:tcPr>
          <w:p w14:paraId="31AFA026" w14:textId="77777777" w:rsidR="00AF4C9E" w:rsidRPr="00AF4C9E" w:rsidRDefault="00AF4C9E" w:rsidP="00AF4C9E">
            <w:pPr>
              <w:rPr>
                <w:rFonts w:ascii="Arial" w:eastAsia="DengXian" w:hAnsi="Arial" w:cs="Arial"/>
                <w:b/>
                <w:bCs/>
                <w:color w:val="000000"/>
                <w:sz w:val="11"/>
                <w:szCs w:val="11"/>
              </w:rPr>
            </w:pPr>
            <w:r w:rsidRPr="00AF4C9E">
              <w:rPr>
                <w:rFonts w:ascii="Arial" w:eastAsia="DengXian" w:hAnsi="Arial" w:cs="Arial"/>
                <w:b/>
                <w:bCs/>
                <w:color w:val="000000"/>
                <w:sz w:val="11"/>
                <w:szCs w:val="11"/>
              </w:rPr>
              <w:t>Treatment group</w:t>
            </w:r>
          </w:p>
        </w:tc>
        <w:tc>
          <w:tcPr>
            <w:tcW w:w="454" w:type="pct"/>
            <w:tcBorders>
              <w:top w:val="nil"/>
              <w:left w:val="nil"/>
              <w:bottom w:val="single" w:sz="4" w:space="0" w:color="auto"/>
              <w:right w:val="nil"/>
            </w:tcBorders>
            <w:shd w:val="clear" w:color="000000" w:fill="FFFFFF"/>
            <w:noWrap/>
            <w:vAlign w:val="center"/>
            <w:hideMark/>
          </w:tcPr>
          <w:p w14:paraId="399F9DB5" w14:textId="77777777" w:rsidR="00AF4C9E" w:rsidRPr="00AF4C9E" w:rsidRDefault="00AF4C9E" w:rsidP="00AF4C9E">
            <w:pPr>
              <w:rPr>
                <w:rFonts w:ascii="Arial" w:eastAsia="DengXian" w:hAnsi="Arial" w:cs="Arial"/>
                <w:b/>
                <w:bCs/>
                <w:color w:val="000000"/>
                <w:sz w:val="11"/>
                <w:szCs w:val="11"/>
              </w:rPr>
            </w:pPr>
            <w:r w:rsidRPr="00AF4C9E">
              <w:rPr>
                <w:rFonts w:ascii="Arial" w:eastAsia="DengXian" w:hAnsi="Arial" w:cs="Arial"/>
                <w:b/>
                <w:bCs/>
                <w:color w:val="000000"/>
                <w:sz w:val="11"/>
                <w:szCs w:val="11"/>
              </w:rPr>
              <w:t>Primary endpoint</w:t>
            </w:r>
          </w:p>
        </w:tc>
        <w:tc>
          <w:tcPr>
            <w:tcW w:w="397" w:type="pct"/>
            <w:tcBorders>
              <w:top w:val="nil"/>
              <w:left w:val="nil"/>
              <w:bottom w:val="single" w:sz="4" w:space="0" w:color="auto"/>
              <w:right w:val="nil"/>
            </w:tcBorders>
            <w:shd w:val="clear" w:color="000000" w:fill="FFFFFF"/>
            <w:noWrap/>
            <w:vAlign w:val="center"/>
            <w:hideMark/>
          </w:tcPr>
          <w:p w14:paraId="3B7202AB" w14:textId="77777777" w:rsidR="00AF4C9E" w:rsidRPr="00AF4C9E" w:rsidRDefault="00AF4C9E" w:rsidP="00AF4C9E">
            <w:pPr>
              <w:rPr>
                <w:rFonts w:ascii="Arial" w:eastAsia="DengXian" w:hAnsi="Arial" w:cs="Arial"/>
                <w:b/>
                <w:bCs/>
                <w:color w:val="000000"/>
                <w:sz w:val="11"/>
                <w:szCs w:val="11"/>
              </w:rPr>
            </w:pPr>
            <w:r w:rsidRPr="00AF4C9E">
              <w:rPr>
                <w:rFonts w:ascii="Arial" w:eastAsia="DengXian" w:hAnsi="Arial" w:cs="Arial"/>
                <w:b/>
                <w:bCs/>
                <w:color w:val="000000"/>
                <w:sz w:val="11"/>
                <w:szCs w:val="11"/>
              </w:rPr>
              <w:t>Follow-up (mo)</w:t>
            </w:r>
          </w:p>
        </w:tc>
      </w:tr>
      <w:tr w:rsidR="00AF4C9E" w:rsidRPr="00AF4C9E" w14:paraId="0295191D" w14:textId="77777777" w:rsidTr="00AF4C9E">
        <w:trPr>
          <w:trHeight w:val="320"/>
        </w:trPr>
        <w:tc>
          <w:tcPr>
            <w:tcW w:w="388" w:type="pct"/>
            <w:tcBorders>
              <w:top w:val="nil"/>
              <w:left w:val="nil"/>
              <w:bottom w:val="nil"/>
              <w:right w:val="nil"/>
            </w:tcBorders>
            <w:shd w:val="clear" w:color="000000" w:fill="FFFFFF"/>
            <w:noWrap/>
            <w:vAlign w:val="center"/>
            <w:hideMark/>
          </w:tcPr>
          <w:p w14:paraId="03F1381D"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CheckMate 017</w:t>
            </w:r>
          </w:p>
        </w:tc>
        <w:tc>
          <w:tcPr>
            <w:tcW w:w="134" w:type="pct"/>
            <w:tcBorders>
              <w:top w:val="nil"/>
              <w:left w:val="nil"/>
              <w:bottom w:val="nil"/>
              <w:right w:val="nil"/>
            </w:tcBorders>
            <w:shd w:val="clear" w:color="000000" w:fill="FFFFFF"/>
            <w:noWrap/>
            <w:vAlign w:val="center"/>
            <w:hideMark/>
          </w:tcPr>
          <w:p w14:paraId="580258C5"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2015</w:t>
            </w:r>
          </w:p>
        </w:tc>
        <w:tc>
          <w:tcPr>
            <w:tcW w:w="361" w:type="pct"/>
            <w:tcBorders>
              <w:top w:val="nil"/>
              <w:left w:val="nil"/>
              <w:bottom w:val="nil"/>
              <w:right w:val="nil"/>
            </w:tcBorders>
            <w:shd w:val="clear" w:color="000000" w:fill="FFFFFF"/>
            <w:noWrap/>
            <w:vAlign w:val="center"/>
            <w:hideMark/>
          </w:tcPr>
          <w:p w14:paraId="6D146C28"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NCT01642004</w:t>
            </w:r>
          </w:p>
        </w:tc>
        <w:tc>
          <w:tcPr>
            <w:tcW w:w="168" w:type="pct"/>
            <w:tcBorders>
              <w:top w:val="nil"/>
              <w:left w:val="nil"/>
              <w:bottom w:val="nil"/>
              <w:right w:val="nil"/>
            </w:tcBorders>
            <w:shd w:val="clear" w:color="000000" w:fill="FFFFFF"/>
            <w:noWrap/>
            <w:vAlign w:val="center"/>
            <w:hideMark/>
          </w:tcPr>
          <w:p w14:paraId="43863EA1"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III</w:t>
            </w:r>
          </w:p>
        </w:tc>
        <w:tc>
          <w:tcPr>
            <w:tcW w:w="319" w:type="pct"/>
            <w:tcBorders>
              <w:top w:val="nil"/>
              <w:left w:val="nil"/>
              <w:bottom w:val="nil"/>
              <w:right w:val="nil"/>
            </w:tcBorders>
            <w:shd w:val="clear" w:color="000000" w:fill="FFFFFF"/>
            <w:noWrap/>
            <w:vAlign w:val="center"/>
            <w:hideMark/>
          </w:tcPr>
          <w:p w14:paraId="101D8952"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272</w:t>
            </w:r>
          </w:p>
        </w:tc>
        <w:tc>
          <w:tcPr>
            <w:tcW w:w="557" w:type="pct"/>
            <w:tcBorders>
              <w:top w:val="nil"/>
              <w:left w:val="nil"/>
              <w:bottom w:val="nil"/>
              <w:right w:val="nil"/>
            </w:tcBorders>
            <w:shd w:val="clear" w:color="000000" w:fill="FFFFFF"/>
            <w:noWrap/>
            <w:vAlign w:val="center"/>
            <w:hideMark/>
          </w:tcPr>
          <w:p w14:paraId="5829D8AB"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Squamous NSCLC</w:t>
            </w:r>
          </w:p>
        </w:tc>
        <w:tc>
          <w:tcPr>
            <w:tcW w:w="545" w:type="pct"/>
            <w:tcBorders>
              <w:top w:val="nil"/>
              <w:left w:val="nil"/>
              <w:bottom w:val="nil"/>
              <w:right w:val="nil"/>
            </w:tcBorders>
            <w:shd w:val="clear" w:color="000000" w:fill="FFFFFF"/>
            <w:noWrap/>
            <w:vAlign w:val="center"/>
            <w:hideMark/>
          </w:tcPr>
          <w:p w14:paraId="5869F5B5"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Nivolumab</w:t>
            </w:r>
          </w:p>
        </w:tc>
        <w:tc>
          <w:tcPr>
            <w:tcW w:w="419" w:type="pct"/>
            <w:tcBorders>
              <w:top w:val="nil"/>
              <w:left w:val="nil"/>
              <w:bottom w:val="nil"/>
              <w:right w:val="nil"/>
            </w:tcBorders>
            <w:shd w:val="clear" w:color="000000" w:fill="FFFFFF"/>
            <w:noWrap/>
            <w:vAlign w:val="center"/>
            <w:hideMark/>
          </w:tcPr>
          <w:p w14:paraId="7403F592"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Second</w:t>
            </w:r>
          </w:p>
        </w:tc>
        <w:tc>
          <w:tcPr>
            <w:tcW w:w="1257" w:type="pct"/>
            <w:tcBorders>
              <w:top w:val="nil"/>
              <w:left w:val="nil"/>
              <w:bottom w:val="nil"/>
              <w:right w:val="nil"/>
            </w:tcBorders>
            <w:shd w:val="clear" w:color="000000" w:fill="FFFFFF"/>
            <w:noWrap/>
            <w:vAlign w:val="center"/>
            <w:hideMark/>
          </w:tcPr>
          <w:p w14:paraId="56F0D38E"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Monotherapy</w:t>
            </w:r>
          </w:p>
        </w:tc>
        <w:tc>
          <w:tcPr>
            <w:tcW w:w="454" w:type="pct"/>
            <w:tcBorders>
              <w:top w:val="nil"/>
              <w:left w:val="nil"/>
              <w:bottom w:val="nil"/>
              <w:right w:val="nil"/>
            </w:tcBorders>
            <w:shd w:val="clear" w:color="000000" w:fill="FFFFFF"/>
            <w:noWrap/>
            <w:vAlign w:val="center"/>
            <w:hideMark/>
          </w:tcPr>
          <w:p w14:paraId="6FF0CF9E"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OS</w:t>
            </w:r>
          </w:p>
        </w:tc>
        <w:tc>
          <w:tcPr>
            <w:tcW w:w="397" w:type="pct"/>
            <w:tcBorders>
              <w:top w:val="nil"/>
              <w:left w:val="nil"/>
              <w:bottom w:val="nil"/>
              <w:right w:val="nil"/>
            </w:tcBorders>
            <w:shd w:val="clear" w:color="000000" w:fill="FFFFFF"/>
            <w:noWrap/>
            <w:vAlign w:val="center"/>
            <w:hideMark/>
          </w:tcPr>
          <w:p w14:paraId="0459C2DC"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40.3</w:t>
            </w:r>
          </w:p>
        </w:tc>
      </w:tr>
      <w:tr w:rsidR="00AF4C9E" w:rsidRPr="00AF4C9E" w14:paraId="68EE7120" w14:textId="77777777" w:rsidTr="00AF4C9E">
        <w:trPr>
          <w:trHeight w:val="320"/>
        </w:trPr>
        <w:tc>
          <w:tcPr>
            <w:tcW w:w="388" w:type="pct"/>
            <w:tcBorders>
              <w:top w:val="nil"/>
              <w:left w:val="nil"/>
              <w:bottom w:val="nil"/>
              <w:right w:val="nil"/>
            </w:tcBorders>
            <w:shd w:val="clear" w:color="000000" w:fill="FFFFFF"/>
            <w:noWrap/>
            <w:vAlign w:val="center"/>
            <w:hideMark/>
          </w:tcPr>
          <w:p w14:paraId="2CF120F0"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CheckMate 057</w:t>
            </w:r>
          </w:p>
        </w:tc>
        <w:tc>
          <w:tcPr>
            <w:tcW w:w="134" w:type="pct"/>
            <w:tcBorders>
              <w:top w:val="nil"/>
              <w:left w:val="nil"/>
              <w:bottom w:val="nil"/>
              <w:right w:val="nil"/>
            </w:tcBorders>
            <w:shd w:val="clear" w:color="000000" w:fill="FFFFFF"/>
            <w:noWrap/>
            <w:vAlign w:val="center"/>
            <w:hideMark/>
          </w:tcPr>
          <w:p w14:paraId="398961E5"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2015</w:t>
            </w:r>
          </w:p>
        </w:tc>
        <w:tc>
          <w:tcPr>
            <w:tcW w:w="361" w:type="pct"/>
            <w:tcBorders>
              <w:top w:val="nil"/>
              <w:left w:val="nil"/>
              <w:bottom w:val="nil"/>
              <w:right w:val="nil"/>
            </w:tcBorders>
            <w:shd w:val="clear" w:color="000000" w:fill="FFFFFF"/>
            <w:noWrap/>
            <w:vAlign w:val="center"/>
            <w:hideMark/>
          </w:tcPr>
          <w:p w14:paraId="667D5C57"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NCT01673867</w:t>
            </w:r>
          </w:p>
        </w:tc>
        <w:tc>
          <w:tcPr>
            <w:tcW w:w="168" w:type="pct"/>
            <w:tcBorders>
              <w:top w:val="nil"/>
              <w:left w:val="nil"/>
              <w:bottom w:val="nil"/>
              <w:right w:val="nil"/>
            </w:tcBorders>
            <w:shd w:val="clear" w:color="000000" w:fill="FFFFFF"/>
            <w:noWrap/>
            <w:vAlign w:val="center"/>
            <w:hideMark/>
          </w:tcPr>
          <w:p w14:paraId="724C60C0"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III</w:t>
            </w:r>
          </w:p>
        </w:tc>
        <w:tc>
          <w:tcPr>
            <w:tcW w:w="319" w:type="pct"/>
            <w:tcBorders>
              <w:top w:val="nil"/>
              <w:left w:val="nil"/>
              <w:bottom w:val="nil"/>
              <w:right w:val="nil"/>
            </w:tcBorders>
            <w:shd w:val="clear" w:color="000000" w:fill="FFFFFF"/>
            <w:noWrap/>
            <w:vAlign w:val="center"/>
            <w:hideMark/>
          </w:tcPr>
          <w:p w14:paraId="77289C35"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582</w:t>
            </w:r>
          </w:p>
        </w:tc>
        <w:tc>
          <w:tcPr>
            <w:tcW w:w="557" w:type="pct"/>
            <w:tcBorders>
              <w:top w:val="nil"/>
              <w:left w:val="nil"/>
              <w:bottom w:val="nil"/>
              <w:right w:val="nil"/>
            </w:tcBorders>
            <w:shd w:val="clear" w:color="000000" w:fill="FFFFFF"/>
            <w:noWrap/>
            <w:vAlign w:val="center"/>
            <w:hideMark/>
          </w:tcPr>
          <w:p w14:paraId="6BFDA433"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Nonsquamous NSCLC</w:t>
            </w:r>
          </w:p>
        </w:tc>
        <w:tc>
          <w:tcPr>
            <w:tcW w:w="545" w:type="pct"/>
            <w:tcBorders>
              <w:top w:val="nil"/>
              <w:left w:val="nil"/>
              <w:bottom w:val="nil"/>
              <w:right w:val="nil"/>
            </w:tcBorders>
            <w:shd w:val="clear" w:color="000000" w:fill="FFFFFF"/>
            <w:noWrap/>
            <w:vAlign w:val="center"/>
            <w:hideMark/>
          </w:tcPr>
          <w:p w14:paraId="7C91179C"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Nivolumab</w:t>
            </w:r>
          </w:p>
        </w:tc>
        <w:tc>
          <w:tcPr>
            <w:tcW w:w="419" w:type="pct"/>
            <w:tcBorders>
              <w:top w:val="nil"/>
              <w:left w:val="nil"/>
              <w:bottom w:val="nil"/>
              <w:right w:val="nil"/>
            </w:tcBorders>
            <w:shd w:val="clear" w:color="000000" w:fill="FFFFFF"/>
            <w:noWrap/>
            <w:vAlign w:val="center"/>
            <w:hideMark/>
          </w:tcPr>
          <w:p w14:paraId="6543A8D7"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Second or above</w:t>
            </w:r>
          </w:p>
        </w:tc>
        <w:tc>
          <w:tcPr>
            <w:tcW w:w="1257" w:type="pct"/>
            <w:tcBorders>
              <w:top w:val="nil"/>
              <w:left w:val="nil"/>
              <w:bottom w:val="nil"/>
              <w:right w:val="nil"/>
            </w:tcBorders>
            <w:shd w:val="clear" w:color="000000" w:fill="FFFFFF"/>
            <w:noWrap/>
            <w:vAlign w:val="center"/>
            <w:hideMark/>
          </w:tcPr>
          <w:p w14:paraId="6FB132F8"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Monotherapy</w:t>
            </w:r>
          </w:p>
        </w:tc>
        <w:tc>
          <w:tcPr>
            <w:tcW w:w="454" w:type="pct"/>
            <w:tcBorders>
              <w:top w:val="nil"/>
              <w:left w:val="nil"/>
              <w:bottom w:val="nil"/>
              <w:right w:val="nil"/>
            </w:tcBorders>
            <w:shd w:val="clear" w:color="000000" w:fill="FFFFFF"/>
            <w:noWrap/>
            <w:vAlign w:val="center"/>
            <w:hideMark/>
          </w:tcPr>
          <w:p w14:paraId="7BFD3F63"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OS</w:t>
            </w:r>
          </w:p>
        </w:tc>
        <w:tc>
          <w:tcPr>
            <w:tcW w:w="397" w:type="pct"/>
            <w:tcBorders>
              <w:top w:val="nil"/>
              <w:left w:val="nil"/>
              <w:bottom w:val="nil"/>
              <w:right w:val="nil"/>
            </w:tcBorders>
            <w:shd w:val="clear" w:color="000000" w:fill="FFFFFF"/>
            <w:noWrap/>
            <w:vAlign w:val="center"/>
            <w:hideMark/>
          </w:tcPr>
          <w:p w14:paraId="3D75BD5D"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40.3</w:t>
            </w:r>
          </w:p>
        </w:tc>
      </w:tr>
      <w:tr w:rsidR="00AF4C9E" w:rsidRPr="00AF4C9E" w14:paraId="2A84886A" w14:textId="77777777" w:rsidTr="00AF4C9E">
        <w:trPr>
          <w:trHeight w:val="320"/>
        </w:trPr>
        <w:tc>
          <w:tcPr>
            <w:tcW w:w="388" w:type="pct"/>
            <w:tcBorders>
              <w:top w:val="nil"/>
              <w:left w:val="nil"/>
              <w:bottom w:val="nil"/>
              <w:right w:val="nil"/>
            </w:tcBorders>
            <w:shd w:val="clear" w:color="000000" w:fill="FFFFFF"/>
            <w:noWrap/>
            <w:vAlign w:val="center"/>
            <w:hideMark/>
          </w:tcPr>
          <w:p w14:paraId="1E76B863"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IMpower130</w:t>
            </w:r>
          </w:p>
        </w:tc>
        <w:tc>
          <w:tcPr>
            <w:tcW w:w="134" w:type="pct"/>
            <w:tcBorders>
              <w:top w:val="nil"/>
              <w:left w:val="nil"/>
              <w:bottom w:val="nil"/>
              <w:right w:val="nil"/>
            </w:tcBorders>
            <w:shd w:val="clear" w:color="000000" w:fill="FFFFFF"/>
            <w:noWrap/>
            <w:vAlign w:val="center"/>
            <w:hideMark/>
          </w:tcPr>
          <w:p w14:paraId="4B8C66AF"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2019</w:t>
            </w:r>
          </w:p>
        </w:tc>
        <w:tc>
          <w:tcPr>
            <w:tcW w:w="361" w:type="pct"/>
            <w:tcBorders>
              <w:top w:val="nil"/>
              <w:left w:val="nil"/>
              <w:bottom w:val="nil"/>
              <w:right w:val="nil"/>
            </w:tcBorders>
            <w:shd w:val="clear" w:color="000000" w:fill="FFFFFF"/>
            <w:noWrap/>
            <w:vAlign w:val="center"/>
            <w:hideMark/>
          </w:tcPr>
          <w:p w14:paraId="644C34AB"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NCT02367781</w:t>
            </w:r>
          </w:p>
        </w:tc>
        <w:tc>
          <w:tcPr>
            <w:tcW w:w="168" w:type="pct"/>
            <w:tcBorders>
              <w:top w:val="nil"/>
              <w:left w:val="nil"/>
              <w:bottom w:val="nil"/>
              <w:right w:val="nil"/>
            </w:tcBorders>
            <w:shd w:val="clear" w:color="000000" w:fill="FFFFFF"/>
            <w:noWrap/>
            <w:vAlign w:val="center"/>
            <w:hideMark/>
          </w:tcPr>
          <w:p w14:paraId="5A8D6FF1"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III</w:t>
            </w:r>
          </w:p>
        </w:tc>
        <w:tc>
          <w:tcPr>
            <w:tcW w:w="319" w:type="pct"/>
            <w:tcBorders>
              <w:top w:val="nil"/>
              <w:left w:val="nil"/>
              <w:bottom w:val="nil"/>
              <w:right w:val="nil"/>
            </w:tcBorders>
            <w:shd w:val="clear" w:color="000000" w:fill="FFFFFF"/>
            <w:noWrap/>
            <w:vAlign w:val="center"/>
            <w:hideMark/>
          </w:tcPr>
          <w:p w14:paraId="7F0C58FF"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723</w:t>
            </w:r>
          </w:p>
        </w:tc>
        <w:tc>
          <w:tcPr>
            <w:tcW w:w="557" w:type="pct"/>
            <w:tcBorders>
              <w:top w:val="nil"/>
              <w:left w:val="nil"/>
              <w:bottom w:val="nil"/>
              <w:right w:val="nil"/>
            </w:tcBorders>
            <w:shd w:val="clear" w:color="000000" w:fill="FFFFFF"/>
            <w:noWrap/>
            <w:vAlign w:val="center"/>
            <w:hideMark/>
          </w:tcPr>
          <w:p w14:paraId="17BF36C9"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Nonsquamous NSCLC</w:t>
            </w:r>
          </w:p>
        </w:tc>
        <w:tc>
          <w:tcPr>
            <w:tcW w:w="545" w:type="pct"/>
            <w:tcBorders>
              <w:top w:val="nil"/>
              <w:left w:val="nil"/>
              <w:bottom w:val="nil"/>
              <w:right w:val="nil"/>
            </w:tcBorders>
            <w:shd w:val="clear" w:color="000000" w:fill="FFFFFF"/>
            <w:noWrap/>
            <w:vAlign w:val="center"/>
            <w:hideMark/>
          </w:tcPr>
          <w:p w14:paraId="1DA57225"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Atezolizumab</w:t>
            </w:r>
          </w:p>
        </w:tc>
        <w:tc>
          <w:tcPr>
            <w:tcW w:w="419" w:type="pct"/>
            <w:tcBorders>
              <w:top w:val="nil"/>
              <w:left w:val="nil"/>
              <w:bottom w:val="nil"/>
              <w:right w:val="nil"/>
            </w:tcBorders>
            <w:shd w:val="clear" w:color="000000" w:fill="FFFFFF"/>
            <w:noWrap/>
            <w:vAlign w:val="center"/>
            <w:hideMark/>
          </w:tcPr>
          <w:p w14:paraId="6F18C6F6"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First-line</w:t>
            </w:r>
          </w:p>
        </w:tc>
        <w:tc>
          <w:tcPr>
            <w:tcW w:w="1257" w:type="pct"/>
            <w:tcBorders>
              <w:top w:val="nil"/>
              <w:left w:val="nil"/>
              <w:bottom w:val="nil"/>
              <w:right w:val="nil"/>
            </w:tcBorders>
            <w:shd w:val="clear" w:color="000000" w:fill="FFFFFF"/>
            <w:noWrap/>
            <w:vAlign w:val="center"/>
            <w:hideMark/>
          </w:tcPr>
          <w:p w14:paraId="2495BD2F"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Atezolizumab plus chemotherapy</w:t>
            </w:r>
          </w:p>
        </w:tc>
        <w:tc>
          <w:tcPr>
            <w:tcW w:w="454" w:type="pct"/>
            <w:tcBorders>
              <w:top w:val="nil"/>
              <w:left w:val="nil"/>
              <w:bottom w:val="nil"/>
              <w:right w:val="nil"/>
            </w:tcBorders>
            <w:shd w:val="clear" w:color="000000" w:fill="FFFFFF"/>
            <w:noWrap/>
            <w:vAlign w:val="center"/>
            <w:hideMark/>
          </w:tcPr>
          <w:p w14:paraId="1F878A9E"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OS and PFS</w:t>
            </w:r>
          </w:p>
        </w:tc>
        <w:tc>
          <w:tcPr>
            <w:tcW w:w="397" w:type="pct"/>
            <w:tcBorders>
              <w:top w:val="nil"/>
              <w:left w:val="nil"/>
              <w:bottom w:val="nil"/>
              <w:right w:val="nil"/>
            </w:tcBorders>
            <w:shd w:val="clear" w:color="000000" w:fill="FFFFFF"/>
            <w:noWrap/>
            <w:vAlign w:val="center"/>
            <w:hideMark/>
          </w:tcPr>
          <w:p w14:paraId="2DDDA15F"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18.5</w:t>
            </w:r>
          </w:p>
        </w:tc>
      </w:tr>
      <w:tr w:rsidR="00AF4C9E" w:rsidRPr="00AF4C9E" w14:paraId="56B9413D" w14:textId="77777777" w:rsidTr="00AF4C9E">
        <w:trPr>
          <w:trHeight w:val="320"/>
        </w:trPr>
        <w:tc>
          <w:tcPr>
            <w:tcW w:w="388" w:type="pct"/>
            <w:tcBorders>
              <w:top w:val="nil"/>
              <w:left w:val="nil"/>
              <w:bottom w:val="nil"/>
              <w:right w:val="nil"/>
            </w:tcBorders>
            <w:shd w:val="clear" w:color="000000" w:fill="FFFFFF"/>
            <w:noWrap/>
            <w:vAlign w:val="center"/>
            <w:hideMark/>
          </w:tcPr>
          <w:p w14:paraId="39720840"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IMpower131</w:t>
            </w:r>
          </w:p>
        </w:tc>
        <w:tc>
          <w:tcPr>
            <w:tcW w:w="134" w:type="pct"/>
            <w:tcBorders>
              <w:top w:val="nil"/>
              <w:left w:val="nil"/>
              <w:bottom w:val="nil"/>
              <w:right w:val="nil"/>
            </w:tcBorders>
            <w:shd w:val="clear" w:color="000000" w:fill="FFFFFF"/>
            <w:noWrap/>
            <w:vAlign w:val="center"/>
            <w:hideMark/>
          </w:tcPr>
          <w:p w14:paraId="66B34C80"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2019</w:t>
            </w:r>
          </w:p>
        </w:tc>
        <w:tc>
          <w:tcPr>
            <w:tcW w:w="361" w:type="pct"/>
            <w:tcBorders>
              <w:top w:val="nil"/>
              <w:left w:val="nil"/>
              <w:bottom w:val="nil"/>
              <w:right w:val="nil"/>
            </w:tcBorders>
            <w:shd w:val="clear" w:color="000000" w:fill="FFFFFF"/>
            <w:noWrap/>
            <w:vAlign w:val="center"/>
            <w:hideMark/>
          </w:tcPr>
          <w:p w14:paraId="078AAEC2"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NCT02367794</w:t>
            </w:r>
          </w:p>
        </w:tc>
        <w:tc>
          <w:tcPr>
            <w:tcW w:w="168" w:type="pct"/>
            <w:tcBorders>
              <w:top w:val="nil"/>
              <w:left w:val="nil"/>
              <w:bottom w:val="nil"/>
              <w:right w:val="nil"/>
            </w:tcBorders>
            <w:shd w:val="clear" w:color="000000" w:fill="FFFFFF"/>
            <w:noWrap/>
            <w:vAlign w:val="center"/>
            <w:hideMark/>
          </w:tcPr>
          <w:p w14:paraId="6E5EFD4C"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III</w:t>
            </w:r>
          </w:p>
        </w:tc>
        <w:tc>
          <w:tcPr>
            <w:tcW w:w="319" w:type="pct"/>
            <w:tcBorders>
              <w:top w:val="nil"/>
              <w:left w:val="nil"/>
              <w:bottom w:val="nil"/>
              <w:right w:val="nil"/>
            </w:tcBorders>
            <w:shd w:val="clear" w:color="000000" w:fill="FFFFFF"/>
            <w:noWrap/>
            <w:vAlign w:val="center"/>
            <w:hideMark/>
          </w:tcPr>
          <w:p w14:paraId="4D284EFC"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683</w:t>
            </w:r>
          </w:p>
        </w:tc>
        <w:tc>
          <w:tcPr>
            <w:tcW w:w="557" w:type="pct"/>
            <w:tcBorders>
              <w:top w:val="nil"/>
              <w:left w:val="nil"/>
              <w:bottom w:val="nil"/>
              <w:right w:val="nil"/>
            </w:tcBorders>
            <w:shd w:val="clear" w:color="000000" w:fill="FFFFFF"/>
            <w:noWrap/>
            <w:vAlign w:val="center"/>
            <w:hideMark/>
          </w:tcPr>
          <w:p w14:paraId="1E6AF57C"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Squamous NSCLC</w:t>
            </w:r>
          </w:p>
        </w:tc>
        <w:tc>
          <w:tcPr>
            <w:tcW w:w="545" w:type="pct"/>
            <w:tcBorders>
              <w:top w:val="nil"/>
              <w:left w:val="nil"/>
              <w:bottom w:val="nil"/>
              <w:right w:val="nil"/>
            </w:tcBorders>
            <w:shd w:val="clear" w:color="000000" w:fill="FFFFFF"/>
            <w:noWrap/>
            <w:vAlign w:val="center"/>
            <w:hideMark/>
          </w:tcPr>
          <w:p w14:paraId="08586B05"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Atezolizumab</w:t>
            </w:r>
          </w:p>
        </w:tc>
        <w:tc>
          <w:tcPr>
            <w:tcW w:w="419" w:type="pct"/>
            <w:tcBorders>
              <w:top w:val="nil"/>
              <w:left w:val="nil"/>
              <w:bottom w:val="nil"/>
              <w:right w:val="nil"/>
            </w:tcBorders>
            <w:shd w:val="clear" w:color="000000" w:fill="FFFFFF"/>
            <w:noWrap/>
            <w:vAlign w:val="center"/>
            <w:hideMark/>
          </w:tcPr>
          <w:p w14:paraId="430E518B"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First-line</w:t>
            </w:r>
          </w:p>
        </w:tc>
        <w:tc>
          <w:tcPr>
            <w:tcW w:w="1257" w:type="pct"/>
            <w:tcBorders>
              <w:top w:val="nil"/>
              <w:left w:val="nil"/>
              <w:bottom w:val="nil"/>
              <w:right w:val="nil"/>
            </w:tcBorders>
            <w:shd w:val="clear" w:color="000000" w:fill="FFFFFF"/>
            <w:noWrap/>
            <w:vAlign w:val="center"/>
            <w:hideMark/>
          </w:tcPr>
          <w:p w14:paraId="175B1A37"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Atezolizumab plus chemotherapy</w:t>
            </w:r>
          </w:p>
        </w:tc>
        <w:tc>
          <w:tcPr>
            <w:tcW w:w="454" w:type="pct"/>
            <w:tcBorders>
              <w:top w:val="nil"/>
              <w:left w:val="nil"/>
              <w:bottom w:val="nil"/>
              <w:right w:val="nil"/>
            </w:tcBorders>
            <w:shd w:val="clear" w:color="000000" w:fill="FFFFFF"/>
            <w:noWrap/>
            <w:vAlign w:val="center"/>
            <w:hideMark/>
          </w:tcPr>
          <w:p w14:paraId="1D0965DB"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OS</w:t>
            </w:r>
          </w:p>
        </w:tc>
        <w:tc>
          <w:tcPr>
            <w:tcW w:w="397" w:type="pct"/>
            <w:tcBorders>
              <w:top w:val="nil"/>
              <w:left w:val="nil"/>
              <w:bottom w:val="nil"/>
              <w:right w:val="nil"/>
            </w:tcBorders>
            <w:shd w:val="clear" w:color="000000" w:fill="FFFFFF"/>
            <w:noWrap/>
            <w:vAlign w:val="center"/>
            <w:hideMark/>
          </w:tcPr>
          <w:p w14:paraId="0C954D0A"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25.5</w:t>
            </w:r>
          </w:p>
        </w:tc>
      </w:tr>
      <w:tr w:rsidR="00AF4C9E" w:rsidRPr="00AF4C9E" w14:paraId="4B68C0EC" w14:textId="77777777" w:rsidTr="00AF4C9E">
        <w:trPr>
          <w:trHeight w:val="320"/>
        </w:trPr>
        <w:tc>
          <w:tcPr>
            <w:tcW w:w="388" w:type="pct"/>
            <w:tcBorders>
              <w:top w:val="nil"/>
              <w:left w:val="nil"/>
              <w:bottom w:val="nil"/>
              <w:right w:val="nil"/>
            </w:tcBorders>
            <w:shd w:val="clear" w:color="000000" w:fill="FFFFFF"/>
            <w:noWrap/>
            <w:vAlign w:val="center"/>
            <w:hideMark/>
          </w:tcPr>
          <w:p w14:paraId="1C089B60"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IMpower132</w:t>
            </w:r>
          </w:p>
        </w:tc>
        <w:tc>
          <w:tcPr>
            <w:tcW w:w="134" w:type="pct"/>
            <w:tcBorders>
              <w:top w:val="nil"/>
              <w:left w:val="nil"/>
              <w:bottom w:val="nil"/>
              <w:right w:val="nil"/>
            </w:tcBorders>
            <w:shd w:val="clear" w:color="000000" w:fill="FFFFFF"/>
            <w:noWrap/>
            <w:vAlign w:val="center"/>
            <w:hideMark/>
          </w:tcPr>
          <w:p w14:paraId="113D8007"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2019</w:t>
            </w:r>
          </w:p>
        </w:tc>
        <w:tc>
          <w:tcPr>
            <w:tcW w:w="361" w:type="pct"/>
            <w:tcBorders>
              <w:top w:val="nil"/>
              <w:left w:val="nil"/>
              <w:bottom w:val="nil"/>
              <w:right w:val="nil"/>
            </w:tcBorders>
            <w:shd w:val="clear" w:color="000000" w:fill="FFFFFF"/>
            <w:noWrap/>
            <w:vAlign w:val="center"/>
            <w:hideMark/>
          </w:tcPr>
          <w:p w14:paraId="7F655153"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NCT02657434</w:t>
            </w:r>
          </w:p>
        </w:tc>
        <w:tc>
          <w:tcPr>
            <w:tcW w:w="168" w:type="pct"/>
            <w:tcBorders>
              <w:top w:val="nil"/>
              <w:left w:val="nil"/>
              <w:bottom w:val="nil"/>
              <w:right w:val="nil"/>
            </w:tcBorders>
            <w:shd w:val="clear" w:color="000000" w:fill="FFFFFF"/>
            <w:noWrap/>
            <w:vAlign w:val="center"/>
            <w:hideMark/>
          </w:tcPr>
          <w:p w14:paraId="6CEDD39D"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III</w:t>
            </w:r>
          </w:p>
        </w:tc>
        <w:tc>
          <w:tcPr>
            <w:tcW w:w="319" w:type="pct"/>
            <w:tcBorders>
              <w:top w:val="nil"/>
              <w:left w:val="nil"/>
              <w:bottom w:val="nil"/>
              <w:right w:val="nil"/>
            </w:tcBorders>
            <w:shd w:val="clear" w:color="000000" w:fill="FFFFFF"/>
            <w:noWrap/>
            <w:vAlign w:val="center"/>
            <w:hideMark/>
          </w:tcPr>
          <w:p w14:paraId="7ADC0E9D"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578</w:t>
            </w:r>
          </w:p>
        </w:tc>
        <w:tc>
          <w:tcPr>
            <w:tcW w:w="557" w:type="pct"/>
            <w:tcBorders>
              <w:top w:val="nil"/>
              <w:left w:val="nil"/>
              <w:bottom w:val="nil"/>
              <w:right w:val="nil"/>
            </w:tcBorders>
            <w:shd w:val="clear" w:color="000000" w:fill="FFFFFF"/>
            <w:noWrap/>
            <w:vAlign w:val="center"/>
            <w:hideMark/>
          </w:tcPr>
          <w:p w14:paraId="6729A27B"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Nonsquamous NSCLC</w:t>
            </w:r>
          </w:p>
        </w:tc>
        <w:tc>
          <w:tcPr>
            <w:tcW w:w="545" w:type="pct"/>
            <w:tcBorders>
              <w:top w:val="nil"/>
              <w:left w:val="nil"/>
              <w:bottom w:val="nil"/>
              <w:right w:val="nil"/>
            </w:tcBorders>
            <w:shd w:val="clear" w:color="000000" w:fill="FFFFFF"/>
            <w:noWrap/>
            <w:vAlign w:val="center"/>
            <w:hideMark/>
          </w:tcPr>
          <w:p w14:paraId="434B35DB"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Atezolizumab</w:t>
            </w:r>
          </w:p>
        </w:tc>
        <w:tc>
          <w:tcPr>
            <w:tcW w:w="419" w:type="pct"/>
            <w:tcBorders>
              <w:top w:val="nil"/>
              <w:left w:val="nil"/>
              <w:bottom w:val="nil"/>
              <w:right w:val="nil"/>
            </w:tcBorders>
            <w:shd w:val="clear" w:color="000000" w:fill="FFFFFF"/>
            <w:noWrap/>
            <w:vAlign w:val="center"/>
            <w:hideMark/>
          </w:tcPr>
          <w:p w14:paraId="375DDEFC"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First-line</w:t>
            </w:r>
          </w:p>
        </w:tc>
        <w:tc>
          <w:tcPr>
            <w:tcW w:w="1257" w:type="pct"/>
            <w:tcBorders>
              <w:top w:val="nil"/>
              <w:left w:val="nil"/>
              <w:bottom w:val="nil"/>
              <w:right w:val="nil"/>
            </w:tcBorders>
            <w:shd w:val="clear" w:color="000000" w:fill="FFFFFF"/>
            <w:noWrap/>
            <w:vAlign w:val="center"/>
            <w:hideMark/>
          </w:tcPr>
          <w:p w14:paraId="27404DE1"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Atezolizumab plus chemotherapy</w:t>
            </w:r>
          </w:p>
        </w:tc>
        <w:tc>
          <w:tcPr>
            <w:tcW w:w="454" w:type="pct"/>
            <w:tcBorders>
              <w:top w:val="nil"/>
              <w:left w:val="nil"/>
              <w:bottom w:val="nil"/>
              <w:right w:val="nil"/>
            </w:tcBorders>
            <w:shd w:val="clear" w:color="000000" w:fill="FFFFFF"/>
            <w:noWrap/>
            <w:vAlign w:val="center"/>
            <w:hideMark/>
          </w:tcPr>
          <w:p w14:paraId="68F86C87"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OS and PFS</w:t>
            </w:r>
          </w:p>
        </w:tc>
        <w:tc>
          <w:tcPr>
            <w:tcW w:w="397" w:type="pct"/>
            <w:tcBorders>
              <w:top w:val="nil"/>
              <w:left w:val="nil"/>
              <w:bottom w:val="nil"/>
              <w:right w:val="nil"/>
            </w:tcBorders>
            <w:shd w:val="clear" w:color="000000" w:fill="FFFFFF"/>
            <w:noWrap/>
            <w:vAlign w:val="center"/>
            <w:hideMark/>
          </w:tcPr>
          <w:p w14:paraId="1D68754D"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14.8</w:t>
            </w:r>
          </w:p>
        </w:tc>
      </w:tr>
      <w:tr w:rsidR="00AF4C9E" w:rsidRPr="00AF4C9E" w14:paraId="3383616F" w14:textId="77777777" w:rsidTr="00AF4C9E">
        <w:trPr>
          <w:trHeight w:val="320"/>
        </w:trPr>
        <w:tc>
          <w:tcPr>
            <w:tcW w:w="388" w:type="pct"/>
            <w:tcBorders>
              <w:top w:val="nil"/>
              <w:left w:val="nil"/>
              <w:bottom w:val="nil"/>
              <w:right w:val="nil"/>
            </w:tcBorders>
            <w:shd w:val="clear" w:color="000000" w:fill="FFFFFF"/>
            <w:noWrap/>
            <w:vAlign w:val="center"/>
            <w:hideMark/>
          </w:tcPr>
          <w:p w14:paraId="0CBDEF2F"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IMpower133</w:t>
            </w:r>
          </w:p>
        </w:tc>
        <w:tc>
          <w:tcPr>
            <w:tcW w:w="134" w:type="pct"/>
            <w:tcBorders>
              <w:top w:val="nil"/>
              <w:left w:val="nil"/>
              <w:bottom w:val="nil"/>
              <w:right w:val="nil"/>
            </w:tcBorders>
            <w:shd w:val="clear" w:color="000000" w:fill="FFFFFF"/>
            <w:noWrap/>
            <w:vAlign w:val="center"/>
            <w:hideMark/>
          </w:tcPr>
          <w:p w14:paraId="6D8DA28E"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2018</w:t>
            </w:r>
          </w:p>
        </w:tc>
        <w:tc>
          <w:tcPr>
            <w:tcW w:w="361" w:type="pct"/>
            <w:tcBorders>
              <w:top w:val="nil"/>
              <w:left w:val="nil"/>
              <w:bottom w:val="nil"/>
              <w:right w:val="nil"/>
            </w:tcBorders>
            <w:shd w:val="clear" w:color="000000" w:fill="FFFFFF"/>
            <w:noWrap/>
            <w:vAlign w:val="center"/>
            <w:hideMark/>
          </w:tcPr>
          <w:p w14:paraId="6DA22289"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NCT02763579</w:t>
            </w:r>
          </w:p>
        </w:tc>
        <w:tc>
          <w:tcPr>
            <w:tcW w:w="168" w:type="pct"/>
            <w:tcBorders>
              <w:top w:val="nil"/>
              <w:left w:val="nil"/>
              <w:bottom w:val="nil"/>
              <w:right w:val="nil"/>
            </w:tcBorders>
            <w:shd w:val="clear" w:color="000000" w:fill="FFFFFF"/>
            <w:noWrap/>
            <w:vAlign w:val="center"/>
            <w:hideMark/>
          </w:tcPr>
          <w:p w14:paraId="0013D2D7"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III</w:t>
            </w:r>
          </w:p>
        </w:tc>
        <w:tc>
          <w:tcPr>
            <w:tcW w:w="319" w:type="pct"/>
            <w:tcBorders>
              <w:top w:val="nil"/>
              <w:left w:val="nil"/>
              <w:bottom w:val="nil"/>
              <w:right w:val="nil"/>
            </w:tcBorders>
            <w:shd w:val="clear" w:color="000000" w:fill="FFFFFF"/>
            <w:noWrap/>
            <w:vAlign w:val="center"/>
            <w:hideMark/>
          </w:tcPr>
          <w:p w14:paraId="138C3955"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403</w:t>
            </w:r>
          </w:p>
        </w:tc>
        <w:tc>
          <w:tcPr>
            <w:tcW w:w="557" w:type="pct"/>
            <w:tcBorders>
              <w:top w:val="nil"/>
              <w:left w:val="nil"/>
              <w:bottom w:val="nil"/>
              <w:right w:val="nil"/>
            </w:tcBorders>
            <w:shd w:val="clear" w:color="000000" w:fill="FFFFFF"/>
            <w:noWrap/>
            <w:vAlign w:val="center"/>
            <w:hideMark/>
          </w:tcPr>
          <w:p w14:paraId="05802057"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SCLC</w:t>
            </w:r>
          </w:p>
        </w:tc>
        <w:tc>
          <w:tcPr>
            <w:tcW w:w="545" w:type="pct"/>
            <w:tcBorders>
              <w:top w:val="nil"/>
              <w:left w:val="nil"/>
              <w:bottom w:val="nil"/>
              <w:right w:val="nil"/>
            </w:tcBorders>
            <w:shd w:val="clear" w:color="000000" w:fill="FFFFFF"/>
            <w:noWrap/>
            <w:vAlign w:val="center"/>
            <w:hideMark/>
          </w:tcPr>
          <w:p w14:paraId="1F655C0E"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Atezolizumab</w:t>
            </w:r>
          </w:p>
        </w:tc>
        <w:tc>
          <w:tcPr>
            <w:tcW w:w="419" w:type="pct"/>
            <w:tcBorders>
              <w:top w:val="nil"/>
              <w:left w:val="nil"/>
              <w:bottom w:val="nil"/>
              <w:right w:val="nil"/>
            </w:tcBorders>
            <w:shd w:val="clear" w:color="000000" w:fill="FFFFFF"/>
            <w:noWrap/>
            <w:vAlign w:val="center"/>
            <w:hideMark/>
          </w:tcPr>
          <w:p w14:paraId="0E893A15"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First-line</w:t>
            </w:r>
          </w:p>
        </w:tc>
        <w:tc>
          <w:tcPr>
            <w:tcW w:w="1257" w:type="pct"/>
            <w:tcBorders>
              <w:top w:val="nil"/>
              <w:left w:val="nil"/>
              <w:bottom w:val="nil"/>
              <w:right w:val="nil"/>
            </w:tcBorders>
            <w:shd w:val="clear" w:color="000000" w:fill="FFFFFF"/>
            <w:noWrap/>
            <w:vAlign w:val="center"/>
            <w:hideMark/>
          </w:tcPr>
          <w:p w14:paraId="4185F359"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Atezolizumab plus chemotherapy</w:t>
            </w:r>
          </w:p>
        </w:tc>
        <w:tc>
          <w:tcPr>
            <w:tcW w:w="454" w:type="pct"/>
            <w:tcBorders>
              <w:top w:val="nil"/>
              <w:left w:val="nil"/>
              <w:bottom w:val="nil"/>
              <w:right w:val="nil"/>
            </w:tcBorders>
            <w:shd w:val="clear" w:color="000000" w:fill="FFFFFF"/>
            <w:noWrap/>
            <w:vAlign w:val="center"/>
            <w:hideMark/>
          </w:tcPr>
          <w:p w14:paraId="4AD56E41"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PFS  and OS</w:t>
            </w:r>
          </w:p>
        </w:tc>
        <w:tc>
          <w:tcPr>
            <w:tcW w:w="397" w:type="pct"/>
            <w:tcBorders>
              <w:top w:val="nil"/>
              <w:left w:val="nil"/>
              <w:bottom w:val="nil"/>
              <w:right w:val="nil"/>
            </w:tcBorders>
            <w:shd w:val="clear" w:color="000000" w:fill="FFFFFF"/>
            <w:noWrap/>
            <w:vAlign w:val="center"/>
            <w:hideMark/>
          </w:tcPr>
          <w:p w14:paraId="78F3940B"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13.9</w:t>
            </w:r>
          </w:p>
        </w:tc>
      </w:tr>
      <w:tr w:rsidR="00AF4C9E" w:rsidRPr="00AF4C9E" w14:paraId="7A841D8B" w14:textId="77777777" w:rsidTr="00AF4C9E">
        <w:trPr>
          <w:trHeight w:val="320"/>
        </w:trPr>
        <w:tc>
          <w:tcPr>
            <w:tcW w:w="388" w:type="pct"/>
            <w:tcBorders>
              <w:top w:val="nil"/>
              <w:left w:val="nil"/>
              <w:bottom w:val="nil"/>
              <w:right w:val="nil"/>
            </w:tcBorders>
            <w:shd w:val="clear" w:color="000000" w:fill="FFFFFF"/>
            <w:noWrap/>
            <w:vAlign w:val="center"/>
            <w:hideMark/>
          </w:tcPr>
          <w:p w14:paraId="523DA77B"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IMpower150</w:t>
            </w:r>
          </w:p>
        </w:tc>
        <w:tc>
          <w:tcPr>
            <w:tcW w:w="134" w:type="pct"/>
            <w:tcBorders>
              <w:top w:val="nil"/>
              <w:left w:val="nil"/>
              <w:bottom w:val="nil"/>
              <w:right w:val="nil"/>
            </w:tcBorders>
            <w:shd w:val="clear" w:color="000000" w:fill="FFFFFF"/>
            <w:noWrap/>
            <w:vAlign w:val="center"/>
            <w:hideMark/>
          </w:tcPr>
          <w:p w14:paraId="224EF074"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2018</w:t>
            </w:r>
          </w:p>
        </w:tc>
        <w:tc>
          <w:tcPr>
            <w:tcW w:w="361" w:type="pct"/>
            <w:tcBorders>
              <w:top w:val="nil"/>
              <w:left w:val="nil"/>
              <w:bottom w:val="nil"/>
              <w:right w:val="nil"/>
            </w:tcBorders>
            <w:shd w:val="clear" w:color="000000" w:fill="FFFFFF"/>
            <w:noWrap/>
            <w:vAlign w:val="center"/>
            <w:hideMark/>
          </w:tcPr>
          <w:p w14:paraId="496B52A7"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NCT02366143</w:t>
            </w:r>
          </w:p>
        </w:tc>
        <w:tc>
          <w:tcPr>
            <w:tcW w:w="168" w:type="pct"/>
            <w:tcBorders>
              <w:top w:val="nil"/>
              <w:left w:val="nil"/>
              <w:bottom w:val="nil"/>
              <w:right w:val="nil"/>
            </w:tcBorders>
            <w:shd w:val="clear" w:color="000000" w:fill="FFFFFF"/>
            <w:noWrap/>
            <w:vAlign w:val="center"/>
            <w:hideMark/>
          </w:tcPr>
          <w:p w14:paraId="354EB992"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III</w:t>
            </w:r>
          </w:p>
        </w:tc>
        <w:tc>
          <w:tcPr>
            <w:tcW w:w="319" w:type="pct"/>
            <w:tcBorders>
              <w:top w:val="nil"/>
              <w:left w:val="nil"/>
              <w:bottom w:val="nil"/>
              <w:right w:val="nil"/>
            </w:tcBorders>
            <w:shd w:val="clear" w:color="000000" w:fill="FFFFFF"/>
            <w:noWrap/>
            <w:vAlign w:val="center"/>
            <w:hideMark/>
          </w:tcPr>
          <w:p w14:paraId="2831D4E8"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800</w:t>
            </w:r>
          </w:p>
        </w:tc>
        <w:tc>
          <w:tcPr>
            <w:tcW w:w="557" w:type="pct"/>
            <w:tcBorders>
              <w:top w:val="nil"/>
              <w:left w:val="nil"/>
              <w:bottom w:val="nil"/>
              <w:right w:val="nil"/>
            </w:tcBorders>
            <w:shd w:val="clear" w:color="000000" w:fill="FFFFFF"/>
            <w:noWrap/>
            <w:vAlign w:val="center"/>
            <w:hideMark/>
          </w:tcPr>
          <w:p w14:paraId="1AC18AF8"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Nonsquamous NSCLC</w:t>
            </w:r>
          </w:p>
        </w:tc>
        <w:tc>
          <w:tcPr>
            <w:tcW w:w="545" w:type="pct"/>
            <w:tcBorders>
              <w:top w:val="nil"/>
              <w:left w:val="nil"/>
              <w:bottom w:val="nil"/>
              <w:right w:val="nil"/>
            </w:tcBorders>
            <w:shd w:val="clear" w:color="000000" w:fill="FFFFFF"/>
            <w:noWrap/>
            <w:vAlign w:val="center"/>
            <w:hideMark/>
          </w:tcPr>
          <w:p w14:paraId="0DFD18E6"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Atezolizumab</w:t>
            </w:r>
          </w:p>
        </w:tc>
        <w:tc>
          <w:tcPr>
            <w:tcW w:w="419" w:type="pct"/>
            <w:tcBorders>
              <w:top w:val="nil"/>
              <w:left w:val="nil"/>
              <w:bottom w:val="nil"/>
              <w:right w:val="nil"/>
            </w:tcBorders>
            <w:shd w:val="clear" w:color="000000" w:fill="FFFFFF"/>
            <w:noWrap/>
            <w:vAlign w:val="center"/>
            <w:hideMark/>
          </w:tcPr>
          <w:p w14:paraId="41B0EA00"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First-line</w:t>
            </w:r>
          </w:p>
        </w:tc>
        <w:tc>
          <w:tcPr>
            <w:tcW w:w="1257" w:type="pct"/>
            <w:tcBorders>
              <w:top w:val="nil"/>
              <w:left w:val="nil"/>
              <w:bottom w:val="nil"/>
              <w:right w:val="nil"/>
            </w:tcBorders>
            <w:shd w:val="clear" w:color="000000" w:fill="FFFFFF"/>
            <w:noWrap/>
            <w:vAlign w:val="center"/>
            <w:hideMark/>
          </w:tcPr>
          <w:p w14:paraId="3B0DCF8D"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Atezolizumab plus chemotherapy plus bevacizumab</w:t>
            </w:r>
          </w:p>
        </w:tc>
        <w:tc>
          <w:tcPr>
            <w:tcW w:w="454" w:type="pct"/>
            <w:tcBorders>
              <w:top w:val="nil"/>
              <w:left w:val="nil"/>
              <w:bottom w:val="nil"/>
              <w:right w:val="nil"/>
            </w:tcBorders>
            <w:shd w:val="clear" w:color="000000" w:fill="FFFFFF"/>
            <w:noWrap/>
            <w:vAlign w:val="center"/>
            <w:hideMark/>
          </w:tcPr>
          <w:p w14:paraId="1BE02DFD"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OS and PFS</w:t>
            </w:r>
          </w:p>
        </w:tc>
        <w:tc>
          <w:tcPr>
            <w:tcW w:w="397" w:type="pct"/>
            <w:tcBorders>
              <w:top w:val="nil"/>
              <w:left w:val="nil"/>
              <w:bottom w:val="nil"/>
              <w:right w:val="nil"/>
            </w:tcBorders>
            <w:shd w:val="clear" w:color="000000" w:fill="FFFFFF"/>
            <w:noWrap/>
            <w:vAlign w:val="center"/>
            <w:hideMark/>
          </w:tcPr>
          <w:p w14:paraId="02510D9E"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15.4</w:t>
            </w:r>
          </w:p>
        </w:tc>
      </w:tr>
      <w:tr w:rsidR="00AF4C9E" w:rsidRPr="00AF4C9E" w14:paraId="0B819065" w14:textId="77777777" w:rsidTr="00AF4C9E">
        <w:trPr>
          <w:trHeight w:val="320"/>
        </w:trPr>
        <w:tc>
          <w:tcPr>
            <w:tcW w:w="388" w:type="pct"/>
            <w:tcBorders>
              <w:top w:val="nil"/>
              <w:left w:val="nil"/>
              <w:bottom w:val="nil"/>
              <w:right w:val="nil"/>
            </w:tcBorders>
            <w:shd w:val="clear" w:color="000000" w:fill="FFFFFF"/>
            <w:noWrap/>
            <w:vAlign w:val="center"/>
            <w:hideMark/>
          </w:tcPr>
          <w:p w14:paraId="396E51B7"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KEYNOTE-189</w:t>
            </w:r>
          </w:p>
        </w:tc>
        <w:tc>
          <w:tcPr>
            <w:tcW w:w="134" w:type="pct"/>
            <w:tcBorders>
              <w:top w:val="nil"/>
              <w:left w:val="nil"/>
              <w:bottom w:val="nil"/>
              <w:right w:val="nil"/>
            </w:tcBorders>
            <w:shd w:val="clear" w:color="000000" w:fill="FFFFFF"/>
            <w:noWrap/>
            <w:vAlign w:val="center"/>
            <w:hideMark/>
          </w:tcPr>
          <w:p w14:paraId="58419965"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2018</w:t>
            </w:r>
          </w:p>
        </w:tc>
        <w:tc>
          <w:tcPr>
            <w:tcW w:w="361" w:type="pct"/>
            <w:tcBorders>
              <w:top w:val="nil"/>
              <w:left w:val="nil"/>
              <w:bottom w:val="nil"/>
              <w:right w:val="nil"/>
            </w:tcBorders>
            <w:shd w:val="clear" w:color="000000" w:fill="FFFFFF"/>
            <w:noWrap/>
            <w:vAlign w:val="center"/>
            <w:hideMark/>
          </w:tcPr>
          <w:p w14:paraId="67A68F35"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NCT02578680</w:t>
            </w:r>
          </w:p>
        </w:tc>
        <w:tc>
          <w:tcPr>
            <w:tcW w:w="168" w:type="pct"/>
            <w:tcBorders>
              <w:top w:val="nil"/>
              <w:left w:val="nil"/>
              <w:bottom w:val="nil"/>
              <w:right w:val="nil"/>
            </w:tcBorders>
            <w:shd w:val="clear" w:color="000000" w:fill="FFFFFF"/>
            <w:noWrap/>
            <w:vAlign w:val="center"/>
            <w:hideMark/>
          </w:tcPr>
          <w:p w14:paraId="7BD0C415"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III</w:t>
            </w:r>
          </w:p>
        </w:tc>
        <w:tc>
          <w:tcPr>
            <w:tcW w:w="319" w:type="pct"/>
            <w:tcBorders>
              <w:top w:val="nil"/>
              <w:left w:val="nil"/>
              <w:bottom w:val="nil"/>
              <w:right w:val="nil"/>
            </w:tcBorders>
            <w:shd w:val="clear" w:color="000000" w:fill="FFFFFF"/>
            <w:noWrap/>
            <w:vAlign w:val="center"/>
            <w:hideMark/>
          </w:tcPr>
          <w:p w14:paraId="12FF660C"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616</w:t>
            </w:r>
          </w:p>
        </w:tc>
        <w:tc>
          <w:tcPr>
            <w:tcW w:w="557" w:type="pct"/>
            <w:tcBorders>
              <w:top w:val="nil"/>
              <w:left w:val="nil"/>
              <w:bottom w:val="nil"/>
              <w:right w:val="nil"/>
            </w:tcBorders>
            <w:shd w:val="clear" w:color="000000" w:fill="FFFFFF"/>
            <w:noWrap/>
            <w:vAlign w:val="center"/>
            <w:hideMark/>
          </w:tcPr>
          <w:p w14:paraId="6AFA9D1E"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Nonsquamous NSCLC</w:t>
            </w:r>
          </w:p>
        </w:tc>
        <w:tc>
          <w:tcPr>
            <w:tcW w:w="545" w:type="pct"/>
            <w:tcBorders>
              <w:top w:val="nil"/>
              <w:left w:val="nil"/>
              <w:bottom w:val="nil"/>
              <w:right w:val="nil"/>
            </w:tcBorders>
            <w:shd w:val="clear" w:color="000000" w:fill="FFFFFF"/>
            <w:noWrap/>
            <w:vAlign w:val="center"/>
            <w:hideMark/>
          </w:tcPr>
          <w:p w14:paraId="2B6A8208"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Pembrolizumab</w:t>
            </w:r>
          </w:p>
        </w:tc>
        <w:tc>
          <w:tcPr>
            <w:tcW w:w="419" w:type="pct"/>
            <w:tcBorders>
              <w:top w:val="nil"/>
              <w:left w:val="nil"/>
              <w:bottom w:val="nil"/>
              <w:right w:val="nil"/>
            </w:tcBorders>
            <w:shd w:val="clear" w:color="000000" w:fill="FFFFFF"/>
            <w:noWrap/>
            <w:vAlign w:val="center"/>
            <w:hideMark/>
          </w:tcPr>
          <w:p w14:paraId="300B49BE"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First-line</w:t>
            </w:r>
          </w:p>
        </w:tc>
        <w:tc>
          <w:tcPr>
            <w:tcW w:w="1257" w:type="pct"/>
            <w:tcBorders>
              <w:top w:val="nil"/>
              <w:left w:val="nil"/>
              <w:bottom w:val="nil"/>
              <w:right w:val="nil"/>
            </w:tcBorders>
            <w:shd w:val="clear" w:color="000000" w:fill="FFFFFF"/>
            <w:noWrap/>
            <w:vAlign w:val="center"/>
            <w:hideMark/>
          </w:tcPr>
          <w:p w14:paraId="3C18D9E3"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Pembrolizumab plus chemotherapy</w:t>
            </w:r>
          </w:p>
        </w:tc>
        <w:tc>
          <w:tcPr>
            <w:tcW w:w="454" w:type="pct"/>
            <w:tcBorders>
              <w:top w:val="nil"/>
              <w:left w:val="nil"/>
              <w:bottom w:val="nil"/>
              <w:right w:val="nil"/>
            </w:tcBorders>
            <w:shd w:val="clear" w:color="000000" w:fill="FFFFFF"/>
            <w:noWrap/>
            <w:vAlign w:val="center"/>
            <w:hideMark/>
          </w:tcPr>
          <w:p w14:paraId="206BA778"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OS and PFS</w:t>
            </w:r>
          </w:p>
        </w:tc>
        <w:tc>
          <w:tcPr>
            <w:tcW w:w="397" w:type="pct"/>
            <w:tcBorders>
              <w:top w:val="nil"/>
              <w:left w:val="nil"/>
              <w:bottom w:val="nil"/>
              <w:right w:val="nil"/>
            </w:tcBorders>
            <w:shd w:val="clear" w:color="000000" w:fill="FFFFFF"/>
            <w:noWrap/>
            <w:vAlign w:val="center"/>
            <w:hideMark/>
          </w:tcPr>
          <w:p w14:paraId="5D045D71"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23.1</w:t>
            </w:r>
          </w:p>
        </w:tc>
      </w:tr>
      <w:tr w:rsidR="00AF4C9E" w:rsidRPr="00AF4C9E" w14:paraId="754A34EB" w14:textId="77777777" w:rsidTr="00AF4C9E">
        <w:trPr>
          <w:trHeight w:val="320"/>
        </w:trPr>
        <w:tc>
          <w:tcPr>
            <w:tcW w:w="388" w:type="pct"/>
            <w:tcBorders>
              <w:top w:val="nil"/>
              <w:left w:val="nil"/>
              <w:bottom w:val="nil"/>
              <w:right w:val="nil"/>
            </w:tcBorders>
            <w:shd w:val="clear" w:color="000000" w:fill="FFFFFF"/>
            <w:noWrap/>
            <w:vAlign w:val="center"/>
            <w:hideMark/>
          </w:tcPr>
          <w:p w14:paraId="048D2C17"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KEYNOTE-604</w:t>
            </w:r>
          </w:p>
        </w:tc>
        <w:tc>
          <w:tcPr>
            <w:tcW w:w="134" w:type="pct"/>
            <w:tcBorders>
              <w:top w:val="nil"/>
              <w:left w:val="nil"/>
              <w:bottom w:val="nil"/>
              <w:right w:val="nil"/>
            </w:tcBorders>
            <w:shd w:val="clear" w:color="000000" w:fill="FFFFFF"/>
            <w:noWrap/>
            <w:vAlign w:val="center"/>
            <w:hideMark/>
          </w:tcPr>
          <w:p w14:paraId="36E12714"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2020</w:t>
            </w:r>
          </w:p>
        </w:tc>
        <w:tc>
          <w:tcPr>
            <w:tcW w:w="361" w:type="pct"/>
            <w:tcBorders>
              <w:top w:val="nil"/>
              <w:left w:val="nil"/>
              <w:bottom w:val="nil"/>
              <w:right w:val="nil"/>
            </w:tcBorders>
            <w:shd w:val="clear" w:color="000000" w:fill="FFFFFF"/>
            <w:noWrap/>
            <w:vAlign w:val="center"/>
            <w:hideMark/>
          </w:tcPr>
          <w:p w14:paraId="76A4F0FF"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NCT03066778</w:t>
            </w:r>
          </w:p>
        </w:tc>
        <w:tc>
          <w:tcPr>
            <w:tcW w:w="168" w:type="pct"/>
            <w:tcBorders>
              <w:top w:val="nil"/>
              <w:left w:val="nil"/>
              <w:bottom w:val="nil"/>
              <w:right w:val="nil"/>
            </w:tcBorders>
            <w:shd w:val="clear" w:color="000000" w:fill="FFFFFF"/>
            <w:noWrap/>
            <w:vAlign w:val="center"/>
            <w:hideMark/>
          </w:tcPr>
          <w:p w14:paraId="30BE5276"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III</w:t>
            </w:r>
          </w:p>
        </w:tc>
        <w:tc>
          <w:tcPr>
            <w:tcW w:w="319" w:type="pct"/>
            <w:tcBorders>
              <w:top w:val="nil"/>
              <w:left w:val="nil"/>
              <w:bottom w:val="nil"/>
              <w:right w:val="nil"/>
            </w:tcBorders>
            <w:shd w:val="clear" w:color="000000" w:fill="FFFFFF"/>
            <w:noWrap/>
            <w:vAlign w:val="center"/>
            <w:hideMark/>
          </w:tcPr>
          <w:p w14:paraId="106E3B08"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453</w:t>
            </w:r>
          </w:p>
        </w:tc>
        <w:tc>
          <w:tcPr>
            <w:tcW w:w="557" w:type="pct"/>
            <w:tcBorders>
              <w:top w:val="nil"/>
              <w:left w:val="nil"/>
              <w:bottom w:val="nil"/>
              <w:right w:val="nil"/>
            </w:tcBorders>
            <w:shd w:val="clear" w:color="000000" w:fill="FFFFFF"/>
            <w:noWrap/>
            <w:vAlign w:val="center"/>
            <w:hideMark/>
          </w:tcPr>
          <w:p w14:paraId="6FDB644A"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SCLC</w:t>
            </w:r>
          </w:p>
        </w:tc>
        <w:tc>
          <w:tcPr>
            <w:tcW w:w="545" w:type="pct"/>
            <w:tcBorders>
              <w:top w:val="nil"/>
              <w:left w:val="nil"/>
              <w:bottom w:val="nil"/>
              <w:right w:val="nil"/>
            </w:tcBorders>
            <w:shd w:val="clear" w:color="000000" w:fill="FFFFFF"/>
            <w:noWrap/>
            <w:vAlign w:val="center"/>
            <w:hideMark/>
          </w:tcPr>
          <w:p w14:paraId="4EA36889"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Pembrolizumab</w:t>
            </w:r>
          </w:p>
        </w:tc>
        <w:tc>
          <w:tcPr>
            <w:tcW w:w="419" w:type="pct"/>
            <w:tcBorders>
              <w:top w:val="nil"/>
              <w:left w:val="nil"/>
              <w:bottom w:val="nil"/>
              <w:right w:val="nil"/>
            </w:tcBorders>
            <w:shd w:val="clear" w:color="000000" w:fill="FFFFFF"/>
            <w:noWrap/>
            <w:vAlign w:val="center"/>
            <w:hideMark/>
          </w:tcPr>
          <w:p w14:paraId="6DEE4122"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First-line</w:t>
            </w:r>
          </w:p>
        </w:tc>
        <w:tc>
          <w:tcPr>
            <w:tcW w:w="1257" w:type="pct"/>
            <w:tcBorders>
              <w:top w:val="nil"/>
              <w:left w:val="nil"/>
              <w:bottom w:val="nil"/>
              <w:right w:val="nil"/>
            </w:tcBorders>
            <w:shd w:val="clear" w:color="000000" w:fill="FFFFFF"/>
            <w:noWrap/>
            <w:vAlign w:val="center"/>
            <w:hideMark/>
          </w:tcPr>
          <w:p w14:paraId="6845AEBC"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Pembrolizumab plus chemotherapy</w:t>
            </w:r>
          </w:p>
        </w:tc>
        <w:tc>
          <w:tcPr>
            <w:tcW w:w="454" w:type="pct"/>
            <w:tcBorders>
              <w:top w:val="nil"/>
              <w:left w:val="nil"/>
              <w:bottom w:val="nil"/>
              <w:right w:val="nil"/>
            </w:tcBorders>
            <w:shd w:val="clear" w:color="000000" w:fill="FFFFFF"/>
            <w:noWrap/>
            <w:vAlign w:val="center"/>
            <w:hideMark/>
          </w:tcPr>
          <w:p w14:paraId="544D4607"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PFS  and OS</w:t>
            </w:r>
          </w:p>
        </w:tc>
        <w:tc>
          <w:tcPr>
            <w:tcW w:w="397" w:type="pct"/>
            <w:tcBorders>
              <w:top w:val="nil"/>
              <w:left w:val="nil"/>
              <w:bottom w:val="nil"/>
              <w:right w:val="nil"/>
            </w:tcBorders>
            <w:shd w:val="clear" w:color="000000" w:fill="FFFFFF"/>
            <w:noWrap/>
            <w:vAlign w:val="center"/>
            <w:hideMark/>
          </w:tcPr>
          <w:p w14:paraId="33844B51"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NA</w:t>
            </w:r>
          </w:p>
        </w:tc>
      </w:tr>
      <w:tr w:rsidR="00AF4C9E" w:rsidRPr="00AF4C9E" w14:paraId="154FD249" w14:textId="77777777" w:rsidTr="00AF4C9E">
        <w:trPr>
          <w:trHeight w:val="320"/>
        </w:trPr>
        <w:tc>
          <w:tcPr>
            <w:tcW w:w="388" w:type="pct"/>
            <w:tcBorders>
              <w:top w:val="nil"/>
              <w:left w:val="nil"/>
              <w:bottom w:val="nil"/>
              <w:right w:val="nil"/>
            </w:tcBorders>
            <w:shd w:val="clear" w:color="000000" w:fill="FFFFFF"/>
            <w:noWrap/>
            <w:vAlign w:val="center"/>
            <w:hideMark/>
          </w:tcPr>
          <w:p w14:paraId="3ADD1B0D"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OAK</w:t>
            </w:r>
          </w:p>
        </w:tc>
        <w:tc>
          <w:tcPr>
            <w:tcW w:w="134" w:type="pct"/>
            <w:tcBorders>
              <w:top w:val="nil"/>
              <w:left w:val="nil"/>
              <w:bottom w:val="nil"/>
              <w:right w:val="nil"/>
            </w:tcBorders>
            <w:shd w:val="clear" w:color="000000" w:fill="FFFFFF"/>
            <w:noWrap/>
            <w:vAlign w:val="center"/>
            <w:hideMark/>
          </w:tcPr>
          <w:p w14:paraId="4F6388FB"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2017</w:t>
            </w:r>
          </w:p>
        </w:tc>
        <w:tc>
          <w:tcPr>
            <w:tcW w:w="361" w:type="pct"/>
            <w:tcBorders>
              <w:top w:val="nil"/>
              <w:left w:val="nil"/>
              <w:bottom w:val="nil"/>
              <w:right w:val="nil"/>
            </w:tcBorders>
            <w:shd w:val="clear" w:color="000000" w:fill="FFFFFF"/>
            <w:noWrap/>
            <w:vAlign w:val="center"/>
            <w:hideMark/>
          </w:tcPr>
          <w:p w14:paraId="388AD50F"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NCT02008227</w:t>
            </w:r>
          </w:p>
        </w:tc>
        <w:tc>
          <w:tcPr>
            <w:tcW w:w="168" w:type="pct"/>
            <w:tcBorders>
              <w:top w:val="nil"/>
              <w:left w:val="nil"/>
              <w:bottom w:val="nil"/>
              <w:right w:val="nil"/>
            </w:tcBorders>
            <w:shd w:val="clear" w:color="000000" w:fill="FFFFFF"/>
            <w:noWrap/>
            <w:vAlign w:val="center"/>
            <w:hideMark/>
          </w:tcPr>
          <w:p w14:paraId="411C6C0D"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III</w:t>
            </w:r>
          </w:p>
        </w:tc>
        <w:tc>
          <w:tcPr>
            <w:tcW w:w="319" w:type="pct"/>
            <w:tcBorders>
              <w:top w:val="nil"/>
              <w:left w:val="nil"/>
              <w:bottom w:val="nil"/>
              <w:right w:val="nil"/>
            </w:tcBorders>
            <w:shd w:val="clear" w:color="000000" w:fill="FFFFFF"/>
            <w:noWrap/>
            <w:vAlign w:val="center"/>
            <w:hideMark/>
          </w:tcPr>
          <w:p w14:paraId="7A6A1320"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850</w:t>
            </w:r>
          </w:p>
        </w:tc>
        <w:tc>
          <w:tcPr>
            <w:tcW w:w="557" w:type="pct"/>
            <w:tcBorders>
              <w:top w:val="nil"/>
              <w:left w:val="nil"/>
              <w:bottom w:val="nil"/>
              <w:right w:val="nil"/>
            </w:tcBorders>
            <w:shd w:val="clear" w:color="000000" w:fill="FFFFFF"/>
            <w:noWrap/>
            <w:vAlign w:val="center"/>
            <w:hideMark/>
          </w:tcPr>
          <w:p w14:paraId="526C9BC0"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NSCLC</w:t>
            </w:r>
          </w:p>
        </w:tc>
        <w:tc>
          <w:tcPr>
            <w:tcW w:w="545" w:type="pct"/>
            <w:tcBorders>
              <w:top w:val="nil"/>
              <w:left w:val="nil"/>
              <w:bottom w:val="nil"/>
              <w:right w:val="nil"/>
            </w:tcBorders>
            <w:shd w:val="clear" w:color="000000" w:fill="FFFFFF"/>
            <w:noWrap/>
            <w:vAlign w:val="center"/>
            <w:hideMark/>
          </w:tcPr>
          <w:p w14:paraId="2B9FE899"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Atezolizumab</w:t>
            </w:r>
          </w:p>
        </w:tc>
        <w:tc>
          <w:tcPr>
            <w:tcW w:w="419" w:type="pct"/>
            <w:tcBorders>
              <w:top w:val="nil"/>
              <w:left w:val="nil"/>
              <w:bottom w:val="nil"/>
              <w:right w:val="nil"/>
            </w:tcBorders>
            <w:shd w:val="clear" w:color="000000" w:fill="FFFFFF"/>
            <w:noWrap/>
            <w:vAlign w:val="center"/>
            <w:hideMark/>
          </w:tcPr>
          <w:p w14:paraId="30AAF2E0"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Second or above</w:t>
            </w:r>
          </w:p>
        </w:tc>
        <w:tc>
          <w:tcPr>
            <w:tcW w:w="1257" w:type="pct"/>
            <w:tcBorders>
              <w:top w:val="nil"/>
              <w:left w:val="nil"/>
              <w:bottom w:val="nil"/>
              <w:right w:val="nil"/>
            </w:tcBorders>
            <w:shd w:val="clear" w:color="000000" w:fill="FFFFFF"/>
            <w:noWrap/>
            <w:vAlign w:val="center"/>
            <w:hideMark/>
          </w:tcPr>
          <w:p w14:paraId="2934452E"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Monotherapy</w:t>
            </w:r>
          </w:p>
        </w:tc>
        <w:tc>
          <w:tcPr>
            <w:tcW w:w="454" w:type="pct"/>
            <w:tcBorders>
              <w:top w:val="nil"/>
              <w:left w:val="nil"/>
              <w:bottom w:val="nil"/>
              <w:right w:val="nil"/>
            </w:tcBorders>
            <w:shd w:val="clear" w:color="000000" w:fill="FFFFFF"/>
            <w:noWrap/>
            <w:vAlign w:val="center"/>
            <w:hideMark/>
          </w:tcPr>
          <w:p w14:paraId="554ECC54"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OS</w:t>
            </w:r>
          </w:p>
        </w:tc>
        <w:tc>
          <w:tcPr>
            <w:tcW w:w="397" w:type="pct"/>
            <w:tcBorders>
              <w:top w:val="nil"/>
              <w:left w:val="nil"/>
              <w:bottom w:val="nil"/>
              <w:right w:val="nil"/>
            </w:tcBorders>
            <w:shd w:val="clear" w:color="000000" w:fill="FFFFFF"/>
            <w:noWrap/>
            <w:vAlign w:val="center"/>
            <w:hideMark/>
          </w:tcPr>
          <w:p w14:paraId="4B018B75"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21.0</w:t>
            </w:r>
          </w:p>
        </w:tc>
      </w:tr>
      <w:tr w:rsidR="00AF4C9E" w:rsidRPr="00AF4C9E" w14:paraId="51AA5166" w14:textId="77777777" w:rsidTr="00AF4C9E">
        <w:trPr>
          <w:trHeight w:val="320"/>
        </w:trPr>
        <w:tc>
          <w:tcPr>
            <w:tcW w:w="388" w:type="pct"/>
            <w:tcBorders>
              <w:top w:val="nil"/>
              <w:left w:val="nil"/>
              <w:bottom w:val="single" w:sz="4" w:space="0" w:color="auto"/>
              <w:right w:val="nil"/>
            </w:tcBorders>
            <w:shd w:val="clear" w:color="000000" w:fill="FFFFFF"/>
            <w:noWrap/>
            <w:vAlign w:val="center"/>
            <w:hideMark/>
          </w:tcPr>
          <w:p w14:paraId="3242F8A3"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POPLAR</w:t>
            </w:r>
          </w:p>
        </w:tc>
        <w:tc>
          <w:tcPr>
            <w:tcW w:w="134" w:type="pct"/>
            <w:tcBorders>
              <w:top w:val="nil"/>
              <w:left w:val="nil"/>
              <w:bottom w:val="single" w:sz="4" w:space="0" w:color="auto"/>
              <w:right w:val="nil"/>
            </w:tcBorders>
            <w:shd w:val="clear" w:color="000000" w:fill="FFFFFF"/>
            <w:noWrap/>
            <w:vAlign w:val="center"/>
            <w:hideMark/>
          </w:tcPr>
          <w:p w14:paraId="4E494EF2"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2016</w:t>
            </w:r>
          </w:p>
        </w:tc>
        <w:tc>
          <w:tcPr>
            <w:tcW w:w="361" w:type="pct"/>
            <w:tcBorders>
              <w:top w:val="nil"/>
              <w:left w:val="nil"/>
              <w:bottom w:val="single" w:sz="4" w:space="0" w:color="auto"/>
              <w:right w:val="nil"/>
            </w:tcBorders>
            <w:shd w:val="clear" w:color="000000" w:fill="FFFFFF"/>
            <w:noWrap/>
            <w:vAlign w:val="center"/>
            <w:hideMark/>
          </w:tcPr>
          <w:p w14:paraId="6D66698F"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NCT01903993</w:t>
            </w:r>
          </w:p>
        </w:tc>
        <w:tc>
          <w:tcPr>
            <w:tcW w:w="168" w:type="pct"/>
            <w:tcBorders>
              <w:top w:val="nil"/>
              <w:left w:val="nil"/>
              <w:bottom w:val="single" w:sz="4" w:space="0" w:color="auto"/>
              <w:right w:val="nil"/>
            </w:tcBorders>
            <w:shd w:val="clear" w:color="000000" w:fill="FFFFFF"/>
            <w:noWrap/>
            <w:vAlign w:val="center"/>
            <w:hideMark/>
          </w:tcPr>
          <w:p w14:paraId="0CEC9660"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II</w:t>
            </w:r>
          </w:p>
        </w:tc>
        <w:tc>
          <w:tcPr>
            <w:tcW w:w="319" w:type="pct"/>
            <w:tcBorders>
              <w:top w:val="nil"/>
              <w:left w:val="nil"/>
              <w:bottom w:val="single" w:sz="4" w:space="0" w:color="auto"/>
              <w:right w:val="nil"/>
            </w:tcBorders>
            <w:shd w:val="clear" w:color="000000" w:fill="FFFFFF"/>
            <w:noWrap/>
            <w:vAlign w:val="center"/>
            <w:hideMark/>
          </w:tcPr>
          <w:p w14:paraId="6B51AB6D"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287</w:t>
            </w:r>
          </w:p>
        </w:tc>
        <w:tc>
          <w:tcPr>
            <w:tcW w:w="557" w:type="pct"/>
            <w:tcBorders>
              <w:top w:val="nil"/>
              <w:left w:val="nil"/>
              <w:bottom w:val="single" w:sz="4" w:space="0" w:color="auto"/>
              <w:right w:val="nil"/>
            </w:tcBorders>
            <w:shd w:val="clear" w:color="000000" w:fill="FFFFFF"/>
            <w:noWrap/>
            <w:vAlign w:val="center"/>
            <w:hideMark/>
          </w:tcPr>
          <w:p w14:paraId="372A6A89"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NSCLC</w:t>
            </w:r>
          </w:p>
        </w:tc>
        <w:tc>
          <w:tcPr>
            <w:tcW w:w="545" w:type="pct"/>
            <w:tcBorders>
              <w:top w:val="nil"/>
              <w:left w:val="nil"/>
              <w:bottom w:val="single" w:sz="4" w:space="0" w:color="auto"/>
              <w:right w:val="nil"/>
            </w:tcBorders>
            <w:shd w:val="clear" w:color="000000" w:fill="FFFFFF"/>
            <w:noWrap/>
            <w:vAlign w:val="center"/>
            <w:hideMark/>
          </w:tcPr>
          <w:p w14:paraId="7145E002"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Atezolizumab</w:t>
            </w:r>
          </w:p>
        </w:tc>
        <w:tc>
          <w:tcPr>
            <w:tcW w:w="419" w:type="pct"/>
            <w:tcBorders>
              <w:top w:val="nil"/>
              <w:left w:val="nil"/>
              <w:bottom w:val="single" w:sz="4" w:space="0" w:color="auto"/>
              <w:right w:val="nil"/>
            </w:tcBorders>
            <w:shd w:val="clear" w:color="000000" w:fill="FFFFFF"/>
            <w:noWrap/>
            <w:vAlign w:val="center"/>
            <w:hideMark/>
          </w:tcPr>
          <w:p w14:paraId="20AFAF8E"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Second or above</w:t>
            </w:r>
          </w:p>
        </w:tc>
        <w:tc>
          <w:tcPr>
            <w:tcW w:w="1257" w:type="pct"/>
            <w:tcBorders>
              <w:top w:val="nil"/>
              <w:left w:val="nil"/>
              <w:bottom w:val="single" w:sz="4" w:space="0" w:color="auto"/>
              <w:right w:val="nil"/>
            </w:tcBorders>
            <w:shd w:val="clear" w:color="000000" w:fill="FFFFFF"/>
            <w:noWrap/>
            <w:vAlign w:val="center"/>
            <w:hideMark/>
          </w:tcPr>
          <w:p w14:paraId="0EEE93C2"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Monotherapy</w:t>
            </w:r>
          </w:p>
        </w:tc>
        <w:tc>
          <w:tcPr>
            <w:tcW w:w="454" w:type="pct"/>
            <w:tcBorders>
              <w:top w:val="nil"/>
              <w:left w:val="nil"/>
              <w:bottom w:val="single" w:sz="4" w:space="0" w:color="auto"/>
              <w:right w:val="nil"/>
            </w:tcBorders>
            <w:shd w:val="clear" w:color="000000" w:fill="FFFFFF"/>
            <w:noWrap/>
            <w:vAlign w:val="center"/>
            <w:hideMark/>
          </w:tcPr>
          <w:p w14:paraId="71A743A7"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OS</w:t>
            </w:r>
          </w:p>
        </w:tc>
        <w:tc>
          <w:tcPr>
            <w:tcW w:w="397" w:type="pct"/>
            <w:tcBorders>
              <w:top w:val="nil"/>
              <w:left w:val="nil"/>
              <w:bottom w:val="single" w:sz="4" w:space="0" w:color="auto"/>
              <w:right w:val="nil"/>
            </w:tcBorders>
            <w:shd w:val="clear" w:color="000000" w:fill="FFFFFF"/>
            <w:noWrap/>
            <w:vAlign w:val="center"/>
            <w:hideMark/>
          </w:tcPr>
          <w:p w14:paraId="38DB5721" w14:textId="77777777" w:rsidR="00AF4C9E" w:rsidRPr="00AF4C9E" w:rsidRDefault="00AF4C9E" w:rsidP="00AF4C9E">
            <w:pPr>
              <w:rPr>
                <w:rFonts w:ascii="Arial" w:eastAsia="DengXian" w:hAnsi="Arial" w:cs="Arial"/>
                <w:color w:val="000000"/>
                <w:sz w:val="11"/>
                <w:szCs w:val="11"/>
              </w:rPr>
            </w:pPr>
            <w:r w:rsidRPr="00AF4C9E">
              <w:rPr>
                <w:rFonts w:ascii="Arial" w:eastAsia="DengXian" w:hAnsi="Arial" w:cs="Arial"/>
                <w:color w:val="000000"/>
                <w:sz w:val="11"/>
                <w:szCs w:val="11"/>
              </w:rPr>
              <w:t>14.8</w:t>
            </w:r>
          </w:p>
        </w:tc>
      </w:tr>
      <w:tr w:rsidR="00AF4C9E" w:rsidRPr="00AF4C9E" w14:paraId="6C0B8098" w14:textId="77777777" w:rsidTr="00AF4C9E">
        <w:trPr>
          <w:trHeight w:val="320"/>
        </w:trPr>
        <w:tc>
          <w:tcPr>
            <w:tcW w:w="5000" w:type="pct"/>
            <w:gridSpan w:val="11"/>
            <w:tcBorders>
              <w:top w:val="nil"/>
              <w:left w:val="nil"/>
              <w:bottom w:val="nil"/>
              <w:right w:val="nil"/>
            </w:tcBorders>
            <w:shd w:val="clear" w:color="000000" w:fill="FFFFFF"/>
            <w:noWrap/>
            <w:vAlign w:val="center"/>
            <w:hideMark/>
          </w:tcPr>
          <w:p w14:paraId="0E0189AE" w14:textId="77777777" w:rsidR="00AF4C9E" w:rsidRPr="00AF4C9E" w:rsidRDefault="00AF4C9E" w:rsidP="00AF4C9E">
            <w:pPr>
              <w:rPr>
                <w:rFonts w:ascii="Arial" w:eastAsia="DengXian" w:hAnsi="Arial" w:cs="Arial"/>
                <w:color w:val="000000"/>
                <w:sz w:val="10"/>
                <w:szCs w:val="10"/>
              </w:rPr>
            </w:pPr>
            <w:r w:rsidRPr="00AF4C9E">
              <w:rPr>
                <w:rFonts w:ascii="Arial" w:eastAsia="DengXian" w:hAnsi="Arial" w:cs="Arial"/>
                <w:color w:val="000000"/>
                <w:sz w:val="10"/>
                <w:szCs w:val="10"/>
              </w:rPr>
              <w:t>PFS, progression-free survival; OS, overall survival; NA, not applicable.</w:t>
            </w:r>
          </w:p>
        </w:tc>
      </w:tr>
    </w:tbl>
    <w:p w14:paraId="4B0314B5" w14:textId="42BA6E36" w:rsidR="00AF4C9E" w:rsidRPr="00AF4C9E" w:rsidRDefault="00AF4C9E" w:rsidP="00AF4C9E">
      <w:pPr>
        <w:autoSpaceDE w:val="0"/>
        <w:autoSpaceDN w:val="0"/>
        <w:adjustRightInd w:val="0"/>
        <w:snapToGrid w:val="0"/>
        <w:spacing w:after="240" w:line="180" w:lineRule="atLeast"/>
        <w:contextualSpacing/>
        <w:rPr>
          <w:rFonts w:ascii="Arial" w:hAnsi="Arial" w:cs="Arial"/>
          <w:b/>
          <w:sz w:val="22"/>
          <w:szCs w:val="22"/>
        </w:rPr>
      </w:pPr>
    </w:p>
    <w:p w14:paraId="64C87529" w14:textId="794387E6" w:rsidR="00AF4C9E" w:rsidRPr="00AF4C9E" w:rsidRDefault="00AF4C9E" w:rsidP="005C3925">
      <w:pPr>
        <w:autoSpaceDE w:val="0"/>
        <w:autoSpaceDN w:val="0"/>
        <w:adjustRightInd w:val="0"/>
        <w:snapToGrid w:val="0"/>
        <w:spacing w:line="360" w:lineRule="auto"/>
        <w:contextualSpacing/>
        <w:rPr>
          <w:rFonts w:ascii="Arial" w:hAnsi="Arial" w:cs="Arial"/>
          <w:b/>
          <w:sz w:val="22"/>
          <w:szCs w:val="22"/>
        </w:rPr>
      </w:pPr>
      <w:r w:rsidRPr="00AF4C9E">
        <w:rPr>
          <w:rFonts w:ascii="Arial" w:hAnsi="Arial" w:cs="Arial"/>
          <w:b/>
          <w:sz w:val="22"/>
          <w:szCs w:val="22"/>
        </w:rPr>
        <w:br w:type="page"/>
      </w:r>
    </w:p>
    <w:p w14:paraId="6EB8598E" w14:textId="77777777" w:rsidR="00AF4C9E" w:rsidRPr="00AF4C9E" w:rsidRDefault="00AF4C9E" w:rsidP="005C3925">
      <w:pPr>
        <w:autoSpaceDE w:val="0"/>
        <w:autoSpaceDN w:val="0"/>
        <w:adjustRightInd w:val="0"/>
        <w:snapToGrid w:val="0"/>
        <w:spacing w:line="360" w:lineRule="auto"/>
        <w:contextualSpacing/>
        <w:rPr>
          <w:rFonts w:ascii="Arial" w:hAnsi="Arial" w:cs="Arial"/>
          <w:b/>
          <w:sz w:val="22"/>
          <w:szCs w:val="22"/>
        </w:rPr>
        <w:sectPr w:rsidR="00AF4C9E" w:rsidRPr="00AF4C9E" w:rsidSect="00AF4C9E">
          <w:pgSz w:w="16820" w:h="11900" w:orient="landscape"/>
          <w:pgMar w:top="1800" w:right="1440" w:bottom="1800" w:left="1440" w:header="851" w:footer="992" w:gutter="0"/>
          <w:cols w:space="425"/>
          <w:docGrid w:type="lines" w:linePitch="326"/>
        </w:sectPr>
      </w:pPr>
    </w:p>
    <w:tbl>
      <w:tblPr>
        <w:tblW w:w="14840" w:type="dxa"/>
        <w:tblLook w:val="04A0" w:firstRow="1" w:lastRow="0" w:firstColumn="1" w:lastColumn="0" w:noHBand="0" w:noVBand="1"/>
      </w:tblPr>
      <w:tblGrid>
        <w:gridCol w:w="1838"/>
        <w:gridCol w:w="2038"/>
        <w:gridCol w:w="1768"/>
        <w:gridCol w:w="1647"/>
        <w:gridCol w:w="2117"/>
        <w:gridCol w:w="1699"/>
        <w:gridCol w:w="1906"/>
        <w:gridCol w:w="1827"/>
      </w:tblGrid>
      <w:tr w:rsidR="006B2420" w:rsidRPr="006B2420" w14:paraId="02DB96A0" w14:textId="77777777" w:rsidTr="006B2420">
        <w:trPr>
          <w:trHeight w:val="315"/>
        </w:trPr>
        <w:tc>
          <w:tcPr>
            <w:tcW w:w="14840" w:type="dxa"/>
            <w:gridSpan w:val="8"/>
            <w:tcBorders>
              <w:top w:val="nil"/>
              <w:left w:val="nil"/>
              <w:bottom w:val="single" w:sz="4" w:space="0" w:color="auto"/>
              <w:right w:val="nil"/>
            </w:tcBorders>
            <w:shd w:val="clear" w:color="000000" w:fill="FFFFFF"/>
            <w:noWrap/>
            <w:vAlign w:val="center"/>
            <w:hideMark/>
          </w:tcPr>
          <w:p w14:paraId="77C605DB" w14:textId="77777777" w:rsidR="006B2420" w:rsidRPr="006B2420" w:rsidRDefault="006B2420" w:rsidP="006B2420">
            <w:pPr>
              <w:rPr>
                <w:rFonts w:ascii="Arial" w:eastAsia="Times New Roman" w:hAnsi="Arial" w:cs="Arial"/>
                <w:b/>
                <w:bCs/>
                <w:color w:val="000000"/>
                <w:sz w:val="20"/>
                <w:szCs w:val="20"/>
                <w:lang w:eastAsia="en-US"/>
              </w:rPr>
            </w:pPr>
            <w:r w:rsidRPr="006B2420">
              <w:rPr>
                <w:rFonts w:ascii="Arial" w:eastAsia="Times New Roman" w:hAnsi="Arial" w:cs="Arial"/>
                <w:b/>
                <w:bCs/>
                <w:color w:val="000000"/>
                <w:sz w:val="20"/>
                <w:szCs w:val="20"/>
                <w:lang w:eastAsia="en-US"/>
              </w:rPr>
              <w:lastRenderedPageBreak/>
              <w:t>Supplemental Table S3. The methodologic quality assessment for each included study.</w:t>
            </w:r>
          </w:p>
        </w:tc>
      </w:tr>
      <w:tr w:rsidR="006B2420" w:rsidRPr="006B2420" w14:paraId="78C98616" w14:textId="77777777" w:rsidTr="006B2420">
        <w:trPr>
          <w:trHeight w:val="510"/>
        </w:trPr>
        <w:tc>
          <w:tcPr>
            <w:tcW w:w="1838" w:type="dxa"/>
            <w:tcBorders>
              <w:top w:val="nil"/>
              <w:left w:val="nil"/>
              <w:bottom w:val="single" w:sz="4" w:space="0" w:color="auto"/>
              <w:right w:val="nil"/>
            </w:tcBorders>
            <w:shd w:val="clear" w:color="000000" w:fill="FFFFFF"/>
            <w:noWrap/>
            <w:vAlign w:val="center"/>
            <w:hideMark/>
          </w:tcPr>
          <w:p w14:paraId="3D2E398A" w14:textId="77777777" w:rsidR="006B2420" w:rsidRPr="006B2420" w:rsidRDefault="006B2420" w:rsidP="006B2420">
            <w:pPr>
              <w:rPr>
                <w:rFonts w:ascii="Arial" w:eastAsia="Times New Roman" w:hAnsi="Arial" w:cs="Arial"/>
                <w:b/>
                <w:bCs/>
                <w:color w:val="000000"/>
                <w:sz w:val="20"/>
                <w:szCs w:val="20"/>
                <w:lang w:eastAsia="en-US"/>
              </w:rPr>
            </w:pPr>
            <w:r w:rsidRPr="006B2420">
              <w:rPr>
                <w:rFonts w:ascii="Arial" w:eastAsia="Times New Roman" w:hAnsi="Arial" w:cs="Arial"/>
                <w:b/>
                <w:bCs/>
                <w:color w:val="000000"/>
                <w:sz w:val="20"/>
                <w:szCs w:val="20"/>
                <w:lang w:eastAsia="en-US"/>
              </w:rPr>
              <w:t>Trial ID</w:t>
            </w:r>
          </w:p>
        </w:tc>
        <w:tc>
          <w:tcPr>
            <w:tcW w:w="2038" w:type="dxa"/>
            <w:tcBorders>
              <w:top w:val="nil"/>
              <w:left w:val="nil"/>
              <w:bottom w:val="single" w:sz="4" w:space="0" w:color="auto"/>
              <w:right w:val="nil"/>
            </w:tcBorders>
            <w:shd w:val="clear" w:color="000000" w:fill="FFFFFF"/>
            <w:vAlign w:val="center"/>
            <w:hideMark/>
          </w:tcPr>
          <w:p w14:paraId="31622C91" w14:textId="77777777" w:rsidR="006B2420" w:rsidRPr="006B2420" w:rsidRDefault="006B2420" w:rsidP="006B2420">
            <w:pPr>
              <w:rPr>
                <w:rFonts w:ascii="Arial" w:eastAsia="Times New Roman" w:hAnsi="Arial" w:cs="Arial"/>
                <w:b/>
                <w:bCs/>
                <w:color w:val="000000"/>
                <w:sz w:val="20"/>
                <w:szCs w:val="20"/>
                <w:lang w:eastAsia="en-US"/>
              </w:rPr>
            </w:pPr>
            <w:r w:rsidRPr="006B2420">
              <w:rPr>
                <w:rFonts w:ascii="Arial" w:eastAsia="Times New Roman" w:hAnsi="Arial" w:cs="Arial"/>
                <w:b/>
                <w:bCs/>
                <w:color w:val="000000"/>
                <w:sz w:val="20"/>
                <w:szCs w:val="20"/>
                <w:lang w:eastAsia="en-US"/>
              </w:rPr>
              <w:t>Random sequence generation</w:t>
            </w:r>
          </w:p>
        </w:tc>
        <w:tc>
          <w:tcPr>
            <w:tcW w:w="1768" w:type="dxa"/>
            <w:tcBorders>
              <w:top w:val="nil"/>
              <w:left w:val="nil"/>
              <w:bottom w:val="single" w:sz="4" w:space="0" w:color="auto"/>
              <w:right w:val="nil"/>
            </w:tcBorders>
            <w:shd w:val="clear" w:color="000000" w:fill="FFFFFF"/>
            <w:vAlign w:val="center"/>
            <w:hideMark/>
          </w:tcPr>
          <w:p w14:paraId="1E548175" w14:textId="77777777" w:rsidR="006B2420" w:rsidRPr="006B2420" w:rsidRDefault="006B2420" w:rsidP="006B2420">
            <w:pPr>
              <w:rPr>
                <w:rFonts w:ascii="Arial" w:eastAsia="Times New Roman" w:hAnsi="Arial" w:cs="Arial"/>
                <w:b/>
                <w:bCs/>
                <w:color w:val="000000"/>
                <w:sz w:val="20"/>
                <w:szCs w:val="20"/>
                <w:lang w:eastAsia="en-US"/>
              </w:rPr>
            </w:pPr>
            <w:r w:rsidRPr="006B2420">
              <w:rPr>
                <w:rFonts w:ascii="Arial" w:eastAsia="Times New Roman" w:hAnsi="Arial" w:cs="Arial"/>
                <w:b/>
                <w:bCs/>
                <w:color w:val="000000"/>
                <w:sz w:val="20"/>
                <w:szCs w:val="20"/>
                <w:lang w:eastAsia="en-US"/>
              </w:rPr>
              <w:t>Allocation concealment</w:t>
            </w:r>
          </w:p>
        </w:tc>
        <w:tc>
          <w:tcPr>
            <w:tcW w:w="1647" w:type="dxa"/>
            <w:tcBorders>
              <w:top w:val="nil"/>
              <w:left w:val="nil"/>
              <w:bottom w:val="single" w:sz="4" w:space="0" w:color="auto"/>
              <w:right w:val="nil"/>
            </w:tcBorders>
            <w:shd w:val="clear" w:color="000000" w:fill="FFFFFF"/>
            <w:vAlign w:val="center"/>
            <w:hideMark/>
          </w:tcPr>
          <w:p w14:paraId="2AF7239F" w14:textId="77777777" w:rsidR="006B2420" w:rsidRPr="006B2420" w:rsidRDefault="006B2420" w:rsidP="006B2420">
            <w:pPr>
              <w:rPr>
                <w:rFonts w:ascii="Arial" w:eastAsia="Times New Roman" w:hAnsi="Arial" w:cs="Arial"/>
                <w:b/>
                <w:bCs/>
                <w:color w:val="000000"/>
                <w:sz w:val="20"/>
                <w:szCs w:val="20"/>
                <w:lang w:eastAsia="en-US"/>
              </w:rPr>
            </w:pPr>
            <w:r w:rsidRPr="006B2420">
              <w:rPr>
                <w:rFonts w:ascii="Arial" w:eastAsia="Times New Roman" w:hAnsi="Arial" w:cs="Arial"/>
                <w:b/>
                <w:bCs/>
                <w:color w:val="000000"/>
                <w:sz w:val="20"/>
                <w:szCs w:val="20"/>
                <w:lang w:eastAsia="en-US"/>
              </w:rPr>
              <w:t xml:space="preserve">Blinding of participants   </w:t>
            </w:r>
          </w:p>
        </w:tc>
        <w:tc>
          <w:tcPr>
            <w:tcW w:w="2117" w:type="dxa"/>
            <w:tcBorders>
              <w:top w:val="nil"/>
              <w:left w:val="nil"/>
              <w:bottom w:val="single" w:sz="4" w:space="0" w:color="auto"/>
              <w:right w:val="nil"/>
            </w:tcBorders>
            <w:shd w:val="clear" w:color="000000" w:fill="FFFFFF"/>
            <w:vAlign w:val="center"/>
            <w:hideMark/>
          </w:tcPr>
          <w:p w14:paraId="661E547D" w14:textId="77777777" w:rsidR="006B2420" w:rsidRPr="006B2420" w:rsidRDefault="006B2420" w:rsidP="006B2420">
            <w:pPr>
              <w:rPr>
                <w:rFonts w:ascii="Arial" w:eastAsia="Times New Roman" w:hAnsi="Arial" w:cs="Arial"/>
                <w:b/>
                <w:bCs/>
                <w:color w:val="000000"/>
                <w:sz w:val="20"/>
                <w:szCs w:val="20"/>
                <w:lang w:eastAsia="en-US"/>
              </w:rPr>
            </w:pPr>
            <w:r w:rsidRPr="006B2420">
              <w:rPr>
                <w:rFonts w:ascii="Arial" w:eastAsia="Times New Roman" w:hAnsi="Arial" w:cs="Arial"/>
                <w:b/>
                <w:bCs/>
                <w:color w:val="000000"/>
                <w:sz w:val="20"/>
                <w:szCs w:val="20"/>
                <w:lang w:eastAsia="en-US"/>
              </w:rPr>
              <w:t>Blinding of outcome assessment</w:t>
            </w:r>
          </w:p>
        </w:tc>
        <w:tc>
          <w:tcPr>
            <w:tcW w:w="1699" w:type="dxa"/>
            <w:tcBorders>
              <w:top w:val="nil"/>
              <w:left w:val="nil"/>
              <w:bottom w:val="single" w:sz="4" w:space="0" w:color="auto"/>
              <w:right w:val="nil"/>
            </w:tcBorders>
            <w:shd w:val="clear" w:color="000000" w:fill="FFFFFF"/>
            <w:vAlign w:val="center"/>
            <w:hideMark/>
          </w:tcPr>
          <w:p w14:paraId="349C356C" w14:textId="77777777" w:rsidR="006B2420" w:rsidRPr="006B2420" w:rsidRDefault="006B2420" w:rsidP="006B2420">
            <w:pPr>
              <w:rPr>
                <w:rFonts w:ascii="Arial" w:eastAsia="Times New Roman" w:hAnsi="Arial" w:cs="Arial"/>
                <w:b/>
                <w:bCs/>
                <w:color w:val="000000"/>
                <w:sz w:val="20"/>
                <w:szCs w:val="20"/>
                <w:lang w:eastAsia="en-US"/>
              </w:rPr>
            </w:pPr>
            <w:r w:rsidRPr="006B2420">
              <w:rPr>
                <w:rFonts w:ascii="Arial" w:eastAsia="Times New Roman" w:hAnsi="Arial" w:cs="Arial"/>
                <w:b/>
                <w:bCs/>
                <w:color w:val="000000"/>
                <w:sz w:val="20"/>
                <w:szCs w:val="20"/>
                <w:lang w:eastAsia="en-US"/>
              </w:rPr>
              <w:t>Incomplete outcome data</w:t>
            </w:r>
          </w:p>
        </w:tc>
        <w:tc>
          <w:tcPr>
            <w:tcW w:w="1906" w:type="dxa"/>
            <w:tcBorders>
              <w:top w:val="nil"/>
              <w:left w:val="nil"/>
              <w:bottom w:val="single" w:sz="4" w:space="0" w:color="auto"/>
              <w:right w:val="nil"/>
            </w:tcBorders>
            <w:shd w:val="clear" w:color="000000" w:fill="FFFFFF"/>
            <w:vAlign w:val="center"/>
            <w:hideMark/>
          </w:tcPr>
          <w:p w14:paraId="67BA4D4B" w14:textId="77777777" w:rsidR="006B2420" w:rsidRPr="006B2420" w:rsidRDefault="006B2420" w:rsidP="006B2420">
            <w:pPr>
              <w:rPr>
                <w:rFonts w:ascii="Arial" w:eastAsia="Times New Roman" w:hAnsi="Arial" w:cs="Arial"/>
                <w:b/>
                <w:bCs/>
                <w:color w:val="000000"/>
                <w:sz w:val="20"/>
                <w:szCs w:val="20"/>
                <w:lang w:eastAsia="en-US"/>
              </w:rPr>
            </w:pPr>
            <w:r w:rsidRPr="006B2420">
              <w:rPr>
                <w:rFonts w:ascii="Arial" w:eastAsia="Times New Roman" w:hAnsi="Arial" w:cs="Arial"/>
                <w:b/>
                <w:bCs/>
                <w:color w:val="000000"/>
                <w:sz w:val="20"/>
                <w:szCs w:val="20"/>
                <w:lang w:eastAsia="en-US"/>
              </w:rPr>
              <w:t>Selective outcome reporting</w:t>
            </w:r>
          </w:p>
        </w:tc>
        <w:tc>
          <w:tcPr>
            <w:tcW w:w="1827" w:type="dxa"/>
            <w:tcBorders>
              <w:top w:val="nil"/>
              <w:left w:val="nil"/>
              <w:bottom w:val="single" w:sz="4" w:space="0" w:color="auto"/>
              <w:right w:val="nil"/>
            </w:tcBorders>
            <w:shd w:val="clear" w:color="000000" w:fill="FFFFFF"/>
            <w:vAlign w:val="center"/>
            <w:hideMark/>
          </w:tcPr>
          <w:p w14:paraId="71342703" w14:textId="77777777" w:rsidR="006B2420" w:rsidRPr="006B2420" w:rsidRDefault="006B2420" w:rsidP="006B2420">
            <w:pPr>
              <w:rPr>
                <w:rFonts w:ascii="Arial" w:eastAsia="Times New Roman" w:hAnsi="Arial" w:cs="Arial"/>
                <w:b/>
                <w:bCs/>
                <w:color w:val="000000"/>
                <w:sz w:val="20"/>
                <w:szCs w:val="20"/>
                <w:lang w:eastAsia="en-US"/>
              </w:rPr>
            </w:pPr>
            <w:r w:rsidRPr="006B2420">
              <w:rPr>
                <w:rFonts w:ascii="Arial" w:eastAsia="Times New Roman" w:hAnsi="Arial" w:cs="Arial"/>
                <w:b/>
                <w:bCs/>
                <w:color w:val="000000"/>
                <w:sz w:val="20"/>
                <w:szCs w:val="20"/>
                <w:lang w:eastAsia="en-US"/>
              </w:rPr>
              <w:t>Other potential threats to validity</w:t>
            </w:r>
          </w:p>
        </w:tc>
      </w:tr>
      <w:tr w:rsidR="006B2420" w:rsidRPr="006B2420" w14:paraId="348F5C7A" w14:textId="77777777" w:rsidTr="006B2420">
        <w:trPr>
          <w:trHeight w:val="315"/>
        </w:trPr>
        <w:tc>
          <w:tcPr>
            <w:tcW w:w="1838" w:type="dxa"/>
            <w:tcBorders>
              <w:top w:val="nil"/>
              <w:left w:val="nil"/>
              <w:bottom w:val="nil"/>
              <w:right w:val="nil"/>
            </w:tcBorders>
            <w:shd w:val="clear" w:color="000000" w:fill="FFFFFF"/>
            <w:noWrap/>
            <w:vAlign w:val="center"/>
            <w:hideMark/>
          </w:tcPr>
          <w:p w14:paraId="6629FEB0"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CheckMate 017</w:t>
            </w:r>
          </w:p>
        </w:tc>
        <w:tc>
          <w:tcPr>
            <w:tcW w:w="2038" w:type="dxa"/>
            <w:tcBorders>
              <w:top w:val="nil"/>
              <w:left w:val="nil"/>
              <w:bottom w:val="nil"/>
              <w:right w:val="nil"/>
            </w:tcBorders>
            <w:shd w:val="clear" w:color="000000" w:fill="FFFFFF"/>
            <w:noWrap/>
            <w:vAlign w:val="center"/>
            <w:hideMark/>
          </w:tcPr>
          <w:p w14:paraId="741C9A26"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768" w:type="dxa"/>
            <w:tcBorders>
              <w:top w:val="nil"/>
              <w:left w:val="nil"/>
              <w:bottom w:val="nil"/>
              <w:right w:val="nil"/>
            </w:tcBorders>
            <w:shd w:val="clear" w:color="000000" w:fill="FFFFFF"/>
            <w:noWrap/>
            <w:vAlign w:val="center"/>
            <w:hideMark/>
          </w:tcPr>
          <w:p w14:paraId="08529972"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47" w:type="dxa"/>
            <w:tcBorders>
              <w:top w:val="nil"/>
              <w:left w:val="nil"/>
              <w:bottom w:val="nil"/>
              <w:right w:val="nil"/>
            </w:tcBorders>
            <w:shd w:val="clear" w:color="000000" w:fill="FFFFFF"/>
            <w:noWrap/>
            <w:vAlign w:val="center"/>
            <w:hideMark/>
          </w:tcPr>
          <w:p w14:paraId="63D564C8"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2117" w:type="dxa"/>
            <w:tcBorders>
              <w:top w:val="nil"/>
              <w:left w:val="nil"/>
              <w:bottom w:val="nil"/>
              <w:right w:val="nil"/>
            </w:tcBorders>
            <w:shd w:val="clear" w:color="000000" w:fill="FFFFFF"/>
            <w:noWrap/>
            <w:vAlign w:val="center"/>
            <w:hideMark/>
          </w:tcPr>
          <w:p w14:paraId="0C88399B"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99" w:type="dxa"/>
            <w:tcBorders>
              <w:top w:val="nil"/>
              <w:left w:val="nil"/>
              <w:bottom w:val="nil"/>
              <w:right w:val="nil"/>
            </w:tcBorders>
            <w:shd w:val="clear" w:color="000000" w:fill="FFFFFF"/>
            <w:noWrap/>
            <w:vAlign w:val="center"/>
            <w:hideMark/>
          </w:tcPr>
          <w:p w14:paraId="6116A6D4"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906" w:type="dxa"/>
            <w:tcBorders>
              <w:top w:val="nil"/>
              <w:left w:val="nil"/>
              <w:bottom w:val="nil"/>
              <w:right w:val="nil"/>
            </w:tcBorders>
            <w:shd w:val="clear" w:color="000000" w:fill="FFFFFF"/>
            <w:noWrap/>
            <w:vAlign w:val="center"/>
            <w:hideMark/>
          </w:tcPr>
          <w:p w14:paraId="3D0B03B5"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827" w:type="dxa"/>
            <w:tcBorders>
              <w:top w:val="nil"/>
              <w:left w:val="nil"/>
              <w:bottom w:val="nil"/>
              <w:right w:val="nil"/>
            </w:tcBorders>
            <w:shd w:val="clear" w:color="000000" w:fill="FFFFFF"/>
            <w:noWrap/>
            <w:vAlign w:val="center"/>
            <w:hideMark/>
          </w:tcPr>
          <w:p w14:paraId="6A9A17C9"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r>
      <w:tr w:rsidR="006B2420" w:rsidRPr="006B2420" w14:paraId="0918A1A5" w14:textId="77777777" w:rsidTr="006B2420">
        <w:trPr>
          <w:trHeight w:val="315"/>
        </w:trPr>
        <w:tc>
          <w:tcPr>
            <w:tcW w:w="1838" w:type="dxa"/>
            <w:tcBorders>
              <w:top w:val="nil"/>
              <w:left w:val="nil"/>
              <w:bottom w:val="nil"/>
              <w:right w:val="nil"/>
            </w:tcBorders>
            <w:shd w:val="clear" w:color="000000" w:fill="FFFFFF"/>
            <w:noWrap/>
            <w:vAlign w:val="center"/>
            <w:hideMark/>
          </w:tcPr>
          <w:p w14:paraId="7ADB81B8"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CheckMate 057</w:t>
            </w:r>
          </w:p>
        </w:tc>
        <w:tc>
          <w:tcPr>
            <w:tcW w:w="2038" w:type="dxa"/>
            <w:tcBorders>
              <w:top w:val="nil"/>
              <w:left w:val="nil"/>
              <w:bottom w:val="nil"/>
              <w:right w:val="nil"/>
            </w:tcBorders>
            <w:shd w:val="clear" w:color="000000" w:fill="FFFFFF"/>
            <w:noWrap/>
            <w:vAlign w:val="center"/>
            <w:hideMark/>
          </w:tcPr>
          <w:p w14:paraId="520C6209"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768" w:type="dxa"/>
            <w:tcBorders>
              <w:top w:val="nil"/>
              <w:left w:val="nil"/>
              <w:bottom w:val="nil"/>
              <w:right w:val="nil"/>
            </w:tcBorders>
            <w:shd w:val="clear" w:color="000000" w:fill="FFFFFF"/>
            <w:noWrap/>
            <w:vAlign w:val="center"/>
            <w:hideMark/>
          </w:tcPr>
          <w:p w14:paraId="4019C637"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47" w:type="dxa"/>
            <w:tcBorders>
              <w:top w:val="nil"/>
              <w:left w:val="nil"/>
              <w:bottom w:val="nil"/>
              <w:right w:val="nil"/>
            </w:tcBorders>
            <w:shd w:val="clear" w:color="000000" w:fill="FFFFFF"/>
            <w:noWrap/>
            <w:vAlign w:val="center"/>
            <w:hideMark/>
          </w:tcPr>
          <w:p w14:paraId="37D608BE"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2117" w:type="dxa"/>
            <w:tcBorders>
              <w:top w:val="nil"/>
              <w:left w:val="nil"/>
              <w:bottom w:val="nil"/>
              <w:right w:val="nil"/>
            </w:tcBorders>
            <w:shd w:val="clear" w:color="000000" w:fill="FFFFFF"/>
            <w:noWrap/>
            <w:vAlign w:val="center"/>
            <w:hideMark/>
          </w:tcPr>
          <w:p w14:paraId="291A35EB"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99" w:type="dxa"/>
            <w:tcBorders>
              <w:top w:val="nil"/>
              <w:left w:val="nil"/>
              <w:bottom w:val="nil"/>
              <w:right w:val="nil"/>
            </w:tcBorders>
            <w:shd w:val="clear" w:color="000000" w:fill="FFFFFF"/>
            <w:noWrap/>
            <w:vAlign w:val="center"/>
            <w:hideMark/>
          </w:tcPr>
          <w:p w14:paraId="6D934A7D"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906" w:type="dxa"/>
            <w:tcBorders>
              <w:top w:val="nil"/>
              <w:left w:val="nil"/>
              <w:bottom w:val="nil"/>
              <w:right w:val="nil"/>
            </w:tcBorders>
            <w:shd w:val="clear" w:color="000000" w:fill="FFFFFF"/>
            <w:noWrap/>
            <w:vAlign w:val="center"/>
            <w:hideMark/>
          </w:tcPr>
          <w:p w14:paraId="469DA09C"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827" w:type="dxa"/>
            <w:tcBorders>
              <w:top w:val="nil"/>
              <w:left w:val="nil"/>
              <w:bottom w:val="nil"/>
              <w:right w:val="nil"/>
            </w:tcBorders>
            <w:shd w:val="clear" w:color="000000" w:fill="FFFFFF"/>
            <w:noWrap/>
            <w:vAlign w:val="center"/>
            <w:hideMark/>
          </w:tcPr>
          <w:p w14:paraId="28275C9C"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r>
      <w:tr w:rsidR="006B2420" w:rsidRPr="006B2420" w14:paraId="12C42C8A" w14:textId="77777777" w:rsidTr="006B2420">
        <w:trPr>
          <w:trHeight w:val="315"/>
        </w:trPr>
        <w:tc>
          <w:tcPr>
            <w:tcW w:w="1838" w:type="dxa"/>
            <w:tcBorders>
              <w:top w:val="nil"/>
              <w:left w:val="nil"/>
              <w:bottom w:val="nil"/>
              <w:right w:val="nil"/>
            </w:tcBorders>
            <w:shd w:val="clear" w:color="000000" w:fill="FFFFFF"/>
            <w:noWrap/>
            <w:vAlign w:val="center"/>
            <w:hideMark/>
          </w:tcPr>
          <w:p w14:paraId="10FDE9AC"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IMpower130</w:t>
            </w:r>
          </w:p>
        </w:tc>
        <w:tc>
          <w:tcPr>
            <w:tcW w:w="2038" w:type="dxa"/>
            <w:tcBorders>
              <w:top w:val="nil"/>
              <w:left w:val="nil"/>
              <w:bottom w:val="nil"/>
              <w:right w:val="nil"/>
            </w:tcBorders>
            <w:shd w:val="clear" w:color="000000" w:fill="FFFFFF"/>
            <w:noWrap/>
            <w:vAlign w:val="center"/>
            <w:hideMark/>
          </w:tcPr>
          <w:p w14:paraId="77FA1DD5"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768" w:type="dxa"/>
            <w:tcBorders>
              <w:top w:val="nil"/>
              <w:left w:val="nil"/>
              <w:bottom w:val="nil"/>
              <w:right w:val="nil"/>
            </w:tcBorders>
            <w:shd w:val="clear" w:color="000000" w:fill="FFFFFF"/>
            <w:noWrap/>
            <w:vAlign w:val="center"/>
            <w:hideMark/>
          </w:tcPr>
          <w:p w14:paraId="515776FA"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47" w:type="dxa"/>
            <w:tcBorders>
              <w:top w:val="nil"/>
              <w:left w:val="nil"/>
              <w:bottom w:val="nil"/>
              <w:right w:val="nil"/>
            </w:tcBorders>
            <w:shd w:val="clear" w:color="000000" w:fill="FFFFFF"/>
            <w:noWrap/>
            <w:vAlign w:val="center"/>
            <w:hideMark/>
          </w:tcPr>
          <w:p w14:paraId="237C45BD"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2117" w:type="dxa"/>
            <w:tcBorders>
              <w:top w:val="nil"/>
              <w:left w:val="nil"/>
              <w:bottom w:val="nil"/>
              <w:right w:val="nil"/>
            </w:tcBorders>
            <w:shd w:val="clear" w:color="000000" w:fill="FFFFFF"/>
            <w:noWrap/>
            <w:vAlign w:val="center"/>
            <w:hideMark/>
          </w:tcPr>
          <w:p w14:paraId="718C333B"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99" w:type="dxa"/>
            <w:tcBorders>
              <w:top w:val="nil"/>
              <w:left w:val="nil"/>
              <w:bottom w:val="nil"/>
              <w:right w:val="nil"/>
            </w:tcBorders>
            <w:shd w:val="clear" w:color="000000" w:fill="FFFFFF"/>
            <w:noWrap/>
            <w:vAlign w:val="center"/>
            <w:hideMark/>
          </w:tcPr>
          <w:p w14:paraId="2A965AE4"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906" w:type="dxa"/>
            <w:tcBorders>
              <w:top w:val="nil"/>
              <w:left w:val="nil"/>
              <w:bottom w:val="nil"/>
              <w:right w:val="nil"/>
            </w:tcBorders>
            <w:shd w:val="clear" w:color="000000" w:fill="FFFFFF"/>
            <w:noWrap/>
            <w:vAlign w:val="center"/>
            <w:hideMark/>
          </w:tcPr>
          <w:p w14:paraId="6529AB6D"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827" w:type="dxa"/>
            <w:tcBorders>
              <w:top w:val="nil"/>
              <w:left w:val="nil"/>
              <w:bottom w:val="nil"/>
              <w:right w:val="nil"/>
            </w:tcBorders>
            <w:shd w:val="clear" w:color="000000" w:fill="FFFFFF"/>
            <w:noWrap/>
            <w:vAlign w:val="center"/>
            <w:hideMark/>
          </w:tcPr>
          <w:p w14:paraId="0AA26332"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r>
      <w:tr w:rsidR="006B2420" w:rsidRPr="006B2420" w14:paraId="5D51B5E1" w14:textId="77777777" w:rsidTr="006B2420">
        <w:trPr>
          <w:trHeight w:val="315"/>
        </w:trPr>
        <w:tc>
          <w:tcPr>
            <w:tcW w:w="1838" w:type="dxa"/>
            <w:tcBorders>
              <w:top w:val="nil"/>
              <w:left w:val="nil"/>
              <w:bottom w:val="nil"/>
              <w:right w:val="nil"/>
            </w:tcBorders>
            <w:shd w:val="clear" w:color="000000" w:fill="FFFFFF"/>
            <w:noWrap/>
            <w:vAlign w:val="center"/>
            <w:hideMark/>
          </w:tcPr>
          <w:p w14:paraId="0AED6687"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IMpower131</w:t>
            </w:r>
          </w:p>
        </w:tc>
        <w:tc>
          <w:tcPr>
            <w:tcW w:w="2038" w:type="dxa"/>
            <w:tcBorders>
              <w:top w:val="nil"/>
              <w:left w:val="nil"/>
              <w:bottom w:val="nil"/>
              <w:right w:val="nil"/>
            </w:tcBorders>
            <w:shd w:val="clear" w:color="000000" w:fill="FFFFFF"/>
            <w:noWrap/>
            <w:vAlign w:val="center"/>
            <w:hideMark/>
          </w:tcPr>
          <w:p w14:paraId="50830BF4"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768" w:type="dxa"/>
            <w:tcBorders>
              <w:top w:val="nil"/>
              <w:left w:val="nil"/>
              <w:bottom w:val="nil"/>
              <w:right w:val="nil"/>
            </w:tcBorders>
            <w:shd w:val="clear" w:color="000000" w:fill="FFFFFF"/>
            <w:noWrap/>
            <w:vAlign w:val="center"/>
            <w:hideMark/>
          </w:tcPr>
          <w:p w14:paraId="4E6E7159"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47" w:type="dxa"/>
            <w:tcBorders>
              <w:top w:val="nil"/>
              <w:left w:val="nil"/>
              <w:bottom w:val="nil"/>
              <w:right w:val="nil"/>
            </w:tcBorders>
            <w:shd w:val="clear" w:color="000000" w:fill="FFFFFF"/>
            <w:noWrap/>
            <w:vAlign w:val="center"/>
            <w:hideMark/>
          </w:tcPr>
          <w:p w14:paraId="7DFF37C6"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2117" w:type="dxa"/>
            <w:tcBorders>
              <w:top w:val="nil"/>
              <w:left w:val="nil"/>
              <w:bottom w:val="nil"/>
              <w:right w:val="nil"/>
            </w:tcBorders>
            <w:shd w:val="clear" w:color="000000" w:fill="FFFFFF"/>
            <w:noWrap/>
            <w:vAlign w:val="center"/>
            <w:hideMark/>
          </w:tcPr>
          <w:p w14:paraId="430B9BF8"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99" w:type="dxa"/>
            <w:tcBorders>
              <w:top w:val="nil"/>
              <w:left w:val="nil"/>
              <w:bottom w:val="nil"/>
              <w:right w:val="nil"/>
            </w:tcBorders>
            <w:shd w:val="clear" w:color="000000" w:fill="FFFFFF"/>
            <w:noWrap/>
            <w:vAlign w:val="center"/>
            <w:hideMark/>
          </w:tcPr>
          <w:p w14:paraId="2F6B4872"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906" w:type="dxa"/>
            <w:tcBorders>
              <w:top w:val="nil"/>
              <w:left w:val="nil"/>
              <w:bottom w:val="nil"/>
              <w:right w:val="nil"/>
            </w:tcBorders>
            <w:shd w:val="clear" w:color="000000" w:fill="FFFFFF"/>
            <w:noWrap/>
            <w:vAlign w:val="center"/>
            <w:hideMark/>
          </w:tcPr>
          <w:p w14:paraId="41C6FE9A"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827" w:type="dxa"/>
            <w:tcBorders>
              <w:top w:val="nil"/>
              <w:left w:val="nil"/>
              <w:bottom w:val="nil"/>
              <w:right w:val="nil"/>
            </w:tcBorders>
            <w:shd w:val="clear" w:color="000000" w:fill="FFFFFF"/>
            <w:noWrap/>
            <w:vAlign w:val="center"/>
            <w:hideMark/>
          </w:tcPr>
          <w:p w14:paraId="0A2234D6"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r>
      <w:tr w:rsidR="006B2420" w:rsidRPr="006B2420" w14:paraId="0EFC113D" w14:textId="77777777" w:rsidTr="006B2420">
        <w:trPr>
          <w:trHeight w:val="315"/>
        </w:trPr>
        <w:tc>
          <w:tcPr>
            <w:tcW w:w="1838" w:type="dxa"/>
            <w:tcBorders>
              <w:top w:val="nil"/>
              <w:left w:val="nil"/>
              <w:bottom w:val="nil"/>
              <w:right w:val="nil"/>
            </w:tcBorders>
            <w:shd w:val="clear" w:color="000000" w:fill="FFFFFF"/>
            <w:noWrap/>
            <w:vAlign w:val="center"/>
            <w:hideMark/>
          </w:tcPr>
          <w:p w14:paraId="22BB6529"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IMpower132</w:t>
            </w:r>
          </w:p>
        </w:tc>
        <w:tc>
          <w:tcPr>
            <w:tcW w:w="2038" w:type="dxa"/>
            <w:tcBorders>
              <w:top w:val="nil"/>
              <w:left w:val="nil"/>
              <w:bottom w:val="nil"/>
              <w:right w:val="nil"/>
            </w:tcBorders>
            <w:shd w:val="clear" w:color="000000" w:fill="FFFFFF"/>
            <w:noWrap/>
            <w:vAlign w:val="center"/>
            <w:hideMark/>
          </w:tcPr>
          <w:p w14:paraId="0A24A95E"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768" w:type="dxa"/>
            <w:tcBorders>
              <w:top w:val="nil"/>
              <w:left w:val="nil"/>
              <w:bottom w:val="nil"/>
              <w:right w:val="nil"/>
            </w:tcBorders>
            <w:shd w:val="clear" w:color="000000" w:fill="FFFFFF"/>
            <w:noWrap/>
            <w:vAlign w:val="center"/>
            <w:hideMark/>
          </w:tcPr>
          <w:p w14:paraId="3B823BF6"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47" w:type="dxa"/>
            <w:tcBorders>
              <w:top w:val="nil"/>
              <w:left w:val="nil"/>
              <w:bottom w:val="nil"/>
              <w:right w:val="nil"/>
            </w:tcBorders>
            <w:shd w:val="clear" w:color="000000" w:fill="FFFFFF"/>
            <w:noWrap/>
            <w:vAlign w:val="center"/>
            <w:hideMark/>
          </w:tcPr>
          <w:p w14:paraId="0E432AC8"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2117" w:type="dxa"/>
            <w:tcBorders>
              <w:top w:val="nil"/>
              <w:left w:val="nil"/>
              <w:bottom w:val="nil"/>
              <w:right w:val="nil"/>
            </w:tcBorders>
            <w:shd w:val="clear" w:color="000000" w:fill="FFFFFF"/>
            <w:noWrap/>
            <w:vAlign w:val="center"/>
            <w:hideMark/>
          </w:tcPr>
          <w:p w14:paraId="41CCE909"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99" w:type="dxa"/>
            <w:tcBorders>
              <w:top w:val="nil"/>
              <w:left w:val="nil"/>
              <w:bottom w:val="nil"/>
              <w:right w:val="nil"/>
            </w:tcBorders>
            <w:shd w:val="clear" w:color="000000" w:fill="FFFFFF"/>
            <w:noWrap/>
            <w:vAlign w:val="center"/>
            <w:hideMark/>
          </w:tcPr>
          <w:p w14:paraId="6D14E8D1"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906" w:type="dxa"/>
            <w:tcBorders>
              <w:top w:val="nil"/>
              <w:left w:val="nil"/>
              <w:bottom w:val="nil"/>
              <w:right w:val="nil"/>
            </w:tcBorders>
            <w:shd w:val="clear" w:color="000000" w:fill="FFFFFF"/>
            <w:noWrap/>
            <w:vAlign w:val="center"/>
            <w:hideMark/>
          </w:tcPr>
          <w:p w14:paraId="56347F01"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827" w:type="dxa"/>
            <w:tcBorders>
              <w:top w:val="nil"/>
              <w:left w:val="nil"/>
              <w:bottom w:val="nil"/>
              <w:right w:val="nil"/>
            </w:tcBorders>
            <w:shd w:val="clear" w:color="000000" w:fill="FFFFFF"/>
            <w:noWrap/>
            <w:vAlign w:val="center"/>
            <w:hideMark/>
          </w:tcPr>
          <w:p w14:paraId="36F9248D"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r>
      <w:tr w:rsidR="006B2420" w:rsidRPr="006B2420" w14:paraId="332F29CA" w14:textId="77777777" w:rsidTr="006B2420">
        <w:trPr>
          <w:trHeight w:val="315"/>
        </w:trPr>
        <w:tc>
          <w:tcPr>
            <w:tcW w:w="1838" w:type="dxa"/>
            <w:tcBorders>
              <w:top w:val="nil"/>
              <w:left w:val="nil"/>
              <w:bottom w:val="nil"/>
              <w:right w:val="nil"/>
            </w:tcBorders>
            <w:shd w:val="clear" w:color="000000" w:fill="FFFFFF"/>
            <w:noWrap/>
            <w:vAlign w:val="center"/>
            <w:hideMark/>
          </w:tcPr>
          <w:p w14:paraId="772E06BB"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IMpower133</w:t>
            </w:r>
          </w:p>
        </w:tc>
        <w:tc>
          <w:tcPr>
            <w:tcW w:w="2038" w:type="dxa"/>
            <w:tcBorders>
              <w:top w:val="nil"/>
              <w:left w:val="nil"/>
              <w:bottom w:val="nil"/>
              <w:right w:val="nil"/>
            </w:tcBorders>
            <w:shd w:val="clear" w:color="000000" w:fill="FFFFFF"/>
            <w:noWrap/>
            <w:vAlign w:val="center"/>
            <w:hideMark/>
          </w:tcPr>
          <w:p w14:paraId="3BC52F44"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768" w:type="dxa"/>
            <w:tcBorders>
              <w:top w:val="nil"/>
              <w:left w:val="nil"/>
              <w:bottom w:val="nil"/>
              <w:right w:val="nil"/>
            </w:tcBorders>
            <w:shd w:val="clear" w:color="000000" w:fill="FFFFFF"/>
            <w:noWrap/>
            <w:vAlign w:val="center"/>
            <w:hideMark/>
          </w:tcPr>
          <w:p w14:paraId="16B31CF2"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47" w:type="dxa"/>
            <w:tcBorders>
              <w:top w:val="nil"/>
              <w:left w:val="nil"/>
              <w:bottom w:val="nil"/>
              <w:right w:val="nil"/>
            </w:tcBorders>
            <w:shd w:val="clear" w:color="000000" w:fill="FFFFFF"/>
            <w:noWrap/>
            <w:vAlign w:val="center"/>
            <w:hideMark/>
          </w:tcPr>
          <w:p w14:paraId="706A3033"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2117" w:type="dxa"/>
            <w:tcBorders>
              <w:top w:val="nil"/>
              <w:left w:val="nil"/>
              <w:bottom w:val="nil"/>
              <w:right w:val="nil"/>
            </w:tcBorders>
            <w:shd w:val="clear" w:color="000000" w:fill="FFFFFF"/>
            <w:noWrap/>
            <w:vAlign w:val="center"/>
            <w:hideMark/>
          </w:tcPr>
          <w:p w14:paraId="34C80EE3"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99" w:type="dxa"/>
            <w:tcBorders>
              <w:top w:val="nil"/>
              <w:left w:val="nil"/>
              <w:bottom w:val="nil"/>
              <w:right w:val="nil"/>
            </w:tcBorders>
            <w:shd w:val="clear" w:color="000000" w:fill="FFFFFF"/>
            <w:noWrap/>
            <w:vAlign w:val="center"/>
            <w:hideMark/>
          </w:tcPr>
          <w:p w14:paraId="79EFE5C4"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906" w:type="dxa"/>
            <w:tcBorders>
              <w:top w:val="nil"/>
              <w:left w:val="nil"/>
              <w:bottom w:val="nil"/>
              <w:right w:val="nil"/>
            </w:tcBorders>
            <w:shd w:val="clear" w:color="000000" w:fill="FFFFFF"/>
            <w:noWrap/>
            <w:vAlign w:val="center"/>
            <w:hideMark/>
          </w:tcPr>
          <w:p w14:paraId="034E7F1A"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827" w:type="dxa"/>
            <w:tcBorders>
              <w:top w:val="nil"/>
              <w:left w:val="nil"/>
              <w:bottom w:val="nil"/>
              <w:right w:val="nil"/>
            </w:tcBorders>
            <w:shd w:val="clear" w:color="000000" w:fill="FFFFFF"/>
            <w:noWrap/>
            <w:vAlign w:val="center"/>
            <w:hideMark/>
          </w:tcPr>
          <w:p w14:paraId="756EB553"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r>
      <w:tr w:rsidR="006B2420" w:rsidRPr="006B2420" w14:paraId="7859F09E" w14:textId="77777777" w:rsidTr="006B2420">
        <w:trPr>
          <w:trHeight w:val="315"/>
        </w:trPr>
        <w:tc>
          <w:tcPr>
            <w:tcW w:w="1838" w:type="dxa"/>
            <w:tcBorders>
              <w:top w:val="nil"/>
              <w:left w:val="nil"/>
              <w:bottom w:val="nil"/>
              <w:right w:val="nil"/>
            </w:tcBorders>
            <w:shd w:val="clear" w:color="000000" w:fill="FFFFFF"/>
            <w:noWrap/>
            <w:vAlign w:val="center"/>
            <w:hideMark/>
          </w:tcPr>
          <w:p w14:paraId="336305DF"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IMpower150</w:t>
            </w:r>
          </w:p>
        </w:tc>
        <w:tc>
          <w:tcPr>
            <w:tcW w:w="2038" w:type="dxa"/>
            <w:tcBorders>
              <w:top w:val="nil"/>
              <w:left w:val="nil"/>
              <w:bottom w:val="nil"/>
              <w:right w:val="nil"/>
            </w:tcBorders>
            <w:shd w:val="clear" w:color="000000" w:fill="FFFFFF"/>
            <w:noWrap/>
            <w:vAlign w:val="center"/>
            <w:hideMark/>
          </w:tcPr>
          <w:p w14:paraId="78E50D88"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768" w:type="dxa"/>
            <w:tcBorders>
              <w:top w:val="nil"/>
              <w:left w:val="nil"/>
              <w:bottom w:val="nil"/>
              <w:right w:val="nil"/>
            </w:tcBorders>
            <w:shd w:val="clear" w:color="000000" w:fill="FFFFFF"/>
            <w:noWrap/>
            <w:vAlign w:val="center"/>
            <w:hideMark/>
          </w:tcPr>
          <w:p w14:paraId="06450C3A"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47" w:type="dxa"/>
            <w:tcBorders>
              <w:top w:val="nil"/>
              <w:left w:val="nil"/>
              <w:bottom w:val="nil"/>
              <w:right w:val="nil"/>
            </w:tcBorders>
            <w:shd w:val="clear" w:color="000000" w:fill="FFFFFF"/>
            <w:noWrap/>
            <w:vAlign w:val="center"/>
            <w:hideMark/>
          </w:tcPr>
          <w:p w14:paraId="21F2BD40"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2117" w:type="dxa"/>
            <w:tcBorders>
              <w:top w:val="nil"/>
              <w:left w:val="nil"/>
              <w:bottom w:val="nil"/>
              <w:right w:val="nil"/>
            </w:tcBorders>
            <w:shd w:val="clear" w:color="000000" w:fill="FFFFFF"/>
            <w:noWrap/>
            <w:vAlign w:val="center"/>
            <w:hideMark/>
          </w:tcPr>
          <w:p w14:paraId="78531238"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99" w:type="dxa"/>
            <w:tcBorders>
              <w:top w:val="nil"/>
              <w:left w:val="nil"/>
              <w:bottom w:val="nil"/>
              <w:right w:val="nil"/>
            </w:tcBorders>
            <w:shd w:val="clear" w:color="000000" w:fill="FFFFFF"/>
            <w:noWrap/>
            <w:vAlign w:val="center"/>
            <w:hideMark/>
          </w:tcPr>
          <w:p w14:paraId="25EEE39C"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906" w:type="dxa"/>
            <w:tcBorders>
              <w:top w:val="nil"/>
              <w:left w:val="nil"/>
              <w:bottom w:val="nil"/>
              <w:right w:val="nil"/>
            </w:tcBorders>
            <w:shd w:val="clear" w:color="000000" w:fill="FFFFFF"/>
            <w:noWrap/>
            <w:vAlign w:val="center"/>
            <w:hideMark/>
          </w:tcPr>
          <w:p w14:paraId="589E957D"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827" w:type="dxa"/>
            <w:tcBorders>
              <w:top w:val="nil"/>
              <w:left w:val="nil"/>
              <w:bottom w:val="nil"/>
              <w:right w:val="nil"/>
            </w:tcBorders>
            <w:shd w:val="clear" w:color="000000" w:fill="FFFFFF"/>
            <w:noWrap/>
            <w:vAlign w:val="center"/>
            <w:hideMark/>
          </w:tcPr>
          <w:p w14:paraId="56D9B0A1"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r>
      <w:tr w:rsidR="006B2420" w:rsidRPr="006B2420" w14:paraId="34021179" w14:textId="77777777" w:rsidTr="006B2420">
        <w:trPr>
          <w:trHeight w:val="315"/>
        </w:trPr>
        <w:tc>
          <w:tcPr>
            <w:tcW w:w="1838" w:type="dxa"/>
            <w:tcBorders>
              <w:top w:val="nil"/>
              <w:left w:val="nil"/>
              <w:bottom w:val="nil"/>
              <w:right w:val="nil"/>
            </w:tcBorders>
            <w:shd w:val="clear" w:color="000000" w:fill="FFFFFF"/>
            <w:noWrap/>
            <w:vAlign w:val="center"/>
            <w:hideMark/>
          </w:tcPr>
          <w:p w14:paraId="2D70DF53"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KEYNOTE-189</w:t>
            </w:r>
          </w:p>
        </w:tc>
        <w:tc>
          <w:tcPr>
            <w:tcW w:w="2038" w:type="dxa"/>
            <w:tcBorders>
              <w:top w:val="nil"/>
              <w:left w:val="nil"/>
              <w:bottom w:val="nil"/>
              <w:right w:val="nil"/>
            </w:tcBorders>
            <w:shd w:val="clear" w:color="000000" w:fill="FFFFFF"/>
            <w:noWrap/>
            <w:vAlign w:val="center"/>
            <w:hideMark/>
          </w:tcPr>
          <w:p w14:paraId="5E344BCA"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768" w:type="dxa"/>
            <w:tcBorders>
              <w:top w:val="nil"/>
              <w:left w:val="nil"/>
              <w:bottom w:val="nil"/>
              <w:right w:val="nil"/>
            </w:tcBorders>
            <w:shd w:val="clear" w:color="000000" w:fill="FFFFFF"/>
            <w:noWrap/>
            <w:vAlign w:val="center"/>
            <w:hideMark/>
          </w:tcPr>
          <w:p w14:paraId="174C8004"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47" w:type="dxa"/>
            <w:tcBorders>
              <w:top w:val="nil"/>
              <w:left w:val="nil"/>
              <w:bottom w:val="nil"/>
              <w:right w:val="nil"/>
            </w:tcBorders>
            <w:shd w:val="clear" w:color="000000" w:fill="FFFFFF"/>
            <w:noWrap/>
            <w:vAlign w:val="center"/>
            <w:hideMark/>
          </w:tcPr>
          <w:p w14:paraId="6CD7E80D"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2117" w:type="dxa"/>
            <w:tcBorders>
              <w:top w:val="nil"/>
              <w:left w:val="nil"/>
              <w:bottom w:val="nil"/>
              <w:right w:val="nil"/>
            </w:tcBorders>
            <w:shd w:val="clear" w:color="000000" w:fill="FFFFFF"/>
            <w:noWrap/>
            <w:vAlign w:val="center"/>
            <w:hideMark/>
          </w:tcPr>
          <w:p w14:paraId="31EE2951"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99" w:type="dxa"/>
            <w:tcBorders>
              <w:top w:val="nil"/>
              <w:left w:val="nil"/>
              <w:bottom w:val="nil"/>
              <w:right w:val="nil"/>
            </w:tcBorders>
            <w:shd w:val="clear" w:color="000000" w:fill="FFFFFF"/>
            <w:noWrap/>
            <w:vAlign w:val="center"/>
            <w:hideMark/>
          </w:tcPr>
          <w:p w14:paraId="18B3E62A"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906" w:type="dxa"/>
            <w:tcBorders>
              <w:top w:val="nil"/>
              <w:left w:val="nil"/>
              <w:bottom w:val="nil"/>
              <w:right w:val="nil"/>
            </w:tcBorders>
            <w:shd w:val="clear" w:color="000000" w:fill="FFFFFF"/>
            <w:noWrap/>
            <w:vAlign w:val="center"/>
            <w:hideMark/>
          </w:tcPr>
          <w:p w14:paraId="489195A6"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827" w:type="dxa"/>
            <w:tcBorders>
              <w:top w:val="nil"/>
              <w:left w:val="nil"/>
              <w:bottom w:val="nil"/>
              <w:right w:val="nil"/>
            </w:tcBorders>
            <w:shd w:val="clear" w:color="000000" w:fill="FFFFFF"/>
            <w:noWrap/>
            <w:vAlign w:val="center"/>
            <w:hideMark/>
          </w:tcPr>
          <w:p w14:paraId="1426EA95"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r>
      <w:tr w:rsidR="006B2420" w:rsidRPr="006B2420" w14:paraId="1EE0EB48" w14:textId="77777777" w:rsidTr="006B2420">
        <w:trPr>
          <w:trHeight w:val="315"/>
        </w:trPr>
        <w:tc>
          <w:tcPr>
            <w:tcW w:w="1838" w:type="dxa"/>
            <w:tcBorders>
              <w:top w:val="nil"/>
              <w:left w:val="nil"/>
              <w:bottom w:val="nil"/>
              <w:right w:val="nil"/>
            </w:tcBorders>
            <w:shd w:val="clear" w:color="000000" w:fill="FFFFFF"/>
            <w:noWrap/>
            <w:vAlign w:val="center"/>
            <w:hideMark/>
          </w:tcPr>
          <w:p w14:paraId="4E652367"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KEYNOTE-604</w:t>
            </w:r>
          </w:p>
        </w:tc>
        <w:tc>
          <w:tcPr>
            <w:tcW w:w="2038" w:type="dxa"/>
            <w:tcBorders>
              <w:top w:val="nil"/>
              <w:left w:val="nil"/>
              <w:bottom w:val="nil"/>
              <w:right w:val="nil"/>
            </w:tcBorders>
            <w:shd w:val="clear" w:color="000000" w:fill="FFFFFF"/>
            <w:noWrap/>
            <w:vAlign w:val="center"/>
            <w:hideMark/>
          </w:tcPr>
          <w:p w14:paraId="190BF518"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768" w:type="dxa"/>
            <w:tcBorders>
              <w:top w:val="nil"/>
              <w:left w:val="nil"/>
              <w:bottom w:val="nil"/>
              <w:right w:val="nil"/>
            </w:tcBorders>
            <w:shd w:val="clear" w:color="000000" w:fill="FFFFFF"/>
            <w:noWrap/>
            <w:vAlign w:val="center"/>
            <w:hideMark/>
          </w:tcPr>
          <w:p w14:paraId="7AC668EA"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47" w:type="dxa"/>
            <w:tcBorders>
              <w:top w:val="nil"/>
              <w:left w:val="nil"/>
              <w:bottom w:val="nil"/>
              <w:right w:val="nil"/>
            </w:tcBorders>
            <w:shd w:val="clear" w:color="000000" w:fill="FFFFFF"/>
            <w:noWrap/>
            <w:vAlign w:val="center"/>
            <w:hideMark/>
          </w:tcPr>
          <w:p w14:paraId="28B3D8FD"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2117" w:type="dxa"/>
            <w:tcBorders>
              <w:top w:val="nil"/>
              <w:left w:val="nil"/>
              <w:bottom w:val="nil"/>
              <w:right w:val="nil"/>
            </w:tcBorders>
            <w:shd w:val="clear" w:color="000000" w:fill="FFFFFF"/>
            <w:noWrap/>
            <w:vAlign w:val="center"/>
            <w:hideMark/>
          </w:tcPr>
          <w:p w14:paraId="16981EAE"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99" w:type="dxa"/>
            <w:tcBorders>
              <w:top w:val="nil"/>
              <w:left w:val="nil"/>
              <w:bottom w:val="nil"/>
              <w:right w:val="nil"/>
            </w:tcBorders>
            <w:shd w:val="clear" w:color="000000" w:fill="FFFFFF"/>
            <w:noWrap/>
            <w:vAlign w:val="center"/>
            <w:hideMark/>
          </w:tcPr>
          <w:p w14:paraId="64DDB899"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906" w:type="dxa"/>
            <w:tcBorders>
              <w:top w:val="nil"/>
              <w:left w:val="nil"/>
              <w:bottom w:val="nil"/>
              <w:right w:val="nil"/>
            </w:tcBorders>
            <w:shd w:val="clear" w:color="000000" w:fill="FFFFFF"/>
            <w:noWrap/>
            <w:vAlign w:val="center"/>
            <w:hideMark/>
          </w:tcPr>
          <w:p w14:paraId="28FFB90C"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827" w:type="dxa"/>
            <w:tcBorders>
              <w:top w:val="nil"/>
              <w:left w:val="nil"/>
              <w:bottom w:val="nil"/>
              <w:right w:val="nil"/>
            </w:tcBorders>
            <w:shd w:val="clear" w:color="000000" w:fill="FFFFFF"/>
            <w:noWrap/>
            <w:vAlign w:val="center"/>
            <w:hideMark/>
          </w:tcPr>
          <w:p w14:paraId="756AD7AD"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r>
      <w:tr w:rsidR="006B2420" w:rsidRPr="006B2420" w14:paraId="74C02A43" w14:textId="77777777" w:rsidTr="006B2420">
        <w:trPr>
          <w:trHeight w:val="315"/>
        </w:trPr>
        <w:tc>
          <w:tcPr>
            <w:tcW w:w="1838" w:type="dxa"/>
            <w:tcBorders>
              <w:top w:val="nil"/>
              <w:left w:val="nil"/>
              <w:bottom w:val="nil"/>
              <w:right w:val="nil"/>
            </w:tcBorders>
            <w:shd w:val="clear" w:color="000000" w:fill="FFFFFF"/>
            <w:noWrap/>
            <w:vAlign w:val="center"/>
            <w:hideMark/>
          </w:tcPr>
          <w:p w14:paraId="35AEDE22"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OAK</w:t>
            </w:r>
          </w:p>
        </w:tc>
        <w:tc>
          <w:tcPr>
            <w:tcW w:w="2038" w:type="dxa"/>
            <w:tcBorders>
              <w:top w:val="nil"/>
              <w:left w:val="nil"/>
              <w:bottom w:val="nil"/>
              <w:right w:val="nil"/>
            </w:tcBorders>
            <w:shd w:val="clear" w:color="000000" w:fill="FFFFFF"/>
            <w:noWrap/>
            <w:vAlign w:val="center"/>
            <w:hideMark/>
          </w:tcPr>
          <w:p w14:paraId="108C81F1"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768" w:type="dxa"/>
            <w:tcBorders>
              <w:top w:val="nil"/>
              <w:left w:val="nil"/>
              <w:bottom w:val="nil"/>
              <w:right w:val="nil"/>
            </w:tcBorders>
            <w:shd w:val="clear" w:color="000000" w:fill="FFFFFF"/>
            <w:noWrap/>
            <w:vAlign w:val="center"/>
            <w:hideMark/>
          </w:tcPr>
          <w:p w14:paraId="7961A7E1"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47" w:type="dxa"/>
            <w:tcBorders>
              <w:top w:val="nil"/>
              <w:left w:val="nil"/>
              <w:bottom w:val="nil"/>
              <w:right w:val="nil"/>
            </w:tcBorders>
            <w:shd w:val="clear" w:color="000000" w:fill="FFFFFF"/>
            <w:noWrap/>
            <w:vAlign w:val="center"/>
            <w:hideMark/>
          </w:tcPr>
          <w:p w14:paraId="32725ED2"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2117" w:type="dxa"/>
            <w:tcBorders>
              <w:top w:val="nil"/>
              <w:left w:val="nil"/>
              <w:bottom w:val="nil"/>
              <w:right w:val="nil"/>
            </w:tcBorders>
            <w:shd w:val="clear" w:color="000000" w:fill="FFFFFF"/>
            <w:noWrap/>
            <w:vAlign w:val="center"/>
            <w:hideMark/>
          </w:tcPr>
          <w:p w14:paraId="68AC7055"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99" w:type="dxa"/>
            <w:tcBorders>
              <w:top w:val="nil"/>
              <w:left w:val="nil"/>
              <w:bottom w:val="nil"/>
              <w:right w:val="nil"/>
            </w:tcBorders>
            <w:shd w:val="clear" w:color="000000" w:fill="FFFFFF"/>
            <w:noWrap/>
            <w:vAlign w:val="center"/>
            <w:hideMark/>
          </w:tcPr>
          <w:p w14:paraId="3A5E691C"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906" w:type="dxa"/>
            <w:tcBorders>
              <w:top w:val="nil"/>
              <w:left w:val="nil"/>
              <w:bottom w:val="nil"/>
              <w:right w:val="nil"/>
            </w:tcBorders>
            <w:shd w:val="clear" w:color="000000" w:fill="FFFFFF"/>
            <w:noWrap/>
            <w:vAlign w:val="center"/>
            <w:hideMark/>
          </w:tcPr>
          <w:p w14:paraId="52F33727"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827" w:type="dxa"/>
            <w:tcBorders>
              <w:top w:val="nil"/>
              <w:left w:val="nil"/>
              <w:bottom w:val="nil"/>
              <w:right w:val="nil"/>
            </w:tcBorders>
            <w:shd w:val="clear" w:color="000000" w:fill="FFFFFF"/>
            <w:noWrap/>
            <w:vAlign w:val="center"/>
            <w:hideMark/>
          </w:tcPr>
          <w:p w14:paraId="5797C728"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r>
      <w:tr w:rsidR="006B2420" w:rsidRPr="006B2420" w14:paraId="597720EB" w14:textId="77777777" w:rsidTr="006B2420">
        <w:trPr>
          <w:trHeight w:val="315"/>
        </w:trPr>
        <w:tc>
          <w:tcPr>
            <w:tcW w:w="1838" w:type="dxa"/>
            <w:tcBorders>
              <w:top w:val="nil"/>
              <w:left w:val="nil"/>
              <w:bottom w:val="single" w:sz="4" w:space="0" w:color="auto"/>
              <w:right w:val="nil"/>
            </w:tcBorders>
            <w:shd w:val="clear" w:color="000000" w:fill="FFFFFF"/>
            <w:noWrap/>
            <w:vAlign w:val="center"/>
            <w:hideMark/>
          </w:tcPr>
          <w:p w14:paraId="0B22394A"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POPLAR</w:t>
            </w:r>
          </w:p>
        </w:tc>
        <w:tc>
          <w:tcPr>
            <w:tcW w:w="2038" w:type="dxa"/>
            <w:tcBorders>
              <w:top w:val="nil"/>
              <w:left w:val="nil"/>
              <w:bottom w:val="single" w:sz="4" w:space="0" w:color="auto"/>
              <w:right w:val="nil"/>
            </w:tcBorders>
            <w:shd w:val="clear" w:color="000000" w:fill="FFFFFF"/>
            <w:noWrap/>
            <w:vAlign w:val="center"/>
            <w:hideMark/>
          </w:tcPr>
          <w:p w14:paraId="3AFC838E"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768" w:type="dxa"/>
            <w:tcBorders>
              <w:top w:val="nil"/>
              <w:left w:val="nil"/>
              <w:bottom w:val="single" w:sz="4" w:space="0" w:color="auto"/>
              <w:right w:val="nil"/>
            </w:tcBorders>
            <w:shd w:val="clear" w:color="000000" w:fill="FFFFFF"/>
            <w:noWrap/>
            <w:vAlign w:val="center"/>
            <w:hideMark/>
          </w:tcPr>
          <w:p w14:paraId="044FB6DB"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47" w:type="dxa"/>
            <w:tcBorders>
              <w:top w:val="nil"/>
              <w:left w:val="nil"/>
              <w:bottom w:val="single" w:sz="4" w:space="0" w:color="auto"/>
              <w:right w:val="nil"/>
            </w:tcBorders>
            <w:shd w:val="clear" w:color="000000" w:fill="FFFFFF"/>
            <w:noWrap/>
            <w:vAlign w:val="center"/>
            <w:hideMark/>
          </w:tcPr>
          <w:p w14:paraId="0126A1FD"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2117" w:type="dxa"/>
            <w:tcBorders>
              <w:top w:val="nil"/>
              <w:left w:val="nil"/>
              <w:bottom w:val="single" w:sz="4" w:space="0" w:color="auto"/>
              <w:right w:val="nil"/>
            </w:tcBorders>
            <w:shd w:val="clear" w:color="000000" w:fill="FFFFFF"/>
            <w:noWrap/>
            <w:vAlign w:val="center"/>
            <w:hideMark/>
          </w:tcPr>
          <w:p w14:paraId="422123C1"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699" w:type="dxa"/>
            <w:tcBorders>
              <w:top w:val="nil"/>
              <w:left w:val="nil"/>
              <w:bottom w:val="single" w:sz="4" w:space="0" w:color="auto"/>
              <w:right w:val="nil"/>
            </w:tcBorders>
            <w:shd w:val="clear" w:color="000000" w:fill="FFFFFF"/>
            <w:noWrap/>
            <w:vAlign w:val="center"/>
            <w:hideMark/>
          </w:tcPr>
          <w:p w14:paraId="0C65697A"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906" w:type="dxa"/>
            <w:tcBorders>
              <w:top w:val="nil"/>
              <w:left w:val="nil"/>
              <w:bottom w:val="single" w:sz="4" w:space="0" w:color="auto"/>
              <w:right w:val="nil"/>
            </w:tcBorders>
            <w:shd w:val="clear" w:color="000000" w:fill="FFFFFF"/>
            <w:noWrap/>
            <w:vAlign w:val="center"/>
            <w:hideMark/>
          </w:tcPr>
          <w:p w14:paraId="298C1B67"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c>
          <w:tcPr>
            <w:tcW w:w="1827" w:type="dxa"/>
            <w:tcBorders>
              <w:top w:val="nil"/>
              <w:left w:val="nil"/>
              <w:bottom w:val="single" w:sz="4" w:space="0" w:color="auto"/>
              <w:right w:val="nil"/>
            </w:tcBorders>
            <w:shd w:val="clear" w:color="000000" w:fill="FFFFFF"/>
            <w:noWrap/>
            <w:vAlign w:val="center"/>
            <w:hideMark/>
          </w:tcPr>
          <w:p w14:paraId="7F040D17" w14:textId="77777777" w:rsidR="006B2420" w:rsidRPr="006B2420" w:rsidRDefault="006B2420" w:rsidP="006B2420">
            <w:pPr>
              <w:rPr>
                <w:rFonts w:ascii="Arial" w:eastAsia="Times New Roman" w:hAnsi="Arial" w:cs="Arial"/>
                <w:color w:val="000000"/>
                <w:sz w:val="20"/>
                <w:szCs w:val="20"/>
                <w:lang w:eastAsia="en-US"/>
              </w:rPr>
            </w:pPr>
            <w:r w:rsidRPr="006B2420">
              <w:rPr>
                <w:rFonts w:ascii="Arial" w:eastAsia="Times New Roman" w:hAnsi="Arial" w:cs="Arial"/>
                <w:color w:val="000000"/>
                <w:sz w:val="20"/>
                <w:szCs w:val="20"/>
                <w:lang w:eastAsia="en-US"/>
              </w:rPr>
              <w:t>low</w:t>
            </w:r>
          </w:p>
        </w:tc>
      </w:tr>
    </w:tbl>
    <w:p w14:paraId="17461322" w14:textId="77777777" w:rsidR="00AF4C9E" w:rsidRPr="00AF4C9E" w:rsidRDefault="00AF4C9E" w:rsidP="005C3925">
      <w:pPr>
        <w:autoSpaceDE w:val="0"/>
        <w:autoSpaceDN w:val="0"/>
        <w:adjustRightInd w:val="0"/>
        <w:snapToGrid w:val="0"/>
        <w:spacing w:line="360" w:lineRule="auto"/>
        <w:contextualSpacing/>
        <w:rPr>
          <w:rFonts w:ascii="Arial" w:hAnsi="Arial" w:cs="Arial"/>
          <w:b/>
          <w:sz w:val="22"/>
          <w:szCs w:val="22"/>
        </w:rPr>
      </w:pPr>
    </w:p>
    <w:p w14:paraId="590247F7" w14:textId="77777777" w:rsidR="00AF4C9E" w:rsidRPr="00AF4C9E" w:rsidRDefault="00AF4C9E" w:rsidP="005C3925">
      <w:pPr>
        <w:autoSpaceDE w:val="0"/>
        <w:autoSpaceDN w:val="0"/>
        <w:adjustRightInd w:val="0"/>
        <w:snapToGrid w:val="0"/>
        <w:spacing w:line="360" w:lineRule="auto"/>
        <w:contextualSpacing/>
        <w:rPr>
          <w:rFonts w:ascii="Arial" w:hAnsi="Arial" w:cs="Arial"/>
          <w:b/>
          <w:sz w:val="22"/>
          <w:szCs w:val="22"/>
        </w:rPr>
      </w:pPr>
      <w:r w:rsidRPr="00AF4C9E">
        <w:rPr>
          <w:rFonts w:ascii="Arial" w:hAnsi="Arial" w:cs="Arial"/>
          <w:b/>
          <w:sz w:val="22"/>
          <w:szCs w:val="22"/>
        </w:rPr>
        <w:br w:type="page"/>
      </w:r>
    </w:p>
    <w:p w14:paraId="6FAF9EC6" w14:textId="77777777" w:rsidR="00AF4C9E" w:rsidRPr="00AF4C9E" w:rsidRDefault="00AF4C9E" w:rsidP="005C3925">
      <w:pPr>
        <w:autoSpaceDE w:val="0"/>
        <w:autoSpaceDN w:val="0"/>
        <w:adjustRightInd w:val="0"/>
        <w:snapToGrid w:val="0"/>
        <w:spacing w:line="360" w:lineRule="auto"/>
        <w:contextualSpacing/>
        <w:rPr>
          <w:rFonts w:ascii="Arial" w:hAnsi="Arial" w:cs="Arial"/>
          <w:b/>
          <w:sz w:val="22"/>
          <w:szCs w:val="22"/>
        </w:rPr>
        <w:sectPr w:rsidR="00AF4C9E" w:rsidRPr="00AF4C9E" w:rsidSect="00AF4C9E">
          <w:pgSz w:w="16820" w:h="11900" w:orient="landscape"/>
          <w:pgMar w:top="1800" w:right="1440" w:bottom="1800" w:left="1440" w:header="851" w:footer="992" w:gutter="0"/>
          <w:cols w:space="425"/>
          <w:docGrid w:type="lines" w:linePitch="326"/>
        </w:sectPr>
      </w:pPr>
    </w:p>
    <w:p w14:paraId="0DF0624B" w14:textId="27303785" w:rsidR="00AF4C9E" w:rsidRPr="00AF4C9E" w:rsidRDefault="00AF4C9E" w:rsidP="005C3925">
      <w:pPr>
        <w:autoSpaceDE w:val="0"/>
        <w:autoSpaceDN w:val="0"/>
        <w:adjustRightInd w:val="0"/>
        <w:snapToGrid w:val="0"/>
        <w:spacing w:line="360" w:lineRule="auto"/>
        <w:contextualSpacing/>
        <w:rPr>
          <w:rFonts w:ascii="Arial" w:hAnsi="Arial" w:cs="Arial"/>
          <w:b/>
          <w:sz w:val="22"/>
          <w:szCs w:val="22"/>
        </w:rPr>
      </w:pPr>
      <w:r w:rsidRPr="00AF4C9E">
        <w:rPr>
          <w:rFonts w:ascii="Arial" w:hAnsi="Arial" w:cs="Arial"/>
          <w:b/>
          <w:noProof/>
          <w:sz w:val="22"/>
          <w:szCs w:val="22"/>
          <w:lang w:eastAsia="en-US"/>
        </w:rPr>
        <w:lastRenderedPageBreak/>
        <w:drawing>
          <wp:inline distT="0" distB="0" distL="0" distR="0" wp14:anchorId="7FCEABC6" wp14:editId="12AA4BDD">
            <wp:extent cx="5270500" cy="13239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S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0500" cy="1323975"/>
                    </a:xfrm>
                    <a:prstGeom prst="rect">
                      <a:avLst/>
                    </a:prstGeom>
                  </pic:spPr>
                </pic:pic>
              </a:graphicData>
            </a:graphic>
          </wp:inline>
        </w:drawing>
      </w:r>
    </w:p>
    <w:p w14:paraId="07A5F77D" w14:textId="778AA3D4" w:rsidR="00AF4C9E" w:rsidRPr="00AF4C9E" w:rsidRDefault="00AF4C9E" w:rsidP="00AF4C9E">
      <w:pPr>
        <w:autoSpaceDE w:val="0"/>
        <w:autoSpaceDN w:val="0"/>
        <w:adjustRightInd w:val="0"/>
        <w:snapToGrid w:val="0"/>
        <w:spacing w:line="480" w:lineRule="auto"/>
        <w:contextualSpacing/>
        <w:rPr>
          <w:rFonts w:ascii="Arial" w:hAnsi="Arial" w:cs="Arial"/>
          <w:b/>
          <w:sz w:val="22"/>
          <w:szCs w:val="22"/>
        </w:rPr>
      </w:pPr>
      <w:r w:rsidRPr="00AF4C9E">
        <w:rPr>
          <w:rFonts w:ascii="Arial" w:hAnsi="Arial" w:cs="Arial"/>
          <w:b/>
          <w:sz w:val="22"/>
          <w:szCs w:val="22"/>
        </w:rPr>
        <w:t xml:space="preserve">Supplemental Figure S1. </w:t>
      </w:r>
      <w:r w:rsidRPr="00AF4C9E">
        <w:rPr>
          <w:rFonts w:ascii="Arial" w:hAnsi="Arial" w:cs="Arial"/>
          <w:b/>
          <w:color w:val="000000" w:themeColor="text1"/>
          <w:sz w:val="22"/>
          <w:szCs w:val="22"/>
        </w:rPr>
        <w:t>The predictive value of LM for ICIs treatment outcomes in colorectal cancer (A), melanoma (B) and non-small-cell lung cancer (C).</w:t>
      </w:r>
    </w:p>
    <w:p w14:paraId="1858027A" w14:textId="77777777" w:rsidR="00AF4C9E" w:rsidRPr="00AF4C9E" w:rsidRDefault="00AF4C9E" w:rsidP="005C3925">
      <w:pPr>
        <w:autoSpaceDE w:val="0"/>
        <w:autoSpaceDN w:val="0"/>
        <w:adjustRightInd w:val="0"/>
        <w:snapToGrid w:val="0"/>
        <w:spacing w:line="360" w:lineRule="auto"/>
        <w:contextualSpacing/>
        <w:rPr>
          <w:rFonts w:ascii="Arial" w:hAnsi="Arial" w:cs="Arial"/>
          <w:b/>
          <w:sz w:val="22"/>
          <w:szCs w:val="22"/>
        </w:rPr>
      </w:pPr>
      <w:r w:rsidRPr="00AF4C9E">
        <w:rPr>
          <w:rFonts w:ascii="Arial" w:hAnsi="Arial" w:cs="Arial"/>
          <w:b/>
          <w:sz w:val="22"/>
          <w:szCs w:val="22"/>
        </w:rPr>
        <w:br w:type="page"/>
      </w:r>
    </w:p>
    <w:p w14:paraId="537673BC" w14:textId="14284A67" w:rsidR="00AF4C9E" w:rsidRPr="00AF4C9E" w:rsidRDefault="00AF4C9E" w:rsidP="005C3925">
      <w:pPr>
        <w:autoSpaceDE w:val="0"/>
        <w:autoSpaceDN w:val="0"/>
        <w:adjustRightInd w:val="0"/>
        <w:snapToGrid w:val="0"/>
        <w:spacing w:line="360" w:lineRule="auto"/>
        <w:contextualSpacing/>
        <w:rPr>
          <w:rFonts w:ascii="Arial" w:hAnsi="Arial" w:cs="Arial"/>
          <w:b/>
          <w:sz w:val="22"/>
          <w:szCs w:val="22"/>
        </w:rPr>
      </w:pPr>
      <w:r w:rsidRPr="00AF4C9E">
        <w:rPr>
          <w:rFonts w:ascii="Arial" w:hAnsi="Arial" w:cs="Arial"/>
          <w:b/>
          <w:noProof/>
          <w:sz w:val="22"/>
          <w:szCs w:val="22"/>
          <w:lang w:eastAsia="en-US"/>
        </w:rPr>
        <w:lastRenderedPageBreak/>
        <w:drawing>
          <wp:inline distT="0" distB="0" distL="0" distR="0" wp14:anchorId="68BB1F31" wp14:editId="7DA2BB3E">
            <wp:extent cx="5270500" cy="53682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S2.jpg"/>
                    <pic:cNvPicPr/>
                  </pic:nvPicPr>
                  <pic:blipFill>
                    <a:blip r:embed="rId6">
                      <a:extLst>
                        <a:ext uri="{28A0092B-C50C-407E-A947-70E740481C1C}">
                          <a14:useLocalDpi xmlns:a14="http://schemas.microsoft.com/office/drawing/2010/main" val="0"/>
                        </a:ext>
                      </a:extLst>
                    </a:blip>
                    <a:stretch>
                      <a:fillRect/>
                    </a:stretch>
                  </pic:blipFill>
                  <pic:spPr>
                    <a:xfrm>
                      <a:off x="0" y="0"/>
                      <a:ext cx="5270500" cy="5368290"/>
                    </a:xfrm>
                    <a:prstGeom prst="rect">
                      <a:avLst/>
                    </a:prstGeom>
                  </pic:spPr>
                </pic:pic>
              </a:graphicData>
            </a:graphic>
          </wp:inline>
        </w:drawing>
      </w:r>
    </w:p>
    <w:p w14:paraId="56FE324F" w14:textId="75C1593B" w:rsidR="00AF4C9E" w:rsidRPr="00AF4C9E" w:rsidRDefault="00AF4C9E" w:rsidP="005C3925">
      <w:pPr>
        <w:autoSpaceDE w:val="0"/>
        <w:autoSpaceDN w:val="0"/>
        <w:adjustRightInd w:val="0"/>
        <w:snapToGrid w:val="0"/>
        <w:spacing w:line="360" w:lineRule="auto"/>
        <w:contextualSpacing/>
        <w:rPr>
          <w:rFonts w:ascii="Arial" w:hAnsi="Arial" w:cs="Arial"/>
          <w:b/>
          <w:sz w:val="22"/>
          <w:szCs w:val="22"/>
        </w:rPr>
      </w:pPr>
      <w:r w:rsidRPr="00AF4C9E">
        <w:rPr>
          <w:rFonts w:ascii="Arial" w:hAnsi="Arial" w:cs="Arial"/>
          <w:b/>
          <w:sz w:val="22"/>
          <w:szCs w:val="22"/>
        </w:rPr>
        <w:t>Supplemental Figure S2. Flowchart of published studies’ identification.</w:t>
      </w:r>
    </w:p>
    <w:p w14:paraId="4A2273B4" w14:textId="0F8A460A" w:rsidR="00AF4C9E" w:rsidRPr="00AF4C9E" w:rsidRDefault="00AF4C9E" w:rsidP="005C3925">
      <w:pPr>
        <w:autoSpaceDE w:val="0"/>
        <w:autoSpaceDN w:val="0"/>
        <w:adjustRightInd w:val="0"/>
        <w:snapToGrid w:val="0"/>
        <w:spacing w:line="360" w:lineRule="auto"/>
        <w:contextualSpacing/>
        <w:rPr>
          <w:rFonts w:ascii="Arial" w:hAnsi="Arial" w:cs="Arial"/>
          <w:b/>
          <w:sz w:val="22"/>
          <w:szCs w:val="22"/>
        </w:rPr>
      </w:pPr>
      <w:r w:rsidRPr="00AF4C9E">
        <w:rPr>
          <w:rFonts w:ascii="Arial" w:hAnsi="Arial" w:cs="Arial"/>
          <w:b/>
          <w:sz w:val="22"/>
          <w:szCs w:val="22"/>
        </w:rPr>
        <w:br w:type="page"/>
      </w:r>
    </w:p>
    <w:p w14:paraId="35D14D7E" w14:textId="7C2EE7B7" w:rsidR="00AF4C9E" w:rsidRPr="00AF4C9E" w:rsidRDefault="00AF4C9E" w:rsidP="005C3925">
      <w:pPr>
        <w:autoSpaceDE w:val="0"/>
        <w:autoSpaceDN w:val="0"/>
        <w:adjustRightInd w:val="0"/>
        <w:snapToGrid w:val="0"/>
        <w:spacing w:line="360" w:lineRule="auto"/>
        <w:contextualSpacing/>
        <w:rPr>
          <w:rFonts w:ascii="Arial" w:hAnsi="Arial" w:cs="Arial"/>
          <w:b/>
          <w:sz w:val="22"/>
          <w:szCs w:val="22"/>
        </w:rPr>
      </w:pPr>
      <w:r w:rsidRPr="00AF4C9E">
        <w:rPr>
          <w:rFonts w:ascii="Arial" w:hAnsi="Arial" w:cs="Arial"/>
          <w:b/>
          <w:noProof/>
          <w:sz w:val="22"/>
          <w:szCs w:val="22"/>
          <w:lang w:eastAsia="en-US"/>
        </w:rPr>
        <w:lastRenderedPageBreak/>
        <w:drawing>
          <wp:inline distT="0" distB="0" distL="0" distR="0" wp14:anchorId="2E7C5BE1" wp14:editId="03509F6B">
            <wp:extent cx="5270500" cy="69361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S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0500" cy="6936105"/>
                    </a:xfrm>
                    <a:prstGeom prst="rect">
                      <a:avLst/>
                    </a:prstGeom>
                  </pic:spPr>
                </pic:pic>
              </a:graphicData>
            </a:graphic>
          </wp:inline>
        </w:drawing>
      </w:r>
    </w:p>
    <w:p w14:paraId="10C372DE" w14:textId="3CE6CD23" w:rsidR="00AF4C9E" w:rsidRPr="00AF4C9E" w:rsidRDefault="00AF4C9E" w:rsidP="00AF4C9E">
      <w:pPr>
        <w:autoSpaceDE w:val="0"/>
        <w:autoSpaceDN w:val="0"/>
        <w:adjustRightInd w:val="0"/>
        <w:snapToGrid w:val="0"/>
        <w:spacing w:line="480" w:lineRule="auto"/>
        <w:contextualSpacing/>
        <w:rPr>
          <w:rFonts w:ascii="Arial" w:hAnsi="Arial" w:cs="Arial"/>
          <w:b/>
          <w:sz w:val="22"/>
          <w:szCs w:val="22"/>
        </w:rPr>
      </w:pPr>
      <w:r w:rsidRPr="00AF4C9E">
        <w:rPr>
          <w:rFonts w:ascii="Arial" w:hAnsi="Arial" w:cs="Arial"/>
          <w:b/>
          <w:sz w:val="22"/>
          <w:szCs w:val="22"/>
        </w:rPr>
        <w:t xml:space="preserve">Supplemental Figure S3. Subgroup analysis </w:t>
      </w:r>
      <w:r w:rsidRPr="00AF4C9E">
        <w:rPr>
          <w:rFonts w:ascii="Arial" w:hAnsi="Arial" w:cs="Arial"/>
          <w:b/>
          <w:color w:val="000000" w:themeColor="text1"/>
          <w:sz w:val="22"/>
          <w:szCs w:val="22"/>
        </w:rPr>
        <w:t xml:space="preserve">to evaluate the predictive value of LM in NSCLC treated with ICIs. A. </w:t>
      </w:r>
      <w:r w:rsidRPr="00AF4C9E">
        <w:rPr>
          <w:rFonts w:ascii="Arial" w:hAnsi="Arial" w:cs="Arial"/>
          <w:color w:val="000000" w:themeColor="text1"/>
          <w:sz w:val="22"/>
          <w:szCs w:val="22"/>
        </w:rPr>
        <w:t xml:space="preserve">Pooled analysis of OS in patients with LM received ICI monotherapy; </w:t>
      </w:r>
      <w:r w:rsidRPr="00AF4C9E">
        <w:rPr>
          <w:rFonts w:ascii="Arial" w:hAnsi="Arial" w:cs="Arial"/>
          <w:b/>
          <w:color w:val="000000" w:themeColor="text1"/>
          <w:sz w:val="22"/>
          <w:szCs w:val="22"/>
        </w:rPr>
        <w:t xml:space="preserve">B. </w:t>
      </w:r>
      <w:r w:rsidRPr="00AF4C9E">
        <w:rPr>
          <w:rFonts w:ascii="Arial" w:hAnsi="Arial" w:cs="Arial"/>
          <w:color w:val="000000" w:themeColor="text1"/>
          <w:sz w:val="22"/>
          <w:szCs w:val="22"/>
        </w:rPr>
        <w:t>Pooled analysis of PFS in patients with LM received ICI monotherapy;</w:t>
      </w:r>
      <w:r w:rsidRPr="00AF4C9E">
        <w:rPr>
          <w:rFonts w:ascii="Arial" w:hAnsi="Arial" w:cs="Arial"/>
          <w:b/>
          <w:color w:val="000000" w:themeColor="text1"/>
          <w:sz w:val="22"/>
          <w:szCs w:val="22"/>
        </w:rPr>
        <w:t xml:space="preserve"> C. </w:t>
      </w:r>
      <w:r w:rsidRPr="00AF4C9E">
        <w:rPr>
          <w:rFonts w:ascii="Arial" w:hAnsi="Arial" w:cs="Arial"/>
          <w:color w:val="000000" w:themeColor="text1"/>
          <w:sz w:val="22"/>
          <w:szCs w:val="22"/>
        </w:rPr>
        <w:t xml:space="preserve">Pooled analysis of OS in patients with LM received ICI based combination therapy; </w:t>
      </w:r>
      <w:r w:rsidRPr="00AF4C9E">
        <w:rPr>
          <w:rFonts w:ascii="Arial" w:hAnsi="Arial" w:cs="Arial"/>
          <w:b/>
          <w:color w:val="000000" w:themeColor="text1"/>
          <w:sz w:val="22"/>
          <w:szCs w:val="22"/>
        </w:rPr>
        <w:t xml:space="preserve">D. </w:t>
      </w:r>
      <w:r w:rsidRPr="00AF4C9E">
        <w:rPr>
          <w:rFonts w:ascii="Arial" w:hAnsi="Arial" w:cs="Arial"/>
          <w:color w:val="000000" w:themeColor="text1"/>
          <w:sz w:val="22"/>
          <w:szCs w:val="22"/>
        </w:rPr>
        <w:t xml:space="preserve">Pooled analysis of PFS in patients with LM received ICI based combination therapy; </w:t>
      </w:r>
      <w:r w:rsidRPr="00AF4C9E">
        <w:rPr>
          <w:rFonts w:ascii="Arial" w:hAnsi="Arial" w:cs="Arial"/>
          <w:b/>
          <w:color w:val="000000" w:themeColor="text1"/>
          <w:sz w:val="22"/>
          <w:szCs w:val="22"/>
        </w:rPr>
        <w:t xml:space="preserve">E. </w:t>
      </w:r>
      <w:r w:rsidRPr="00AF4C9E">
        <w:rPr>
          <w:rFonts w:ascii="Arial" w:hAnsi="Arial" w:cs="Arial"/>
          <w:color w:val="000000" w:themeColor="text1"/>
          <w:sz w:val="22"/>
          <w:szCs w:val="22"/>
        </w:rPr>
        <w:t xml:space="preserve">Pooled analysis of OS in patients without LM received </w:t>
      </w:r>
      <w:r w:rsidRPr="00AF4C9E">
        <w:rPr>
          <w:rFonts w:ascii="Arial" w:hAnsi="Arial" w:cs="Arial"/>
          <w:color w:val="000000" w:themeColor="text1"/>
          <w:sz w:val="22"/>
          <w:szCs w:val="22"/>
        </w:rPr>
        <w:lastRenderedPageBreak/>
        <w:t xml:space="preserve">ICI monotherapy; </w:t>
      </w:r>
      <w:r w:rsidRPr="00AF4C9E">
        <w:rPr>
          <w:rFonts w:ascii="Arial" w:hAnsi="Arial" w:cs="Arial"/>
          <w:b/>
          <w:color w:val="000000" w:themeColor="text1"/>
          <w:sz w:val="22"/>
          <w:szCs w:val="22"/>
        </w:rPr>
        <w:t xml:space="preserve">F. </w:t>
      </w:r>
      <w:r w:rsidRPr="00AF4C9E">
        <w:rPr>
          <w:rFonts w:ascii="Arial" w:hAnsi="Arial" w:cs="Arial"/>
          <w:color w:val="000000" w:themeColor="text1"/>
          <w:sz w:val="22"/>
          <w:szCs w:val="22"/>
        </w:rPr>
        <w:t>Pooled analysis of PFS in patients without LM received ICI monotherapy;</w:t>
      </w:r>
      <w:r w:rsidRPr="00AF4C9E">
        <w:rPr>
          <w:rFonts w:ascii="Arial" w:hAnsi="Arial" w:cs="Arial"/>
          <w:b/>
          <w:color w:val="000000" w:themeColor="text1"/>
          <w:sz w:val="22"/>
          <w:szCs w:val="22"/>
        </w:rPr>
        <w:t xml:space="preserve"> G. </w:t>
      </w:r>
      <w:r w:rsidRPr="00AF4C9E">
        <w:rPr>
          <w:rFonts w:ascii="Arial" w:hAnsi="Arial" w:cs="Arial"/>
          <w:color w:val="000000" w:themeColor="text1"/>
          <w:sz w:val="22"/>
          <w:szCs w:val="22"/>
        </w:rPr>
        <w:t xml:space="preserve">Pooled analysis of OS in patients without LM received ICI based combination therapy; </w:t>
      </w:r>
      <w:r w:rsidRPr="00AF4C9E">
        <w:rPr>
          <w:rFonts w:ascii="Arial" w:hAnsi="Arial" w:cs="Arial"/>
          <w:b/>
          <w:color w:val="000000" w:themeColor="text1"/>
          <w:sz w:val="22"/>
          <w:szCs w:val="22"/>
        </w:rPr>
        <w:t xml:space="preserve">H. </w:t>
      </w:r>
      <w:r w:rsidRPr="00AF4C9E">
        <w:rPr>
          <w:rFonts w:ascii="Arial" w:hAnsi="Arial" w:cs="Arial"/>
          <w:color w:val="000000" w:themeColor="text1"/>
          <w:sz w:val="22"/>
          <w:szCs w:val="22"/>
        </w:rPr>
        <w:t>Pooled analysis of PFS in patients without LM received ICI based combination therapy. LM, liver metastasis.</w:t>
      </w:r>
    </w:p>
    <w:p w14:paraId="32425BB9" w14:textId="60F28F36" w:rsidR="00E56B28" w:rsidRPr="00AF4C9E" w:rsidRDefault="00E56B28" w:rsidP="005C3925">
      <w:pPr>
        <w:autoSpaceDE w:val="0"/>
        <w:autoSpaceDN w:val="0"/>
        <w:adjustRightInd w:val="0"/>
        <w:snapToGrid w:val="0"/>
        <w:spacing w:line="360" w:lineRule="auto"/>
        <w:contextualSpacing/>
        <w:rPr>
          <w:rFonts w:ascii="Arial" w:hAnsi="Arial" w:cs="Arial"/>
          <w:b/>
          <w:sz w:val="22"/>
          <w:szCs w:val="22"/>
        </w:rPr>
      </w:pPr>
    </w:p>
    <w:sectPr w:rsidR="00E56B28" w:rsidRPr="00AF4C9E" w:rsidSect="001D50AB">
      <w:pgSz w:w="11900" w:h="16840"/>
      <w:pgMar w:top="1440" w:right="1800" w:bottom="1440" w:left="180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00000029"/>
    <w:lvl w:ilvl="0">
      <w:start w:val="1"/>
      <w:numFmt w:val="decimal"/>
      <w:lvlText w:val="%1."/>
      <w:lvlJc w:val="left"/>
      <w:pPr>
        <w:tabs>
          <w:tab w:val="left" w:pos="502"/>
        </w:tabs>
        <w:ind w:left="502" w:hanging="360"/>
      </w:pPr>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abstractNum w:abstractNumId="1" w15:restartNumberingAfterBreak="0">
    <w:nsid w:val="1B3441C1"/>
    <w:multiLevelType w:val="multilevel"/>
    <w:tmpl w:val="1B3441C1"/>
    <w:lvl w:ilvl="0">
      <w:start w:val="1"/>
      <w:numFmt w:val="decimal"/>
      <w:lvlText w:val="%1."/>
      <w:lvlJc w:val="left"/>
      <w:pPr>
        <w:ind w:left="360" w:hanging="360"/>
      </w:pPr>
      <w:rPr>
        <w:rFonts w:hint="default"/>
      </w:rPr>
    </w:lvl>
    <w:lvl w:ilvl="1" w:tentative="1">
      <w:start w:val="1"/>
      <w:numFmt w:val="lowerLetter"/>
      <w:lvlText w:val="%2)"/>
      <w:lvlJc w:val="left"/>
      <w:pPr>
        <w:ind w:left="556" w:hanging="420"/>
      </w:pPr>
    </w:lvl>
    <w:lvl w:ilvl="2" w:tentative="1">
      <w:start w:val="1"/>
      <w:numFmt w:val="lowerRoman"/>
      <w:lvlText w:val="%3."/>
      <w:lvlJc w:val="right"/>
      <w:pPr>
        <w:ind w:left="976" w:hanging="420"/>
      </w:pPr>
    </w:lvl>
    <w:lvl w:ilvl="3" w:tentative="1">
      <w:start w:val="1"/>
      <w:numFmt w:val="decimal"/>
      <w:lvlText w:val="%4."/>
      <w:lvlJc w:val="left"/>
      <w:pPr>
        <w:ind w:left="1396" w:hanging="420"/>
      </w:pPr>
    </w:lvl>
    <w:lvl w:ilvl="4" w:tentative="1">
      <w:start w:val="1"/>
      <w:numFmt w:val="lowerLetter"/>
      <w:lvlText w:val="%5)"/>
      <w:lvlJc w:val="left"/>
      <w:pPr>
        <w:ind w:left="1816" w:hanging="420"/>
      </w:pPr>
    </w:lvl>
    <w:lvl w:ilvl="5" w:tentative="1">
      <w:start w:val="1"/>
      <w:numFmt w:val="lowerRoman"/>
      <w:lvlText w:val="%6."/>
      <w:lvlJc w:val="right"/>
      <w:pPr>
        <w:ind w:left="2236" w:hanging="420"/>
      </w:pPr>
    </w:lvl>
    <w:lvl w:ilvl="6" w:tentative="1">
      <w:start w:val="1"/>
      <w:numFmt w:val="decimal"/>
      <w:lvlText w:val="%7."/>
      <w:lvlJc w:val="left"/>
      <w:pPr>
        <w:ind w:left="2656" w:hanging="420"/>
      </w:pPr>
    </w:lvl>
    <w:lvl w:ilvl="7" w:tentative="1">
      <w:start w:val="1"/>
      <w:numFmt w:val="lowerLetter"/>
      <w:lvlText w:val="%8)"/>
      <w:lvlJc w:val="left"/>
      <w:pPr>
        <w:ind w:left="3076" w:hanging="420"/>
      </w:pPr>
    </w:lvl>
    <w:lvl w:ilvl="8" w:tentative="1">
      <w:start w:val="1"/>
      <w:numFmt w:val="lowerRoman"/>
      <w:lvlText w:val="%9."/>
      <w:lvlJc w:val="right"/>
      <w:pPr>
        <w:ind w:left="3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als of Onc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074ED"/>
    <w:rsid w:val="00005FAA"/>
    <w:rsid w:val="000149C3"/>
    <w:rsid w:val="00025EBC"/>
    <w:rsid w:val="0003306F"/>
    <w:rsid w:val="00034193"/>
    <w:rsid w:val="000347ED"/>
    <w:rsid w:val="0003739D"/>
    <w:rsid w:val="00037C58"/>
    <w:rsid w:val="000466D7"/>
    <w:rsid w:val="0004676F"/>
    <w:rsid w:val="000529A4"/>
    <w:rsid w:val="00052F6D"/>
    <w:rsid w:val="000548D2"/>
    <w:rsid w:val="00055C13"/>
    <w:rsid w:val="000603FE"/>
    <w:rsid w:val="00062EE3"/>
    <w:rsid w:val="000638BD"/>
    <w:rsid w:val="00064A28"/>
    <w:rsid w:val="00065DAE"/>
    <w:rsid w:val="00073F62"/>
    <w:rsid w:val="0007465C"/>
    <w:rsid w:val="00080937"/>
    <w:rsid w:val="00081694"/>
    <w:rsid w:val="00081881"/>
    <w:rsid w:val="00086D19"/>
    <w:rsid w:val="000871D4"/>
    <w:rsid w:val="00087500"/>
    <w:rsid w:val="00091F30"/>
    <w:rsid w:val="00097F4F"/>
    <w:rsid w:val="000A4022"/>
    <w:rsid w:val="000A446F"/>
    <w:rsid w:val="000A7EC9"/>
    <w:rsid w:val="000B05D3"/>
    <w:rsid w:val="000B216F"/>
    <w:rsid w:val="000B397A"/>
    <w:rsid w:val="000B48EC"/>
    <w:rsid w:val="000B51A2"/>
    <w:rsid w:val="000C2507"/>
    <w:rsid w:val="000C4685"/>
    <w:rsid w:val="000D30F0"/>
    <w:rsid w:val="000D3E92"/>
    <w:rsid w:val="000D46D2"/>
    <w:rsid w:val="000D6017"/>
    <w:rsid w:val="000D6123"/>
    <w:rsid w:val="000F238D"/>
    <w:rsid w:val="000F2941"/>
    <w:rsid w:val="00101F26"/>
    <w:rsid w:val="00106420"/>
    <w:rsid w:val="001104EF"/>
    <w:rsid w:val="00120C51"/>
    <w:rsid w:val="0012256B"/>
    <w:rsid w:val="00122ABC"/>
    <w:rsid w:val="001236BE"/>
    <w:rsid w:val="00133A74"/>
    <w:rsid w:val="0013433D"/>
    <w:rsid w:val="00135235"/>
    <w:rsid w:val="001416DF"/>
    <w:rsid w:val="00142DA7"/>
    <w:rsid w:val="001439E0"/>
    <w:rsid w:val="001451DD"/>
    <w:rsid w:val="00151A95"/>
    <w:rsid w:val="001551DB"/>
    <w:rsid w:val="00156126"/>
    <w:rsid w:val="00156312"/>
    <w:rsid w:val="001613B3"/>
    <w:rsid w:val="00163092"/>
    <w:rsid w:val="001636B1"/>
    <w:rsid w:val="0017025E"/>
    <w:rsid w:val="00172DCD"/>
    <w:rsid w:val="001756E7"/>
    <w:rsid w:val="00185F29"/>
    <w:rsid w:val="00190B10"/>
    <w:rsid w:val="001A0EA8"/>
    <w:rsid w:val="001A13C3"/>
    <w:rsid w:val="001A2948"/>
    <w:rsid w:val="001A5803"/>
    <w:rsid w:val="001B0365"/>
    <w:rsid w:val="001B289A"/>
    <w:rsid w:val="001B4040"/>
    <w:rsid w:val="001B77A7"/>
    <w:rsid w:val="001D2EB6"/>
    <w:rsid w:val="001D3CB4"/>
    <w:rsid w:val="001D50AB"/>
    <w:rsid w:val="001E23A7"/>
    <w:rsid w:val="001E3A2E"/>
    <w:rsid w:val="001F0FD5"/>
    <w:rsid w:val="001F2582"/>
    <w:rsid w:val="001F3539"/>
    <w:rsid w:val="001F4137"/>
    <w:rsid w:val="00201ED5"/>
    <w:rsid w:val="0020767A"/>
    <w:rsid w:val="00210233"/>
    <w:rsid w:val="00213749"/>
    <w:rsid w:val="00223316"/>
    <w:rsid w:val="00225B63"/>
    <w:rsid w:val="00235874"/>
    <w:rsid w:val="002369BF"/>
    <w:rsid w:val="0024131E"/>
    <w:rsid w:val="002427FD"/>
    <w:rsid w:val="00243861"/>
    <w:rsid w:val="00250F8F"/>
    <w:rsid w:val="0025315E"/>
    <w:rsid w:val="002541D7"/>
    <w:rsid w:val="00255F1E"/>
    <w:rsid w:val="0026284F"/>
    <w:rsid w:val="0026382C"/>
    <w:rsid w:val="002762BE"/>
    <w:rsid w:val="00276A93"/>
    <w:rsid w:val="00277C77"/>
    <w:rsid w:val="00280524"/>
    <w:rsid w:val="00290A3C"/>
    <w:rsid w:val="002911A1"/>
    <w:rsid w:val="002973E9"/>
    <w:rsid w:val="00297E9D"/>
    <w:rsid w:val="00297ED1"/>
    <w:rsid w:val="002A023C"/>
    <w:rsid w:val="002A7F9D"/>
    <w:rsid w:val="002B08CA"/>
    <w:rsid w:val="002B6A79"/>
    <w:rsid w:val="002B7868"/>
    <w:rsid w:val="002C4AA0"/>
    <w:rsid w:val="002C56A5"/>
    <w:rsid w:val="002C6EFE"/>
    <w:rsid w:val="002D76B7"/>
    <w:rsid w:val="002D772F"/>
    <w:rsid w:val="002E6F69"/>
    <w:rsid w:val="002F2C8F"/>
    <w:rsid w:val="002F7331"/>
    <w:rsid w:val="002F7B12"/>
    <w:rsid w:val="003026EE"/>
    <w:rsid w:val="00303E61"/>
    <w:rsid w:val="0030490D"/>
    <w:rsid w:val="003073CB"/>
    <w:rsid w:val="0030775A"/>
    <w:rsid w:val="003156DD"/>
    <w:rsid w:val="0032096E"/>
    <w:rsid w:val="00321F83"/>
    <w:rsid w:val="00323969"/>
    <w:rsid w:val="00325513"/>
    <w:rsid w:val="00326DFD"/>
    <w:rsid w:val="003273FB"/>
    <w:rsid w:val="00331AAB"/>
    <w:rsid w:val="003340BB"/>
    <w:rsid w:val="00342213"/>
    <w:rsid w:val="00345FDB"/>
    <w:rsid w:val="003516F9"/>
    <w:rsid w:val="003517C8"/>
    <w:rsid w:val="00352B74"/>
    <w:rsid w:val="00361D11"/>
    <w:rsid w:val="00366452"/>
    <w:rsid w:val="003674D9"/>
    <w:rsid w:val="00370C46"/>
    <w:rsid w:val="00370DB2"/>
    <w:rsid w:val="003732D7"/>
    <w:rsid w:val="00376B73"/>
    <w:rsid w:val="00377DF4"/>
    <w:rsid w:val="00383512"/>
    <w:rsid w:val="0038584E"/>
    <w:rsid w:val="00385E86"/>
    <w:rsid w:val="00390451"/>
    <w:rsid w:val="00394AC8"/>
    <w:rsid w:val="003968F1"/>
    <w:rsid w:val="00396ED1"/>
    <w:rsid w:val="003A0A83"/>
    <w:rsid w:val="003A2801"/>
    <w:rsid w:val="003A4419"/>
    <w:rsid w:val="003A532F"/>
    <w:rsid w:val="003B187B"/>
    <w:rsid w:val="003C1A79"/>
    <w:rsid w:val="003C4014"/>
    <w:rsid w:val="003C4437"/>
    <w:rsid w:val="003C4C37"/>
    <w:rsid w:val="003C4DBC"/>
    <w:rsid w:val="003C51BC"/>
    <w:rsid w:val="003D4C10"/>
    <w:rsid w:val="003D4E7A"/>
    <w:rsid w:val="003D54A5"/>
    <w:rsid w:val="003E139F"/>
    <w:rsid w:val="003E225B"/>
    <w:rsid w:val="003E2C5E"/>
    <w:rsid w:val="003E4913"/>
    <w:rsid w:val="003E5EBF"/>
    <w:rsid w:val="003F4A8A"/>
    <w:rsid w:val="003F7378"/>
    <w:rsid w:val="0040189E"/>
    <w:rsid w:val="00403BE3"/>
    <w:rsid w:val="004142C9"/>
    <w:rsid w:val="00416797"/>
    <w:rsid w:val="00416ADF"/>
    <w:rsid w:val="00424E5D"/>
    <w:rsid w:val="00430435"/>
    <w:rsid w:val="004305FF"/>
    <w:rsid w:val="00431440"/>
    <w:rsid w:val="0043168C"/>
    <w:rsid w:val="00433B23"/>
    <w:rsid w:val="004342F5"/>
    <w:rsid w:val="00437916"/>
    <w:rsid w:val="00442DF0"/>
    <w:rsid w:val="00442F5D"/>
    <w:rsid w:val="0044428B"/>
    <w:rsid w:val="00454D20"/>
    <w:rsid w:val="00457644"/>
    <w:rsid w:val="004606BD"/>
    <w:rsid w:val="004620BA"/>
    <w:rsid w:val="00465875"/>
    <w:rsid w:val="00465C2D"/>
    <w:rsid w:val="004903B0"/>
    <w:rsid w:val="00490E85"/>
    <w:rsid w:val="00492842"/>
    <w:rsid w:val="004937B9"/>
    <w:rsid w:val="00493C03"/>
    <w:rsid w:val="004947BA"/>
    <w:rsid w:val="00494CCB"/>
    <w:rsid w:val="0049745B"/>
    <w:rsid w:val="004A0675"/>
    <w:rsid w:val="004A79D6"/>
    <w:rsid w:val="004B153B"/>
    <w:rsid w:val="004B3B75"/>
    <w:rsid w:val="004B4339"/>
    <w:rsid w:val="004C137D"/>
    <w:rsid w:val="004C1A2C"/>
    <w:rsid w:val="004C2CA4"/>
    <w:rsid w:val="004C3399"/>
    <w:rsid w:val="004C465E"/>
    <w:rsid w:val="004D1167"/>
    <w:rsid w:val="004E3257"/>
    <w:rsid w:val="004E4DE9"/>
    <w:rsid w:val="004F0959"/>
    <w:rsid w:val="004F4744"/>
    <w:rsid w:val="00500B1B"/>
    <w:rsid w:val="00501392"/>
    <w:rsid w:val="0050770D"/>
    <w:rsid w:val="005078F9"/>
    <w:rsid w:val="0051019C"/>
    <w:rsid w:val="00510BEA"/>
    <w:rsid w:val="005139F5"/>
    <w:rsid w:val="00515AC9"/>
    <w:rsid w:val="0051671B"/>
    <w:rsid w:val="00517A49"/>
    <w:rsid w:val="00525737"/>
    <w:rsid w:val="00527DED"/>
    <w:rsid w:val="0053466D"/>
    <w:rsid w:val="00535963"/>
    <w:rsid w:val="00542679"/>
    <w:rsid w:val="00544150"/>
    <w:rsid w:val="00547E47"/>
    <w:rsid w:val="00550F14"/>
    <w:rsid w:val="00554B4D"/>
    <w:rsid w:val="00556330"/>
    <w:rsid w:val="00563B17"/>
    <w:rsid w:val="00565C44"/>
    <w:rsid w:val="00570432"/>
    <w:rsid w:val="005825F1"/>
    <w:rsid w:val="005847FA"/>
    <w:rsid w:val="0058654B"/>
    <w:rsid w:val="00587042"/>
    <w:rsid w:val="005949D9"/>
    <w:rsid w:val="00596191"/>
    <w:rsid w:val="005A0399"/>
    <w:rsid w:val="005A041E"/>
    <w:rsid w:val="005A424C"/>
    <w:rsid w:val="005A6AE9"/>
    <w:rsid w:val="005C3925"/>
    <w:rsid w:val="005D1B3C"/>
    <w:rsid w:val="005D66C2"/>
    <w:rsid w:val="005E0745"/>
    <w:rsid w:val="005E2DA9"/>
    <w:rsid w:val="005E6346"/>
    <w:rsid w:val="005E7C5F"/>
    <w:rsid w:val="005F0B28"/>
    <w:rsid w:val="005F2F8D"/>
    <w:rsid w:val="005F3FCC"/>
    <w:rsid w:val="00601C34"/>
    <w:rsid w:val="0060427A"/>
    <w:rsid w:val="0060469B"/>
    <w:rsid w:val="00607B9F"/>
    <w:rsid w:val="0061131B"/>
    <w:rsid w:val="00616E77"/>
    <w:rsid w:val="006200C2"/>
    <w:rsid w:val="006223B9"/>
    <w:rsid w:val="00623213"/>
    <w:rsid w:val="00625449"/>
    <w:rsid w:val="00630A55"/>
    <w:rsid w:val="00640BEC"/>
    <w:rsid w:val="0064287D"/>
    <w:rsid w:val="00645D0C"/>
    <w:rsid w:val="0064680D"/>
    <w:rsid w:val="006471E0"/>
    <w:rsid w:val="0064753B"/>
    <w:rsid w:val="0065207B"/>
    <w:rsid w:val="00664D1B"/>
    <w:rsid w:val="00665A53"/>
    <w:rsid w:val="00667183"/>
    <w:rsid w:val="006709F1"/>
    <w:rsid w:val="00673EBB"/>
    <w:rsid w:val="00676A7C"/>
    <w:rsid w:val="006850C0"/>
    <w:rsid w:val="00685D2F"/>
    <w:rsid w:val="00693DEA"/>
    <w:rsid w:val="0069475D"/>
    <w:rsid w:val="00694F53"/>
    <w:rsid w:val="00696544"/>
    <w:rsid w:val="006965B8"/>
    <w:rsid w:val="0069733F"/>
    <w:rsid w:val="006A1F2F"/>
    <w:rsid w:val="006A24FA"/>
    <w:rsid w:val="006A41C0"/>
    <w:rsid w:val="006A5CD4"/>
    <w:rsid w:val="006B2420"/>
    <w:rsid w:val="006B7466"/>
    <w:rsid w:val="006C74E6"/>
    <w:rsid w:val="006D33F4"/>
    <w:rsid w:val="006D7BC4"/>
    <w:rsid w:val="006E016A"/>
    <w:rsid w:val="006E40B9"/>
    <w:rsid w:val="006E70C4"/>
    <w:rsid w:val="006E7D7F"/>
    <w:rsid w:val="006F2A3D"/>
    <w:rsid w:val="006F2F2D"/>
    <w:rsid w:val="006F55DD"/>
    <w:rsid w:val="006F604F"/>
    <w:rsid w:val="007074ED"/>
    <w:rsid w:val="00710137"/>
    <w:rsid w:val="0071035C"/>
    <w:rsid w:val="00711B17"/>
    <w:rsid w:val="00712573"/>
    <w:rsid w:val="0071567C"/>
    <w:rsid w:val="00732153"/>
    <w:rsid w:val="00733E8A"/>
    <w:rsid w:val="00734F86"/>
    <w:rsid w:val="00737701"/>
    <w:rsid w:val="00740776"/>
    <w:rsid w:val="00744C4D"/>
    <w:rsid w:val="0074632C"/>
    <w:rsid w:val="007526C3"/>
    <w:rsid w:val="00752A39"/>
    <w:rsid w:val="00753B41"/>
    <w:rsid w:val="007552ED"/>
    <w:rsid w:val="00757302"/>
    <w:rsid w:val="00757D6C"/>
    <w:rsid w:val="00760637"/>
    <w:rsid w:val="007608FB"/>
    <w:rsid w:val="00763516"/>
    <w:rsid w:val="00766328"/>
    <w:rsid w:val="0076777E"/>
    <w:rsid w:val="00770806"/>
    <w:rsid w:val="00770B03"/>
    <w:rsid w:val="0077125C"/>
    <w:rsid w:val="00773170"/>
    <w:rsid w:val="00774474"/>
    <w:rsid w:val="007745E5"/>
    <w:rsid w:val="007833D5"/>
    <w:rsid w:val="007963A7"/>
    <w:rsid w:val="007A0065"/>
    <w:rsid w:val="007A2492"/>
    <w:rsid w:val="007B1E19"/>
    <w:rsid w:val="007B71A0"/>
    <w:rsid w:val="007B7C4E"/>
    <w:rsid w:val="007C0C19"/>
    <w:rsid w:val="007C14FC"/>
    <w:rsid w:val="007C5937"/>
    <w:rsid w:val="007C7529"/>
    <w:rsid w:val="007D26A3"/>
    <w:rsid w:val="007D30DE"/>
    <w:rsid w:val="007D5CFB"/>
    <w:rsid w:val="007D723F"/>
    <w:rsid w:val="007E2EFC"/>
    <w:rsid w:val="007F034E"/>
    <w:rsid w:val="007F054F"/>
    <w:rsid w:val="007F3E6A"/>
    <w:rsid w:val="007F4654"/>
    <w:rsid w:val="008001A4"/>
    <w:rsid w:val="00802A79"/>
    <w:rsid w:val="008032B6"/>
    <w:rsid w:val="00807B51"/>
    <w:rsid w:val="008102F5"/>
    <w:rsid w:val="00810BE1"/>
    <w:rsid w:val="008122D6"/>
    <w:rsid w:val="008137E4"/>
    <w:rsid w:val="00814957"/>
    <w:rsid w:val="00816A6D"/>
    <w:rsid w:val="00817AE0"/>
    <w:rsid w:val="00822880"/>
    <w:rsid w:val="008234C9"/>
    <w:rsid w:val="008240B7"/>
    <w:rsid w:val="00824FBE"/>
    <w:rsid w:val="008270A7"/>
    <w:rsid w:val="00833891"/>
    <w:rsid w:val="008340E7"/>
    <w:rsid w:val="008365E6"/>
    <w:rsid w:val="00836843"/>
    <w:rsid w:val="008433DF"/>
    <w:rsid w:val="008540CA"/>
    <w:rsid w:val="008578EF"/>
    <w:rsid w:val="00860D51"/>
    <w:rsid w:val="00862ADE"/>
    <w:rsid w:val="0086490F"/>
    <w:rsid w:val="008715CC"/>
    <w:rsid w:val="00872917"/>
    <w:rsid w:val="00875381"/>
    <w:rsid w:val="008759F0"/>
    <w:rsid w:val="00881642"/>
    <w:rsid w:val="00884159"/>
    <w:rsid w:val="00885E8C"/>
    <w:rsid w:val="008916B5"/>
    <w:rsid w:val="00893FC6"/>
    <w:rsid w:val="00894208"/>
    <w:rsid w:val="008A6BF4"/>
    <w:rsid w:val="008B340B"/>
    <w:rsid w:val="008B3F93"/>
    <w:rsid w:val="008B7411"/>
    <w:rsid w:val="008C10B7"/>
    <w:rsid w:val="008C60D8"/>
    <w:rsid w:val="008C6732"/>
    <w:rsid w:val="008D4229"/>
    <w:rsid w:val="008E0604"/>
    <w:rsid w:val="008E0D51"/>
    <w:rsid w:val="008E24B9"/>
    <w:rsid w:val="008E50D1"/>
    <w:rsid w:val="008E67E2"/>
    <w:rsid w:val="00901ECE"/>
    <w:rsid w:val="00914D02"/>
    <w:rsid w:val="00914F78"/>
    <w:rsid w:val="00917B29"/>
    <w:rsid w:val="00921CF4"/>
    <w:rsid w:val="009242FF"/>
    <w:rsid w:val="00924E40"/>
    <w:rsid w:val="0092595F"/>
    <w:rsid w:val="00932CD4"/>
    <w:rsid w:val="0093464F"/>
    <w:rsid w:val="00940081"/>
    <w:rsid w:val="00946FAA"/>
    <w:rsid w:val="00957CDB"/>
    <w:rsid w:val="009620DC"/>
    <w:rsid w:val="0097642E"/>
    <w:rsid w:val="009802BD"/>
    <w:rsid w:val="0098335D"/>
    <w:rsid w:val="0098567A"/>
    <w:rsid w:val="00991AE3"/>
    <w:rsid w:val="00992F6A"/>
    <w:rsid w:val="009A1148"/>
    <w:rsid w:val="009A3126"/>
    <w:rsid w:val="009B197E"/>
    <w:rsid w:val="009B22D8"/>
    <w:rsid w:val="009C660C"/>
    <w:rsid w:val="009D686C"/>
    <w:rsid w:val="009E3D2E"/>
    <w:rsid w:val="009E4DC6"/>
    <w:rsid w:val="009F43F7"/>
    <w:rsid w:val="009F719D"/>
    <w:rsid w:val="00A0094F"/>
    <w:rsid w:val="00A02305"/>
    <w:rsid w:val="00A137E3"/>
    <w:rsid w:val="00A1449D"/>
    <w:rsid w:val="00A2399E"/>
    <w:rsid w:val="00A24248"/>
    <w:rsid w:val="00A25725"/>
    <w:rsid w:val="00A32582"/>
    <w:rsid w:val="00A33D7C"/>
    <w:rsid w:val="00A3476A"/>
    <w:rsid w:val="00A41551"/>
    <w:rsid w:val="00A44E7C"/>
    <w:rsid w:val="00A515C8"/>
    <w:rsid w:val="00A5690E"/>
    <w:rsid w:val="00A665FD"/>
    <w:rsid w:val="00A76960"/>
    <w:rsid w:val="00A77CA9"/>
    <w:rsid w:val="00A77DB6"/>
    <w:rsid w:val="00A820E2"/>
    <w:rsid w:val="00A834B7"/>
    <w:rsid w:val="00A866ED"/>
    <w:rsid w:val="00A93DF0"/>
    <w:rsid w:val="00AA3EBD"/>
    <w:rsid w:val="00AA6BB6"/>
    <w:rsid w:val="00AA7CFE"/>
    <w:rsid w:val="00AB1C36"/>
    <w:rsid w:val="00AB6DC4"/>
    <w:rsid w:val="00AB721B"/>
    <w:rsid w:val="00AC052B"/>
    <w:rsid w:val="00AC0F3F"/>
    <w:rsid w:val="00AC7DCA"/>
    <w:rsid w:val="00AD0A98"/>
    <w:rsid w:val="00AD5B9B"/>
    <w:rsid w:val="00AE0AD7"/>
    <w:rsid w:val="00AE27AE"/>
    <w:rsid w:val="00AF4C9E"/>
    <w:rsid w:val="00AF52B4"/>
    <w:rsid w:val="00B14354"/>
    <w:rsid w:val="00B2081A"/>
    <w:rsid w:val="00B22380"/>
    <w:rsid w:val="00B24B15"/>
    <w:rsid w:val="00B3467C"/>
    <w:rsid w:val="00B37BA7"/>
    <w:rsid w:val="00B404D0"/>
    <w:rsid w:val="00B42732"/>
    <w:rsid w:val="00B4285A"/>
    <w:rsid w:val="00B442F9"/>
    <w:rsid w:val="00B53214"/>
    <w:rsid w:val="00B61DEE"/>
    <w:rsid w:val="00B63436"/>
    <w:rsid w:val="00B65DAA"/>
    <w:rsid w:val="00B6712C"/>
    <w:rsid w:val="00B672CA"/>
    <w:rsid w:val="00B6780B"/>
    <w:rsid w:val="00B7011F"/>
    <w:rsid w:val="00B73D7D"/>
    <w:rsid w:val="00B73E15"/>
    <w:rsid w:val="00B76120"/>
    <w:rsid w:val="00B81C95"/>
    <w:rsid w:val="00B82B75"/>
    <w:rsid w:val="00B82C92"/>
    <w:rsid w:val="00B840B6"/>
    <w:rsid w:val="00B92B43"/>
    <w:rsid w:val="00B92B79"/>
    <w:rsid w:val="00B97075"/>
    <w:rsid w:val="00BA03A0"/>
    <w:rsid w:val="00BA4B62"/>
    <w:rsid w:val="00BC44AF"/>
    <w:rsid w:val="00BC5272"/>
    <w:rsid w:val="00BD0580"/>
    <w:rsid w:val="00BD0A34"/>
    <w:rsid w:val="00BD20A7"/>
    <w:rsid w:val="00BD4176"/>
    <w:rsid w:val="00BE01A2"/>
    <w:rsid w:val="00BE3745"/>
    <w:rsid w:val="00BE4E8F"/>
    <w:rsid w:val="00BF110A"/>
    <w:rsid w:val="00BF2A43"/>
    <w:rsid w:val="00BF59EE"/>
    <w:rsid w:val="00C00E34"/>
    <w:rsid w:val="00C01784"/>
    <w:rsid w:val="00C0781E"/>
    <w:rsid w:val="00C12FCC"/>
    <w:rsid w:val="00C13CEF"/>
    <w:rsid w:val="00C25DD2"/>
    <w:rsid w:val="00C26EFD"/>
    <w:rsid w:val="00C2701C"/>
    <w:rsid w:val="00C3310F"/>
    <w:rsid w:val="00C34B77"/>
    <w:rsid w:val="00C35D96"/>
    <w:rsid w:val="00C35FEE"/>
    <w:rsid w:val="00C42667"/>
    <w:rsid w:val="00C42F7D"/>
    <w:rsid w:val="00C44780"/>
    <w:rsid w:val="00C454C9"/>
    <w:rsid w:val="00C45DF4"/>
    <w:rsid w:val="00C4642A"/>
    <w:rsid w:val="00C46DE5"/>
    <w:rsid w:val="00C47606"/>
    <w:rsid w:val="00C50C79"/>
    <w:rsid w:val="00C52E82"/>
    <w:rsid w:val="00C552A8"/>
    <w:rsid w:val="00C561D6"/>
    <w:rsid w:val="00C61668"/>
    <w:rsid w:val="00C638ED"/>
    <w:rsid w:val="00C639B1"/>
    <w:rsid w:val="00C64F27"/>
    <w:rsid w:val="00C66B23"/>
    <w:rsid w:val="00C7041C"/>
    <w:rsid w:val="00C72B7F"/>
    <w:rsid w:val="00C730B6"/>
    <w:rsid w:val="00C76104"/>
    <w:rsid w:val="00C7669C"/>
    <w:rsid w:val="00C85C1A"/>
    <w:rsid w:val="00C91A86"/>
    <w:rsid w:val="00C948F5"/>
    <w:rsid w:val="00C9750B"/>
    <w:rsid w:val="00CA5314"/>
    <w:rsid w:val="00CA65E7"/>
    <w:rsid w:val="00CA700C"/>
    <w:rsid w:val="00CB156F"/>
    <w:rsid w:val="00CB2466"/>
    <w:rsid w:val="00CB4A98"/>
    <w:rsid w:val="00CB54D0"/>
    <w:rsid w:val="00CB6434"/>
    <w:rsid w:val="00CB7675"/>
    <w:rsid w:val="00CD284F"/>
    <w:rsid w:val="00CD5779"/>
    <w:rsid w:val="00CD736C"/>
    <w:rsid w:val="00CE5DBC"/>
    <w:rsid w:val="00CE6A70"/>
    <w:rsid w:val="00CE7814"/>
    <w:rsid w:val="00CE790C"/>
    <w:rsid w:val="00CF0153"/>
    <w:rsid w:val="00D00FE3"/>
    <w:rsid w:val="00D03268"/>
    <w:rsid w:val="00D1170F"/>
    <w:rsid w:val="00D1272A"/>
    <w:rsid w:val="00D17A29"/>
    <w:rsid w:val="00D17FB4"/>
    <w:rsid w:val="00D226B0"/>
    <w:rsid w:val="00D2418F"/>
    <w:rsid w:val="00D2480B"/>
    <w:rsid w:val="00D26D70"/>
    <w:rsid w:val="00D312A7"/>
    <w:rsid w:val="00D3158B"/>
    <w:rsid w:val="00D347D5"/>
    <w:rsid w:val="00D355E8"/>
    <w:rsid w:val="00D457A8"/>
    <w:rsid w:val="00D47489"/>
    <w:rsid w:val="00D51616"/>
    <w:rsid w:val="00D523B8"/>
    <w:rsid w:val="00D52BA5"/>
    <w:rsid w:val="00D539DF"/>
    <w:rsid w:val="00D60851"/>
    <w:rsid w:val="00D6388C"/>
    <w:rsid w:val="00D710B3"/>
    <w:rsid w:val="00D740C6"/>
    <w:rsid w:val="00D83664"/>
    <w:rsid w:val="00D870BC"/>
    <w:rsid w:val="00D94515"/>
    <w:rsid w:val="00DA45BF"/>
    <w:rsid w:val="00DA779D"/>
    <w:rsid w:val="00DB1378"/>
    <w:rsid w:val="00DB27F2"/>
    <w:rsid w:val="00DB5994"/>
    <w:rsid w:val="00DB733C"/>
    <w:rsid w:val="00DC1D5B"/>
    <w:rsid w:val="00DC2954"/>
    <w:rsid w:val="00DC5BB7"/>
    <w:rsid w:val="00DC7F11"/>
    <w:rsid w:val="00DD14AC"/>
    <w:rsid w:val="00DD4CAB"/>
    <w:rsid w:val="00DD5AE6"/>
    <w:rsid w:val="00DE25E2"/>
    <w:rsid w:val="00DE6801"/>
    <w:rsid w:val="00DF1395"/>
    <w:rsid w:val="00DF273F"/>
    <w:rsid w:val="00DF4C98"/>
    <w:rsid w:val="00E069AA"/>
    <w:rsid w:val="00E115AA"/>
    <w:rsid w:val="00E131D6"/>
    <w:rsid w:val="00E13A99"/>
    <w:rsid w:val="00E13F74"/>
    <w:rsid w:val="00E15899"/>
    <w:rsid w:val="00E163C5"/>
    <w:rsid w:val="00E16722"/>
    <w:rsid w:val="00E168E2"/>
    <w:rsid w:val="00E222E0"/>
    <w:rsid w:val="00E27524"/>
    <w:rsid w:val="00E27A3B"/>
    <w:rsid w:val="00E316A9"/>
    <w:rsid w:val="00E33AA4"/>
    <w:rsid w:val="00E375C4"/>
    <w:rsid w:val="00E41CAC"/>
    <w:rsid w:val="00E44141"/>
    <w:rsid w:val="00E46726"/>
    <w:rsid w:val="00E56B28"/>
    <w:rsid w:val="00E6251F"/>
    <w:rsid w:val="00E65D24"/>
    <w:rsid w:val="00E753D3"/>
    <w:rsid w:val="00E7547E"/>
    <w:rsid w:val="00E77E8F"/>
    <w:rsid w:val="00E8070C"/>
    <w:rsid w:val="00E854B4"/>
    <w:rsid w:val="00E86121"/>
    <w:rsid w:val="00E86A83"/>
    <w:rsid w:val="00E93A40"/>
    <w:rsid w:val="00E94BAC"/>
    <w:rsid w:val="00E94F83"/>
    <w:rsid w:val="00EA03C8"/>
    <w:rsid w:val="00EA46CB"/>
    <w:rsid w:val="00EB0C67"/>
    <w:rsid w:val="00EB4603"/>
    <w:rsid w:val="00EB4D5D"/>
    <w:rsid w:val="00EB6B29"/>
    <w:rsid w:val="00EB765F"/>
    <w:rsid w:val="00EB77FA"/>
    <w:rsid w:val="00EC31F8"/>
    <w:rsid w:val="00EC39D5"/>
    <w:rsid w:val="00EC5C5C"/>
    <w:rsid w:val="00ED44A8"/>
    <w:rsid w:val="00EE0DF1"/>
    <w:rsid w:val="00EE6AB8"/>
    <w:rsid w:val="00EE787C"/>
    <w:rsid w:val="00EF5A7E"/>
    <w:rsid w:val="00F011D7"/>
    <w:rsid w:val="00F02C9E"/>
    <w:rsid w:val="00F02D2D"/>
    <w:rsid w:val="00F032F7"/>
    <w:rsid w:val="00F21F3C"/>
    <w:rsid w:val="00F37A26"/>
    <w:rsid w:val="00F4153A"/>
    <w:rsid w:val="00F43908"/>
    <w:rsid w:val="00F43968"/>
    <w:rsid w:val="00F5296D"/>
    <w:rsid w:val="00F532EB"/>
    <w:rsid w:val="00F53B19"/>
    <w:rsid w:val="00F549D2"/>
    <w:rsid w:val="00F54DA7"/>
    <w:rsid w:val="00F573FE"/>
    <w:rsid w:val="00F743CD"/>
    <w:rsid w:val="00F7698D"/>
    <w:rsid w:val="00F829B9"/>
    <w:rsid w:val="00F83FB6"/>
    <w:rsid w:val="00F91CB1"/>
    <w:rsid w:val="00F91E06"/>
    <w:rsid w:val="00F92C27"/>
    <w:rsid w:val="00F94AE0"/>
    <w:rsid w:val="00F94C9D"/>
    <w:rsid w:val="00F96AED"/>
    <w:rsid w:val="00F970E9"/>
    <w:rsid w:val="00FA75AC"/>
    <w:rsid w:val="00FB01BF"/>
    <w:rsid w:val="00FB1513"/>
    <w:rsid w:val="00FC0930"/>
    <w:rsid w:val="00FC1189"/>
    <w:rsid w:val="00FC3318"/>
    <w:rsid w:val="00FC6013"/>
    <w:rsid w:val="00FC6FB2"/>
    <w:rsid w:val="00FD47BC"/>
    <w:rsid w:val="00FD525F"/>
    <w:rsid w:val="00FD5F87"/>
    <w:rsid w:val="00FD7BE6"/>
    <w:rsid w:val="00FE072B"/>
    <w:rsid w:val="00FE0B92"/>
    <w:rsid w:val="00FE13F7"/>
    <w:rsid w:val="00FE2BA8"/>
    <w:rsid w:val="00FF474C"/>
    <w:rsid w:val="00FF4FA9"/>
    <w:rsid w:val="00FF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CA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28"/>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link w:val="p0Char"/>
    <w:rsid w:val="007074ED"/>
    <w:pPr>
      <w:jc w:val="both"/>
    </w:pPr>
    <w:rPr>
      <w:rFonts w:eastAsia="SimSun"/>
      <w:sz w:val="20"/>
      <w:szCs w:val="21"/>
      <w:lang w:val="x-none" w:eastAsia="x-none"/>
    </w:rPr>
  </w:style>
  <w:style w:type="character" w:customStyle="1" w:styleId="p0Char">
    <w:name w:val="p0 Char"/>
    <w:link w:val="p0"/>
    <w:rsid w:val="007074ED"/>
    <w:rPr>
      <w:rFonts w:ascii="Times New Roman" w:eastAsia="SimSun" w:hAnsi="Times New Roman" w:cs="Times New Roman"/>
      <w:kern w:val="0"/>
      <w:sz w:val="20"/>
      <w:szCs w:val="21"/>
      <w:lang w:val="x-none" w:eastAsia="x-none"/>
    </w:rPr>
  </w:style>
  <w:style w:type="paragraph" w:customStyle="1" w:styleId="EndNoteBibliographyTitle">
    <w:name w:val="EndNote Bibliography Title"/>
    <w:basedOn w:val="Normal"/>
    <w:rsid w:val="005825F1"/>
    <w:pPr>
      <w:jc w:val="center"/>
    </w:pPr>
  </w:style>
  <w:style w:type="paragraph" w:customStyle="1" w:styleId="EndNoteBibliography">
    <w:name w:val="EndNote Bibliography"/>
    <w:basedOn w:val="Normal"/>
    <w:rsid w:val="005825F1"/>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2820">
      <w:bodyDiv w:val="1"/>
      <w:marLeft w:val="0"/>
      <w:marRight w:val="0"/>
      <w:marTop w:val="0"/>
      <w:marBottom w:val="0"/>
      <w:divBdr>
        <w:top w:val="none" w:sz="0" w:space="0" w:color="auto"/>
        <w:left w:val="none" w:sz="0" w:space="0" w:color="auto"/>
        <w:bottom w:val="none" w:sz="0" w:space="0" w:color="auto"/>
        <w:right w:val="none" w:sz="0" w:space="0" w:color="auto"/>
      </w:divBdr>
    </w:div>
    <w:div w:id="729420209">
      <w:bodyDiv w:val="1"/>
      <w:marLeft w:val="0"/>
      <w:marRight w:val="0"/>
      <w:marTop w:val="0"/>
      <w:marBottom w:val="0"/>
      <w:divBdr>
        <w:top w:val="none" w:sz="0" w:space="0" w:color="auto"/>
        <w:left w:val="none" w:sz="0" w:space="0" w:color="auto"/>
        <w:bottom w:val="none" w:sz="0" w:space="0" w:color="auto"/>
        <w:right w:val="none" w:sz="0" w:space="0" w:color="auto"/>
      </w:divBdr>
    </w:div>
    <w:div w:id="839587514">
      <w:bodyDiv w:val="1"/>
      <w:marLeft w:val="0"/>
      <w:marRight w:val="0"/>
      <w:marTop w:val="0"/>
      <w:marBottom w:val="0"/>
      <w:divBdr>
        <w:top w:val="none" w:sz="0" w:space="0" w:color="auto"/>
        <w:left w:val="none" w:sz="0" w:space="0" w:color="auto"/>
        <w:bottom w:val="none" w:sz="0" w:space="0" w:color="auto"/>
        <w:right w:val="none" w:sz="0" w:space="0" w:color="auto"/>
      </w:divBdr>
    </w:div>
    <w:div w:id="1331716913">
      <w:bodyDiv w:val="1"/>
      <w:marLeft w:val="0"/>
      <w:marRight w:val="0"/>
      <w:marTop w:val="0"/>
      <w:marBottom w:val="0"/>
      <w:divBdr>
        <w:top w:val="none" w:sz="0" w:space="0" w:color="auto"/>
        <w:left w:val="none" w:sz="0" w:space="0" w:color="auto"/>
        <w:bottom w:val="none" w:sz="0" w:space="0" w:color="auto"/>
        <w:right w:val="none" w:sz="0" w:space="0" w:color="auto"/>
      </w:divBdr>
    </w:div>
    <w:div w:id="1344092505">
      <w:bodyDiv w:val="1"/>
      <w:marLeft w:val="0"/>
      <w:marRight w:val="0"/>
      <w:marTop w:val="0"/>
      <w:marBottom w:val="0"/>
      <w:divBdr>
        <w:top w:val="none" w:sz="0" w:space="0" w:color="auto"/>
        <w:left w:val="none" w:sz="0" w:space="0" w:color="auto"/>
        <w:bottom w:val="none" w:sz="0" w:space="0" w:color="auto"/>
        <w:right w:val="none" w:sz="0" w:space="0" w:color="auto"/>
      </w:divBdr>
    </w:div>
    <w:div w:id="1376585423">
      <w:bodyDiv w:val="1"/>
      <w:marLeft w:val="0"/>
      <w:marRight w:val="0"/>
      <w:marTop w:val="0"/>
      <w:marBottom w:val="0"/>
      <w:divBdr>
        <w:top w:val="none" w:sz="0" w:space="0" w:color="auto"/>
        <w:left w:val="none" w:sz="0" w:space="0" w:color="auto"/>
        <w:bottom w:val="none" w:sz="0" w:space="0" w:color="auto"/>
        <w:right w:val="none" w:sz="0" w:space="0" w:color="auto"/>
      </w:divBdr>
    </w:div>
    <w:div w:id="1453205099">
      <w:bodyDiv w:val="1"/>
      <w:marLeft w:val="0"/>
      <w:marRight w:val="0"/>
      <w:marTop w:val="0"/>
      <w:marBottom w:val="0"/>
      <w:divBdr>
        <w:top w:val="none" w:sz="0" w:space="0" w:color="auto"/>
        <w:left w:val="none" w:sz="0" w:space="0" w:color="auto"/>
        <w:bottom w:val="none" w:sz="0" w:space="0" w:color="auto"/>
        <w:right w:val="none" w:sz="0" w:space="0" w:color="auto"/>
      </w:divBdr>
    </w:div>
    <w:div w:id="1492286358">
      <w:bodyDiv w:val="1"/>
      <w:marLeft w:val="0"/>
      <w:marRight w:val="0"/>
      <w:marTop w:val="0"/>
      <w:marBottom w:val="0"/>
      <w:divBdr>
        <w:top w:val="none" w:sz="0" w:space="0" w:color="auto"/>
        <w:left w:val="none" w:sz="0" w:space="0" w:color="auto"/>
        <w:bottom w:val="none" w:sz="0" w:space="0" w:color="auto"/>
        <w:right w:val="none" w:sz="0" w:space="0" w:color="auto"/>
      </w:divBdr>
    </w:div>
    <w:div w:id="1596090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1480</Words>
  <Characters>8440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Claire Percival</cp:lastModifiedBy>
  <cp:revision>2</cp:revision>
  <cp:lastPrinted>2018-02-02T11:19:00Z</cp:lastPrinted>
  <dcterms:created xsi:type="dcterms:W3CDTF">2021-06-22T15:23:00Z</dcterms:created>
  <dcterms:modified xsi:type="dcterms:W3CDTF">2021-06-22T15:23:00Z</dcterms:modified>
</cp:coreProperties>
</file>