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31D4" w14:textId="56706F80" w:rsidR="00C33B39" w:rsidRPr="00C33B39" w:rsidRDefault="00EC03A0" w:rsidP="00EC03A0">
      <w:pPr>
        <w:pStyle w:val="MDPI41tablecaption"/>
        <w:spacing w:before="0"/>
        <w:ind w:left="-426" w:right="0"/>
        <w:rPr>
          <w:lang w:val="en-GB"/>
        </w:rPr>
      </w:pPr>
      <w:r>
        <w:rPr>
          <w:b/>
          <w:lang w:val="en-GB"/>
        </w:rPr>
        <w:t xml:space="preserve">Supplementary </w:t>
      </w:r>
      <w:r w:rsidRPr="000615F7">
        <w:rPr>
          <w:b/>
          <w:lang w:val="en-GB"/>
        </w:rPr>
        <w:t xml:space="preserve">Table </w:t>
      </w:r>
      <w:r w:rsidR="00B21E6C">
        <w:rPr>
          <w:b/>
          <w:lang w:val="en-GB"/>
        </w:rPr>
        <w:t>7</w:t>
      </w:r>
      <w:r w:rsidRPr="000615F7">
        <w:rPr>
          <w:b/>
          <w:lang w:val="en-GB"/>
        </w:rPr>
        <w:t>.</w:t>
      </w:r>
      <w:r w:rsidRPr="000615F7">
        <w:rPr>
          <w:lang w:val="en-GB"/>
        </w:rPr>
        <w:t xml:space="preserve"> </w:t>
      </w:r>
      <w:r w:rsidRPr="000F5867">
        <w:rPr>
          <w:lang w:val="en-GB"/>
        </w:rPr>
        <w:t>Demographic</w:t>
      </w:r>
      <w:r>
        <w:rPr>
          <w:lang w:val="en-GB"/>
        </w:rPr>
        <w:t>s</w:t>
      </w:r>
      <w:r w:rsidRPr="000F5867">
        <w:rPr>
          <w:lang w:val="en-GB"/>
        </w:rPr>
        <w:t xml:space="preserve"> and clinical characteristics of </w:t>
      </w:r>
      <w:r>
        <w:rPr>
          <w:lang w:val="en-GB"/>
        </w:rPr>
        <w:t>SRI-4 responders reporting severe and non-severe FACIT-F at week 52 in the pooled BLISS study population</w:t>
      </w:r>
    </w:p>
    <w:tbl>
      <w:tblPr>
        <w:tblStyle w:val="GridTable1Light1"/>
        <w:tblW w:w="5322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800"/>
        <w:gridCol w:w="1800"/>
        <w:gridCol w:w="1800"/>
        <w:gridCol w:w="1416"/>
      </w:tblGrid>
      <w:tr w:rsidR="00AD666A" w:rsidRPr="000615F7" w14:paraId="307B7D5E" w14:textId="77777777" w:rsidTr="00982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83A9C4" w14:textId="77777777" w:rsidR="00AD666A" w:rsidRPr="000615F7" w:rsidRDefault="00AD666A" w:rsidP="003546C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3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614F530" w14:textId="1C704E91" w:rsidR="00AD666A" w:rsidRDefault="00562035" w:rsidP="0044269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</w:pP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SRI-4 responders</w:t>
            </w:r>
          </w:p>
          <w:p w14:paraId="3014768E" w14:textId="4C77A6B2" w:rsidR="00F37AD1" w:rsidRPr="00314C49" w:rsidRDefault="00AD666A" w:rsidP="00F37AD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</w:pP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N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=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7</w:t>
            </w:r>
            <w:r w:rsidR="00984DA3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93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CCE9B" w14:textId="63030D45" w:rsidR="00AD666A" w:rsidRPr="00FD6767" w:rsidRDefault="009A2E56" w:rsidP="00AD66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</w:pP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FACIT</w:t>
            </w:r>
            <w:r w:rsidR="00EC03A0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-F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 xml:space="preserve"> &lt;30</w:t>
            </w:r>
          </w:p>
          <w:p w14:paraId="1C1501D3" w14:textId="46686CB9" w:rsidR="00AD666A" w:rsidRPr="00314C49" w:rsidRDefault="00AD666A" w:rsidP="00AD66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N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=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="009A2E56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93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CD13082" w14:textId="161BCB0D" w:rsidR="00AD666A" w:rsidRPr="00FD6767" w:rsidRDefault="009A2E56" w:rsidP="00AD66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hAnsi="Palatino Linotype"/>
                <w:bCs w:val="0"/>
                <w:sz w:val="18"/>
                <w:szCs w:val="18"/>
                <w:lang w:val="en-GB" w:eastAsia="en-GB"/>
              </w:rPr>
              <w:t>FACIT</w:t>
            </w:r>
            <w:r w:rsidR="00EC03A0">
              <w:rPr>
                <w:rFonts w:ascii="Palatino Linotype" w:hAnsi="Palatino Linotype"/>
                <w:bCs w:val="0"/>
                <w:sz w:val="18"/>
                <w:szCs w:val="18"/>
                <w:lang w:val="en-GB" w:eastAsia="en-GB"/>
              </w:rPr>
              <w:t>-F</w:t>
            </w:r>
            <w:r>
              <w:rPr>
                <w:rFonts w:ascii="Palatino Linotype" w:hAnsi="Palatino Linotype"/>
                <w:bCs w:val="0"/>
                <w:sz w:val="18"/>
                <w:szCs w:val="18"/>
                <w:lang w:val="en-GB" w:eastAsia="en-GB"/>
              </w:rPr>
              <w:t xml:space="preserve"> ≥30</w:t>
            </w:r>
          </w:p>
          <w:p w14:paraId="6CF3C621" w14:textId="4002403B" w:rsidR="00AD666A" w:rsidRPr="00314C49" w:rsidRDefault="00AD666A" w:rsidP="00AD66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</w:pP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N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Pr="00314C49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=</w:t>
            </w:r>
            <w:r w:rsidRPr="00314C49">
              <w:rPr>
                <w:rFonts w:ascii="Palatino Linotype" w:eastAsia="Palatino Linotype" w:hAnsi="Palatino Linotype" w:cs="Palatino Linotype"/>
                <w:b w:val="0"/>
                <w:sz w:val="18"/>
                <w:szCs w:val="18"/>
                <w:lang w:val="en-GB"/>
              </w:rPr>
              <w:t> </w:t>
            </w:r>
            <w:r w:rsidR="001B29A1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553</w:t>
            </w:r>
          </w:p>
        </w:tc>
        <w:tc>
          <w:tcPr>
            <w:tcW w:w="73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84674B" w14:textId="77777777" w:rsidR="00AD666A" w:rsidRPr="000615F7" w:rsidRDefault="00AD666A" w:rsidP="003546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 value</w:t>
            </w:r>
          </w:p>
        </w:tc>
      </w:tr>
      <w:tr w:rsidR="00AD666A" w:rsidRPr="000615F7" w14:paraId="6EEDDF08" w14:textId="6A453921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pct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53FD1" w14:textId="77777777" w:rsidR="00AD666A" w:rsidRPr="000615F7" w:rsidRDefault="00AD666A">
            <w:pPr>
              <w:pStyle w:val="NoSpacing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Patient characteristics</w:t>
            </w:r>
          </w:p>
        </w:tc>
        <w:tc>
          <w:tcPr>
            <w:tcW w:w="73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AD9461" w14:textId="306BB9C7" w:rsidR="00AD666A" w:rsidRPr="000615F7" w:rsidRDefault="00AD666A" w:rsidP="00AD666A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326AF15E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923942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Age at baseline (years)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AB5C7D" w14:textId="3F4F978D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37.3 ± 11.4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2307F424" w14:textId="2EE2E6BD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41.0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1.1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032DBC8F" w14:textId="303A0E5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36.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1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1.3</w:t>
            </w:r>
          </w:p>
        </w:tc>
        <w:tc>
          <w:tcPr>
            <w:tcW w:w="733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E46E5F" w14:textId="7B1E39BF" w:rsidR="000D7F4D" w:rsidRPr="000615F7" w:rsidRDefault="001B29A1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&lt;0.001</w:t>
            </w:r>
          </w:p>
        </w:tc>
      </w:tr>
      <w:tr w:rsidR="000D7F4D" w:rsidRPr="000615F7" w14:paraId="3E279D3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noWrap/>
            <w:vAlign w:val="center"/>
            <w:hideMark/>
          </w:tcPr>
          <w:p w14:paraId="4BBA7CF1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Female sex</w:t>
            </w:r>
          </w:p>
        </w:tc>
        <w:tc>
          <w:tcPr>
            <w:tcW w:w="932" w:type="pct"/>
            <w:vAlign w:val="center"/>
          </w:tcPr>
          <w:p w14:paraId="4C57FBAC" w14:textId="0DF8C2FA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717 (94.3%)</w:t>
            </w:r>
          </w:p>
        </w:tc>
        <w:tc>
          <w:tcPr>
            <w:tcW w:w="932" w:type="pct"/>
            <w:noWrap/>
            <w:vAlign w:val="center"/>
          </w:tcPr>
          <w:p w14:paraId="665ED252" w14:textId="7B09A5A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181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(94.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noWrap/>
            <w:vAlign w:val="center"/>
          </w:tcPr>
          <w:p w14:paraId="5EB76FA6" w14:textId="48A27652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521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(94.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vAlign w:val="center"/>
          </w:tcPr>
          <w:p w14:paraId="3155A855" w14:textId="53DC891B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Cs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eastAsia="Palatino Linotype" w:hAnsi="Palatino Linotype" w:cs="Palatino Linotype"/>
                <w:bCs/>
                <w:sz w:val="18"/>
                <w:szCs w:val="18"/>
                <w:lang w:val="en-GB"/>
              </w:rPr>
              <w:t>977</w:t>
            </w:r>
          </w:p>
        </w:tc>
      </w:tr>
      <w:tr w:rsidR="000D7F4D" w:rsidRPr="000615F7" w14:paraId="72647B50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</w:tcPr>
          <w:p w14:paraId="020DA5EE" w14:textId="7D329EF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D3396E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Ancestries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0A3548E" w14:textId="77777777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4EFB529" w14:textId="77777777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2B05D41E" w14:textId="77777777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FFD459D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2F0FB6D2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</w:tcPr>
          <w:p w14:paraId="03A16194" w14:textId="6B453B79" w:rsidR="000D7F4D" w:rsidRPr="000615F7" w:rsidRDefault="000D7F4D" w:rsidP="000D7F4D">
            <w:pPr>
              <w:pStyle w:val="NoSpacing"/>
              <w:ind w:left="177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D3396E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Asian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1290B6F" w14:textId="0E4FECBB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144 (18.9%)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EA882A7" w14:textId="65A80A38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28 (14.6%)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21A93F00" w14:textId="33C03128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101 (18.3%)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5238770" w14:textId="6105A83B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1B29A1" w:rsidRP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246</w:t>
            </w:r>
          </w:p>
        </w:tc>
      </w:tr>
      <w:tr w:rsidR="000D7F4D" w:rsidRPr="000615F7" w14:paraId="262B281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</w:tcPr>
          <w:p w14:paraId="39243ED6" w14:textId="5A077DE7" w:rsidR="000D7F4D" w:rsidRPr="000615F7" w:rsidRDefault="000D7F4D" w:rsidP="000D7F4D">
            <w:pPr>
              <w:pStyle w:val="NoSpacing"/>
              <w:ind w:left="177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D3396E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Black/African American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3E8B6D76" w14:textId="5B47F7FA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55 (7.2%)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05F319EB" w14:textId="7123CDC6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19 (9.9%)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5A35FBE0" w14:textId="5278BAC9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36 (6.5%)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370B70C" w14:textId="2D77718D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1</w:t>
            </w:r>
            <w:r w:rsidRP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22</w:t>
            </w:r>
          </w:p>
        </w:tc>
      </w:tr>
      <w:tr w:rsidR="000D7F4D" w:rsidRPr="000615F7" w14:paraId="65C0B86F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</w:tcPr>
          <w:p w14:paraId="08DAC885" w14:textId="6C75E4F3" w:rsidR="000D7F4D" w:rsidRPr="000615F7" w:rsidRDefault="000D7F4D" w:rsidP="000D7F4D">
            <w:pPr>
              <w:pStyle w:val="NoSpacing"/>
              <w:ind w:left="177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D3396E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Indigenous American*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C4B42E6" w14:textId="73011B64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210 (27.6%)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E524E50" w14:textId="791DDB5B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30 (15.6%)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36934E52" w14:textId="04A4555B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180 (32.5%)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991B459" w14:textId="7C0EFD2E" w:rsidR="000D7F4D" w:rsidRPr="00F637E3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&lt;0.001</w:t>
            </w:r>
          </w:p>
        </w:tc>
      </w:tr>
      <w:tr w:rsidR="000D7F4D" w:rsidRPr="000615F7" w14:paraId="06CF5DAC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273077D3" w14:textId="01DD3CE9" w:rsidR="000D7F4D" w:rsidRPr="000615F7" w:rsidRDefault="000D7F4D" w:rsidP="000D7F4D">
            <w:pPr>
              <w:pStyle w:val="NoSpacing"/>
              <w:ind w:left="177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D3396E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White/Caucasian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71A110" w14:textId="0C84C8E9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351 (46.2%)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73C9A42" w14:textId="2644FB5E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115 (59.9%)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AF6BFB4" w14:textId="3C757484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236 (42.7%)</w:t>
            </w:r>
          </w:p>
        </w:tc>
        <w:tc>
          <w:tcPr>
            <w:tcW w:w="733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9095CB" w14:textId="6FBD0C7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&lt;0.001</w:t>
            </w:r>
          </w:p>
        </w:tc>
      </w:tr>
      <w:tr w:rsidR="00AD666A" w:rsidRPr="000615F7" w14:paraId="16330CB5" w14:textId="0A59BC62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pct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48640D" w14:textId="77777777" w:rsidR="00AD666A" w:rsidRPr="000615F7" w:rsidRDefault="00AD666A" w:rsidP="00AD666A">
            <w:pPr>
              <w:pStyle w:val="NoSpacing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Clinical data</w:t>
            </w:r>
          </w:p>
        </w:tc>
        <w:tc>
          <w:tcPr>
            <w:tcW w:w="73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9CC46F" w14:textId="77777777" w:rsidR="00AD666A" w:rsidRPr="000615F7" w:rsidRDefault="00AD666A" w:rsidP="00AD666A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1B4098CD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B4842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SLE duration at baseline (years)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8FD0E8" w14:textId="663095C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F58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5.8 (1.2−8.5)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34E58AD" w14:textId="3FCB17B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5.1 (1.0−7.8)</w:t>
            </w:r>
          </w:p>
        </w:tc>
        <w:tc>
          <w:tcPr>
            <w:tcW w:w="932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4FACE38D" w14:textId="1DFA23B5" w:rsidR="000D7F4D" w:rsidRPr="000615F7" w:rsidRDefault="001B29A1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3.9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(1.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−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8.5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)</w:t>
            </w:r>
          </w:p>
        </w:tc>
        <w:tc>
          <w:tcPr>
            <w:tcW w:w="733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E1B745" w14:textId="60743A87" w:rsidR="000D7F4D" w:rsidRPr="001B29A1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1B29A1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0.</w:t>
            </w:r>
            <w:r w:rsidR="001B29A1" w:rsidRPr="001B29A1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728</w:t>
            </w:r>
          </w:p>
        </w:tc>
      </w:tr>
      <w:tr w:rsidR="000D7F4D" w:rsidRPr="000615F7" w14:paraId="71AFE4DA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40829241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SLEDAI</w:t>
            </w:r>
            <w:r w:rsidRPr="000615F7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-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2K score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6C319AA2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46061C95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738350F9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4868A5DD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3837EF52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03EB69AC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Baseline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7941A34E" w14:textId="378D4979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10.7 ± 3.6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6622CD89" w14:textId="4BCF132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10.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3.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6033F7AE" w14:textId="327C004D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10.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3.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700CDAEF" w14:textId="1120718E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hAnsi="Palatino Linotype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hAnsi="Palatino Linotype"/>
                <w:sz w:val="18"/>
                <w:szCs w:val="18"/>
                <w:lang w:val="en-GB"/>
              </w:rPr>
              <w:t>303</w:t>
            </w:r>
          </w:p>
        </w:tc>
      </w:tr>
      <w:tr w:rsidR="000D7F4D" w:rsidRPr="000615F7" w14:paraId="48293F6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54E4F73A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Week 52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6EED4F1F" w14:textId="7364F990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3.8 ± 2.9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21015D69" w14:textId="406FD02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3.0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4C695671" w14:textId="303558CD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2.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4E590532" w14:textId="0E55513B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hAnsi="Palatino Linotype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hAnsi="Palatino Linotype"/>
                <w:sz w:val="18"/>
                <w:szCs w:val="18"/>
                <w:lang w:val="en-GB"/>
              </w:rPr>
              <w:t>424</w:t>
            </w:r>
          </w:p>
        </w:tc>
      </w:tr>
      <w:tr w:rsidR="000D7F4D" w:rsidRPr="000615F7" w14:paraId="1D56EF27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717264C0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SDI score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C901023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DC7E841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0925E1C7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09C7590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685ED49A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2B217CD7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Baseline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2E7DF9B" w14:textId="77777777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0.7 ± 1.1</w:t>
            </w:r>
          </w:p>
          <w:p w14:paraId="3EBF1D7F" w14:textId="1479FF66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575D9BDB" w14:textId="1877A1C1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8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± 1.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</w:t>
            </w:r>
          </w:p>
          <w:p w14:paraId="44DB5F5D" w14:textId="3D30F69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12EB772" w14:textId="5AC9539F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6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± 1.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1</w:t>
            </w:r>
          </w:p>
          <w:p w14:paraId="2EE63E8A" w14:textId="3840733F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EE3130D" w14:textId="7BCC1565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0.0</w:t>
            </w:r>
            <w:r w:rsidR="001B29A1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28</w:t>
            </w:r>
          </w:p>
        </w:tc>
      </w:tr>
      <w:tr w:rsidR="000D7F4D" w:rsidRPr="000615F7" w14:paraId="4C6B8B82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190F13F4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Week 52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2F0BF60" w14:textId="77777777" w:rsidR="000D7F4D" w:rsidRPr="00EA5DCA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0.7 ± 1.2</w:t>
            </w:r>
          </w:p>
          <w:p w14:paraId="727D42B7" w14:textId="68EA875C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62395C89" w14:textId="7262A62E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9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± 1.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4</w:t>
            </w:r>
          </w:p>
          <w:p w14:paraId="4A7566D5" w14:textId="4D9FD540" w:rsidR="000D7F4D" w:rsidRPr="00CE1B8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B5A99CA" w14:textId="5DCF1246" w:rsidR="000D7F4D" w:rsidRPr="00FD676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7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± 1.</w:t>
            </w:r>
            <w:r w:rsidR="001B29A1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1</w:t>
            </w:r>
          </w:p>
          <w:p w14:paraId="14F6D911" w14:textId="6DCAAF3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0.0 (0.0−1.0)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DCCFF50" w14:textId="0C3DBB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0.0</w:t>
            </w:r>
            <w:r w:rsidR="001B29A1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16</w:t>
            </w:r>
          </w:p>
        </w:tc>
      </w:tr>
      <w:tr w:rsidR="000D7F4D" w:rsidRPr="000615F7" w14:paraId="2343334A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54D3E633" w14:textId="53F7CB39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SDI score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&gt;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033028D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1FF5B4C4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30247901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A6D041A" w14:textId="77777777" w:rsidR="000D7F4D" w:rsidRPr="000615F7" w:rsidRDefault="000D7F4D" w:rsidP="000D7F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47362C9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64136031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Baseline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65E2E7C" w14:textId="2B1AB719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293 (38.6%)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62A4075" w14:textId="1060B914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88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45.8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DF7BA8B" w14:textId="68236C0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204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36.9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AA35664" w14:textId="388B5742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0.0</w:t>
            </w:r>
            <w:r w:rsidR="00A678E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29</w:t>
            </w:r>
          </w:p>
        </w:tc>
      </w:tr>
      <w:tr w:rsidR="000D7F4D" w:rsidRPr="000615F7" w14:paraId="76A7EF44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04599D23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Week 52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7CEDF9FD" w14:textId="7CC2E59B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307 (40.4%)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509C5A8B" w14:textId="0866B7CF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9</w:t>
            </w:r>
            <w:r w:rsidR="000D7F4D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48.4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</w:t>
            </w:r>
            <w:r w:rsidR="000D7F4D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194A5540" w14:textId="7F226C66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u w:color="FF2600"/>
                <w:lang w:val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213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38.5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7CE7694" w14:textId="4F9B2DE0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0.0</w:t>
            </w:r>
            <w:r w:rsidR="00A678E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16</w:t>
            </w:r>
          </w:p>
        </w:tc>
      </w:tr>
      <w:tr w:rsidR="000D7F4D" w:rsidRPr="000615F7" w14:paraId="0FA3A800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23930C4D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  <w:t>Serological profile at baseline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4B9E8B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7F0E19A7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5AFB0FBB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0665EF8D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53E19F86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1470CF2F" w14:textId="77F40466" w:rsidR="000D7F4D" w:rsidRPr="000615F7" w:rsidRDefault="000D7F4D" w:rsidP="000D7F4D">
            <w:pPr>
              <w:pStyle w:val="NoSpacing"/>
              <w:ind w:left="176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Anti-dsDN</w:t>
            </w:r>
            <w:r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</w:t>
            </w:r>
            <w:r w:rsidRPr="003A6BBC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 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(+)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6C906FB" w14:textId="0C1EA53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517 (68.0%)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291D9AE9" w14:textId="6898ABD3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111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57.8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6FCC9A4F" w14:textId="74DC7ED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395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71.4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B61D97E" w14:textId="7B525E4E" w:rsidR="000D7F4D" w:rsidRPr="000615F7" w:rsidRDefault="00A678E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&lt;0.001</w:t>
            </w:r>
          </w:p>
        </w:tc>
      </w:tr>
      <w:tr w:rsidR="000D7F4D" w:rsidRPr="000615F7" w14:paraId="23C0E8FC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11B1AEF9" w14:textId="1DAFFC84" w:rsidR="000D7F4D" w:rsidRPr="000615F7" w:rsidRDefault="000D7F4D" w:rsidP="000D7F4D">
            <w:pPr>
              <w:pStyle w:val="NoSpacing"/>
              <w:ind w:left="176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Anti-Sm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(+)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8925162" w14:textId="3BED51A4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224 (29.6%); 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=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758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50490F04" w14:textId="665F2CEE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</w:t>
            </w:r>
            <w:r w:rsidR="000D7F4D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20.8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1DD1F44E" w14:textId="2C2BD020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2.7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0C1651" w14:textId="3EE7E37D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en-GB"/>
              </w:rPr>
              <w:t>0.0</w:t>
            </w:r>
            <w:r w:rsidR="00A678E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en-GB"/>
              </w:rPr>
              <w:t>02</w:t>
            </w:r>
          </w:p>
        </w:tc>
      </w:tr>
      <w:tr w:rsidR="000D7F4D" w:rsidRPr="000615F7" w14:paraId="48B850A7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5B56D5AD" w14:textId="77777777" w:rsidR="000D7F4D" w:rsidRPr="000615F7" w:rsidRDefault="000D7F4D" w:rsidP="000D7F4D">
            <w:pPr>
              <w:pStyle w:val="NoSpacing"/>
              <w:ind w:left="176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Low C3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D503447" w14:textId="335916D5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311 (40.9%)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78F246E1" w14:textId="164168AC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65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33.9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019623B2" w14:textId="412ABF62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237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42.9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64CBB41" w14:textId="4E19329F" w:rsidR="000D7F4D" w:rsidRPr="00BB11D3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BB11D3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GB"/>
              </w:rPr>
              <w:t>0.</w:t>
            </w:r>
            <w:r w:rsidR="00A678EE" w:rsidRPr="00BB11D3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GB"/>
              </w:rPr>
              <w:t>029</w:t>
            </w:r>
          </w:p>
        </w:tc>
      </w:tr>
      <w:tr w:rsidR="000D7F4D" w:rsidRPr="000615F7" w14:paraId="7F790C93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61FAFEAB" w14:textId="77777777" w:rsidR="000D7F4D" w:rsidRPr="000615F7" w:rsidRDefault="000D7F4D" w:rsidP="000D7F4D">
            <w:pPr>
              <w:pStyle w:val="NoSpacing"/>
              <w:ind w:left="176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Low C4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508C474" w14:textId="2070A56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395 (52.0%)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6C658A47" w14:textId="120D5E72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84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43.8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0E76B49E" w14:textId="4571D7F0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303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(5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4.8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5B72E54" w14:textId="2126B7E0" w:rsidR="000D7F4D" w:rsidRPr="00BB11D3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BB11D3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GB"/>
              </w:rPr>
              <w:t>0.</w:t>
            </w:r>
            <w:r w:rsidR="00A678EE" w:rsidRPr="00BB11D3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GB"/>
              </w:rPr>
              <w:t>008</w:t>
            </w:r>
          </w:p>
        </w:tc>
      </w:tr>
      <w:tr w:rsidR="000D7F4D" w:rsidRPr="000615F7" w14:paraId="1438FA0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61E46F38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Prednisone eq. dose (mg/day)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38B8F16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6BFD0D5D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65F6A8D6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87B109C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57E3DC11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68DCB1B6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Baseline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759A84C8" w14:textId="4B77278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11.7 ± 9.0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3E4DB8D" w14:textId="3C330081" w:rsidR="000D7F4D" w:rsidRPr="000615F7" w:rsidRDefault="001B29A1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9.7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8.9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3DC78378" w14:textId="7F96D908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12.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8.9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12295D10" w14:textId="5B1E0462" w:rsidR="000D7F4D" w:rsidRPr="000615F7" w:rsidRDefault="001B29A1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18"/>
                <w:szCs w:val="18"/>
                <w:lang w:val="en-GB"/>
              </w:rPr>
              <w:t>&lt;0.001</w:t>
            </w:r>
          </w:p>
        </w:tc>
      </w:tr>
      <w:tr w:rsidR="000D7F4D" w:rsidRPr="000615F7" w14:paraId="0B6182DD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5B7E6D4A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Week 52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C33860E" w14:textId="31248B88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8.7 ± 6.8; 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=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754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FAA7636" w14:textId="78F89205" w:rsidR="000D7F4D" w:rsidRPr="000615F7" w:rsidRDefault="001B29A1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7.9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7.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; N</w:t>
            </w:r>
            <w:r w:rsidR="000D7F4D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=</w:t>
            </w:r>
            <w:r w:rsidR="000D7F4D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191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985FF7C" w14:textId="72F108D1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9.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± 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6.8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; 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=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 </w:t>
            </w:r>
            <w:r w:rsidR="001B29A1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54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8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09A7F4A8" w14:textId="7FC673AA" w:rsidR="001B29A1" w:rsidRPr="000615F7" w:rsidRDefault="000D7F4D" w:rsidP="001B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/>
              </w:rPr>
            </w:pPr>
            <w:r w:rsidRPr="00FD6767">
              <w:rPr>
                <w:rFonts w:ascii="Palatino Linotype" w:hAnsi="Palatino Linotype"/>
                <w:b/>
                <w:sz w:val="18"/>
                <w:szCs w:val="18"/>
                <w:lang w:val="en-GB"/>
              </w:rPr>
              <w:t>0.0</w:t>
            </w:r>
            <w:r w:rsidR="001B29A1">
              <w:rPr>
                <w:rFonts w:ascii="Palatino Linotype" w:hAnsi="Palatino Linotype"/>
                <w:b/>
                <w:sz w:val="18"/>
                <w:szCs w:val="18"/>
                <w:lang w:val="en-GB"/>
              </w:rPr>
              <w:t>08</w:t>
            </w:r>
          </w:p>
        </w:tc>
      </w:tr>
      <w:tr w:rsidR="000D7F4D" w:rsidRPr="000615F7" w14:paraId="007B4DC4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auto"/>
            <w:noWrap/>
            <w:vAlign w:val="center"/>
            <w:hideMark/>
          </w:tcPr>
          <w:p w14:paraId="36E603BF" w14:textId="76BCB929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A</w:t>
            </w:r>
            <w:r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ntimalarial agents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at week 52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vertAlign w:val="superscript"/>
                <w:lang w:val="en-GB" w:eastAsia="en-GB"/>
              </w:rPr>
              <w:t>†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12A775A" w14:textId="2A12965F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478 (62.9%)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45317DAE" w14:textId="60A58719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115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59.9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16AF48B7" w14:textId="316A6FD5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358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64.7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FC4158B" w14:textId="65903AEE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bCs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bCs/>
                <w:sz w:val="18"/>
                <w:szCs w:val="18"/>
                <w:lang w:val="en-GB"/>
              </w:rPr>
              <w:t>230</w:t>
            </w:r>
          </w:p>
        </w:tc>
      </w:tr>
      <w:tr w:rsidR="000D7F4D" w:rsidRPr="000615F7" w14:paraId="7C8DF844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15630AA2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Immunosuppressants at week 52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39BA5B3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55306F86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3E333F4F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98E8B97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7980DBBE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6D7A55CA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Azathioprine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93A27CA" w14:textId="219FB3FE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149 (19.6%)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1715182C" w14:textId="01730BA5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33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17.2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1F4D14C5" w14:textId="4E634D50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6 (2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1.0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96DEF44" w14:textId="0A57E632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258</w:t>
            </w:r>
          </w:p>
        </w:tc>
      </w:tr>
      <w:tr w:rsidR="000D7F4D" w:rsidRPr="000615F7" w14:paraId="25B48E7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5F7AF245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Methotrexate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AAD30CA" w14:textId="655DFCA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78 (10.3%)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31356231" w14:textId="4B3533DF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28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14.6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6804BD1A" w14:textId="71B2A39F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9.0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1DF045DA" w14:textId="6426AA92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  <w:lang w:val="en-GB"/>
              </w:rPr>
              <w:t>031</w:t>
            </w:r>
          </w:p>
        </w:tc>
      </w:tr>
      <w:tr w:rsidR="000D7F4D" w:rsidRPr="000615F7" w14:paraId="60EADDB1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1ACA5602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Mycophenolic acid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F5237FB" w14:textId="00DA70A8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72 (9.5%)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703A8D4B" w14:textId="2A9C1A9A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22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11.5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114B72C8" w14:textId="329D4191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50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9.0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3DFEF45" w14:textId="33BCAC43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0.</w:t>
            </w:r>
            <w:r w:rsidR="00A678EE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329</w:t>
            </w:r>
          </w:p>
        </w:tc>
      </w:tr>
      <w:tr w:rsidR="000D7F4D" w:rsidRPr="000615F7" w14:paraId="663198A8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2F2F2" w:themeFill="background1" w:themeFillShade="F2"/>
            <w:noWrap/>
            <w:vAlign w:val="center"/>
            <w:hideMark/>
          </w:tcPr>
          <w:p w14:paraId="2D47AEE9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Other immunosuppressants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vertAlign w:val="superscript"/>
                <w:lang w:val="en-GB" w:eastAsia="en-GB"/>
              </w:rPr>
              <w:t>‡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320DF1CB" w14:textId="14637EC9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15 (2.0%)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5C01C7B8" w14:textId="2A3FBA08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4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 w:rsidR="000D7F4D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</w:t>
            </w:r>
            <w:r w:rsidR="000D7F4D"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2F2F2" w:themeFill="background1" w:themeFillShade="F2"/>
            <w:noWrap/>
            <w:vAlign w:val="center"/>
          </w:tcPr>
          <w:p w14:paraId="4B57C8EA" w14:textId="6B88445E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11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2.0</w:t>
            </w: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A241B21" w14:textId="03AE482D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0.</w:t>
            </w:r>
            <w:r w:rsidR="00A678EE">
              <w:rPr>
                <w:rFonts w:ascii="Palatino Linotype" w:eastAsia="Palatino Linotype" w:hAnsi="Palatino Linotype" w:cs="Palatino Linotype"/>
                <w:sz w:val="18"/>
                <w:szCs w:val="18"/>
                <w:lang w:val="en-GB"/>
              </w:rPr>
              <w:t>936</w:t>
            </w:r>
          </w:p>
        </w:tc>
      </w:tr>
      <w:tr w:rsidR="000D7F4D" w:rsidRPr="000615F7" w14:paraId="039CF1A9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17BA4372" w14:textId="7777777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 w:eastAsia="en-GB"/>
              </w:rPr>
              <w:t>Trial intervention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5FBA1ACB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01A2C84C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5CEACA53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35E3EA36" w14:textId="7777777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</w:p>
        </w:tc>
      </w:tr>
      <w:tr w:rsidR="000D7F4D" w:rsidRPr="000615F7" w14:paraId="02F90ADA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36EFA448" w14:textId="3DA79B97" w:rsidR="000D7F4D" w:rsidRPr="000615F7" w:rsidRDefault="000D7F4D" w:rsidP="000D7F4D">
            <w:pPr>
              <w:pStyle w:val="NoSpacing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Placebo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227E275D" w14:textId="4F79553A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217 (28.6%)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5CB8E004" w14:textId="5472C290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66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34.4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3B76F35D" w14:textId="3BA6449E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148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(2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6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.8%)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39CCDAF7" w14:textId="76F331D0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18"/>
                <w:szCs w:val="18"/>
                <w:lang w:val="en-GB"/>
              </w:rPr>
              <w:t>045</w:t>
            </w:r>
          </w:p>
        </w:tc>
      </w:tr>
      <w:tr w:rsidR="000D7F4D" w:rsidRPr="000615F7" w14:paraId="19333A83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shd w:val="clear" w:color="auto" w:fill="FFFFFF" w:themeFill="background1"/>
            <w:noWrap/>
            <w:vAlign w:val="center"/>
            <w:hideMark/>
          </w:tcPr>
          <w:p w14:paraId="27220DDC" w14:textId="1EC927DE" w:rsidR="000D7F4D" w:rsidRPr="000615F7" w:rsidRDefault="000D7F4D" w:rsidP="000D7F4D">
            <w:pPr>
              <w:pStyle w:val="NoSpacing"/>
              <w:ind w:left="180"/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B</w:t>
            </w:r>
            <w:r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elimumab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1 mg/kg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607A8165" w14:textId="0AF0AAE5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258 (33.9%)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56C2F3AE" w14:textId="0A1C73D8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70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(3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6</w:t>
            </w:r>
            <w:r w:rsidR="000D7F4D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.5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shd w:val="clear" w:color="auto" w:fill="FFFFFF" w:themeFill="background1"/>
            <w:noWrap/>
            <w:vAlign w:val="center"/>
          </w:tcPr>
          <w:p w14:paraId="100B3AF2" w14:textId="34BA099E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1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85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(3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3.5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14:paraId="6C0F1205" w14:textId="5DC39CBA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0.4</w:t>
            </w:r>
            <w:r w:rsidR="00A678EE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50</w:t>
            </w:r>
          </w:p>
        </w:tc>
      </w:tr>
      <w:tr w:rsidR="000D7F4D" w:rsidRPr="000615F7" w14:paraId="166EF479" w14:textId="77777777" w:rsidTr="0098275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B78A376" w14:textId="041E4EF0" w:rsidR="000D7F4D" w:rsidRPr="000615F7" w:rsidRDefault="000D7F4D" w:rsidP="000D7F4D">
            <w:pPr>
              <w:pStyle w:val="NoSpacing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   B</w:t>
            </w:r>
            <w:r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>elimumab</w:t>
            </w:r>
            <w:r w:rsidRPr="000615F7">
              <w:rPr>
                <w:rFonts w:ascii="Palatino Linotype" w:hAnsi="Palatino Linotype"/>
                <w:b w:val="0"/>
                <w:sz w:val="18"/>
                <w:szCs w:val="18"/>
                <w:lang w:val="en-GB" w:eastAsia="en-GB"/>
              </w:rPr>
              <w:t xml:space="preserve"> 10 mg/kg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238E08" w14:textId="124A08C7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A5DCA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285 (37.5%)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50C8A2C" w14:textId="4E2EB0A2" w:rsidR="000D7F4D" w:rsidRPr="000615F7" w:rsidRDefault="00C222DE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56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29.2</w:t>
            </w:r>
            <w:r w:rsidR="000D7F4D"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932" w:type="pct"/>
            <w:tcBorders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D1D757A" w14:textId="58E75429" w:rsidR="000D7F4D" w:rsidRPr="000615F7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220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 xml:space="preserve"> (3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9</w:t>
            </w:r>
            <w:r w:rsidRPr="00FD6767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  <w:lang w:val="en-GB"/>
              </w:rPr>
              <w:t>.8%)</w:t>
            </w:r>
          </w:p>
        </w:tc>
        <w:tc>
          <w:tcPr>
            <w:tcW w:w="733" w:type="pct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C37DEE6" w14:textId="7B299687" w:rsidR="000D7F4D" w:rsidRPr="00A678EE" w:rsidRDefault="000D7F4D" w:rsidP="000D7F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8"/>
                <w:szCs w:val="18"/>
                <w:lang w:val="en-GB" w:eastAsia="en-GB"/>
              </w:rPr>
            </w:pPr>
            <w:r w:rsidRPr="00A678EE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18"/>
                <w:szCs w:val="18"/>
                <w:lang w:val="en-GB"/>
              </w:rPr>
              <w:t>0.</w:t>
            </w:r>
            <w:r w:rsidR="00A678EE" w:rsidRPr="00A678EE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18"/>
                <w:szCs w:val="18"/>
                <w:lang w:val="en-GB"/>
              </w:rPr>
              <w:t>009</w:t>
            </w:r>
          </w:p>
        </w:tc>
      </w:tr>
    </w:tbl>
    <w:p w14:paraId="586FD962" w14:textId="77777777" w:rsidR="00E267E4" w:rsidRPr="000615F7" w:rsidRDefault="00E267E4" w:rsidP="00120A60">
      <w:pPr>
        <w:pStyle w:val="MDPI43tablefooter"/>
        <w:ind w:left="-426" w:right="-142"/>
        <w:rPr>
          <w:lang w:val="en-GB"/>
        </w:rPr>
      </w:pPr>
      <w:r w:rsidRPr="000615F7">
        <w:rPr>
          <w:lang w:val="en-GB"/>
        </w:rPr>
        <w:t xml:space="preserve">Data are presented as numbers (percentage) or means ± standard deviation. In case of non-normal distributions, medians (interquartile range) are indicated. In case of missing values, the total number of patients with available data is indicated. Statistically significant P values are in bold. </w:t>
      </w:r>
    </w:p>
    <w:p w14:paraId="55F3694E" w14:textId="77777777" w:rsidR="00E267E4" w:rsidRPr="000615F7" w:rsidRDefault="00E267E4" w:rsidP="00120A60">
      <w:pPr>
        <w:pStyle w:val="MDPI43tablefooter"/>
        <w:ind w:left="-426" w:right="-142"/>
        <w:rPr>
          <w:lang w:val="en-GB"/>
        </w:rPr>
      </w:pPr>
      <w:r w:rsidRPr="000615F7">
        <w:rPr>
          <w:lang w:val="en-GB"/>
        </w:rPr>
        <w:t xml:space="preserve">* Alaska Native or American Indian from North, South or Central America. </w:t>
      </w:r>
    </w:p>
    <w:p w14:paraId="761BB3F8" w14:textId="77777777" w:rsidR="00E267E4" w:rsidRPr="000615F7" w:rsidRDefault="00E267E4" w:rsidP="00120A60">
      <w:pPr>
        <w:pStyle w:val="MDPI43tablefooter"/>
        <w:ind w:left="-426" w:right="-142"/>
        <w:rPr>
          <w:lang w:val="en-GB"/>
        </w:rPr>
      </w:pPr>
      <w:r w:rsidRPr="00AD666A">
        <w:rPr>
          <w:vertAlign w:val="superscript"/>
          <w:lang w:val="en-GB"/>
        </w:rPr>
        <w:t>†</w:t>
      </w:r>
      <w:r w:rsidRPr="000615F7">
        <w:rPr>
          <w:lang w:val="en-GB"/>
        </w:rPr>
        <w:t xml:space="preserve"> Hydroxychloroquine, chloroquine, mepacrine, mepacrine hydrochloride or quinine </w:t>
      </w:r>
      <w:proofErr w:type="spellStart"/>
      <w:r w:rsidRPr="000615F7">
        <w:rPr>
          <w:lang w:val="en-GB"/>
        </w:rPr>
        <w:t>sulfate</w:t>
      </w:r>
      <w:proofErr w:type="spellEnd"/>
      <w:r w:rsidRPr="000615F7">
        <w:rPr>
          <w:lang w:val="en-GB"/>
        </w:rPr>
        <w:t xml:space="preserve">. </w:t>
      </w:r>
    </w:p>
    <w:p w14:paraId="1FD41ABF" w14:textId="77777777" w:rsidR="00E267E4" w:rsidRPr="000615F7" w:rsidRDefault="00E267E4" w:rsidP="00120A60">
      <w:pPr>
        <w:pStyle w:val="MDPI43tablefooter"/>
        <w:ind w:left="-426" w:right="-142"/>
        <w:rPr>
          <w:lang w:val="en-GB"/>
        </w:rPr>
      </w:pPr>
      <w:r w:rsidRPr="00AD666A">
        <w:rPr>
          <w:vertAlign w:val="superscript"/>
          <w:lang w:val="en-GB"/>
        </w:rPr>
        <w:t>‡</w:t>
      </w:r>
      <w:r w:rsidRPr="000615F7">
        <w:rPr>
          <w:lang w:val="en-GB"/>
        </w:rPr>
        <w:t xml:space="preserve"> Cyclosporine, oral cyclophosphamide, leflunomide, </w:t>
      </w:r>
      <w:proofErr w:type="spellStart"/>
      <w:r w:rsidRPr="000615F7">
        <w:rPr>
          <w:lang w:val="en-GB"/>
        </w:rPr>
        <w:t>mizoribine</w:t>
      </w:r>
      <w:proofErr w:type="spellEnd"/>
      <w:r w:rsidRPr="000615F7">
        <w:rPr>
          <w:lang w:val="en-GB"/>
        </w:rPr>
        <w:t xml:space="preserve"> or thalidomide.</w:t>
      </w:r>
    </w:p>
    <w:p w14:paraId="495F6A44" w14:textId="006A2B2F" w:rsidR="00910EBC" w:rsidRPr="00BA5DA9" w:rsidRDefault="00E267E4" w:rsidP="00120A60">
      <w:pPr>
        <w:pStyle w:val="MDPI43tablefooter"/>
        <w:ind w:left="-426" w:right="-142"/>
        <w:rPr>
          <w:lang w:val="en-GB"/>
        </w:rPr>
      </w:pPr>
      <w:r w:rsidRPr="000615F7">
        <w:rPr>
          <w:lang w:val="en-GB"/>
        </w:rPr>
        <w:t>C3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complement component protein 3; C4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complement component protein 4; dsDNA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double stranded DNA; SDI</w:t>
      </w:r>
      <w:r w:rsidR="00F93452">
        <w:rPr>
          <w:lang w:val="en-GB"/>
        </w:rPr>
        <w:t xml:space="preserve"> =</w:t>
      </w:r>
      <w:r w:rsidR="00982754">
        <w:rPr>
          <w:lang w:val="en-GB"/>
        </w:rPr>
        <w:t xml:space="preserve"> </w:t>
      </w:r>
      <w:r w:rsidRPr="000615F7">
        <w:rPr>
          <w:lang w:val="en-GB"/>
        </w:rPr>
        <w:t>Systemic Lupus International Collaborating Clinics (SLICC)/American College of Rheumatology (ACR) Damage Index; SLE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systemic lupus erythematosus; SLEDAI-2K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SLE Disease Activity Index 2000; Sm</w:t>
      </w:r>
      <w:r w:rsidR="00F93452">
        <w:rPr>
          <w:lang w:val="en-GB"/>
        </w:rPr>
        <w:t xml:space="preserve"> =</w:t>
      </w:r>
      <w:r w:rsidRPr="000615F7">
        <w:rPr>
          <w:lang w:val="en-GB"/>
        </w:rPr>
        <w:t xml:space="preserve"> Smith</w:t>
      </w:r>
      <w:r w:rsidR="00511669">
        <w:rPr>
          <w:lang w:val="en-GB"/>
        </w:rPr>
        <w:t>; SRI-4</w:t>
      </w:r>
      <w:r w:rsidR="00F93452">
        <w:rPr>
          <w:lang w:val="en-GB"/>
        </w:rPr>
        <w:t xml:space="preserve"> =</w:t>
      </w:r>
      <w:r w:rsidR="00511669" w:rsidRPr="006D4CE6">
        <w:rPr>
          <w:rFonts w:eastAsiaTheme="minorHAnsi"/>
          <w:color w:val="auto"/>
          <w:szCs w:val="24"/>
          <w:lang w:eastAsia="en-US"/>
        </w:rPr>
        <w:t xml:space="preserve"> </w:t>
      </w:r>
      <w:r w:rsidR="00511669">
        <w:rPr>
          <w:rFonts w:eastAsiaTheme="minorHAnsi"/>
          <w:color w:val="auto"/>
          <w:szCs w:val="24"/>
          <w:lang w:eastAsia="en-US"/>
        </w:rPr>
        <w:t>SLE Responder Index 4</w:t>
      </w:r>
      <w:r w:rsidR="00675DFA">
        <w:rPr>
          <w:lang w:val="en-GB"/>
        </w:rPr>
        <w:t>.</w:t>
      </w:r>
    </w:p>
    <w:sectPr w:rsidR="00910EBC" w:rsidRPr="00BA5DA9" w:rsidSect="006506D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35CC" w14:textId="77777777" w:rsidR="009E25C4" w:rsidRDefault="009E25C4" w:rsidP="00EC03A0">
      <w:pPr>
        <w:spacing w:line="240" w:lineRule="auto"/>
      </w:pPr>
      <w:r>
        <w:separator/>
      </w:r>
    </w:p>
  </w:endnote>
  <w:endnote w:type="continuationSeparator" w:id="0">
    <w:p w14:paraId="0092A978" w14:textId="77777777" w:rsidR="009E25C4" w:rsidRDefault="009E25C4" w:rsidP="00EC0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C9163" w14:textId="77777777" w:rsidR="009E25C4" w:rsidRDefault="009E25C4" w:rsidP="00EC03A0">
      <w:pPr>
        <w:spacing w:line="240" w:lineRule="auto"/>
      </w:pPr>
      <w:r>
        <w:separator/>
      </w:r>
    </w:p>
  </w:footnote>
  <w:footnote w:type="continuationSeparator" w:id="0">
    <w:p w14:paraId="10C5F1DE" w14:textId="77777777" w:rsidR="009E25C4" w:rsidRDefault="009E25C4" w:rsidP="00EC03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D7"/>
    <w:rsid w:val="00037449"/>
    <w:rsid w:val="000442D6"/>
    <w:rsid w:val="000615F7"/>
    <w:rsid w:val="000B51E0"/>
    <w:rsid w:val="000D7F4D"/>
    <w:rsid w:val="000F7341"/>
    <w:rsid w:val="00120A60"/>
    <w:rsid w:val="00126E21"/>
    <w:rsid w:val="001B29A1"/>
    <w:rsid w:val="001D177B"/>
    <w:rsid w:val="001E1AB0"/>
    <w:rsid w:val="001E3C2B"/>
    <w:rsid w:val="00207FB9"/>
    <w:rsid w:val="00217834"/>
    <w:rsid w:val="002212A7"/>
    <w:rsid w:val="002949EF"/>
    <w:rsid w:val="00301050"/>
    <w:rsid w:val="00314C49"/>
    <w:rsid w:val="003546C1"/>
    <w:rsid w:val="003A6BBC"/>
    <w:rsid w:val="003C6532"/>
    <w:rsid w:val="00442699"/>
    <w:rsid w:val="0049474E"/>
    <w:rsid w:val="004A41C8"/>
    <w:rsid w:val="004C501D"/>
    <w:rsid w:val="00511669"/>
    <w:rsid w:val="00544604"/>
    <w:rsid w:val="00562035"/>
    <w:rsid w:val="005A38C5"/>
    <w:rsid w:val="006506D7"/>
    <w:rsid w:val="00650AD8"/>
    <w:rsid w:val="00675DFA"/>
    <w:rsid w:val="006F1169"/>
    <w:rsid w:val="00736F4C"/>
    <w:rsid w:val="00784854"/>
    <w:rsid w:val="007D61CA"/>
    <w:rsid w:val="00845DE8"/>
    <w:rsid w:val="00857039"/>
    <w:rsid w:val="00887077"/>
    <w:rsid w:val="008B7742"/>
    <w:rsid w:val="00910EBC"/>
    <w:rsid w:val="0091533C"/>
    <w:rsid w:val="00982754"/>
    <w:rsid w:val="00984DA3"/>
    <w:rsid w:val="009A2E56"/>
    <w:rsid w:val="009B26B4"/>
    <w:rsid w:val="009E25C4"/>
    <w:rsid w:val="00A10B3A"/>
    <w:rsid w:val="00A55042"/>
    <w:rsid w:val="00A607AE"/>
    <w:rsid w:val="00A678EE"/>
    <w:rsid w:val="00A91CD6"/>
    <w:rsid w:val="00AD666A"/>
    <w:rsid w:val="00B13D01"/>
    <w:rsid w:val="00B21E6C"/>
    <w:rsid w:val="00B26125"/>
    <w:rsid w:val="00B76A4E"/>
    <w:rsid w:val="00BA5DA9"/>
    <w:rsid w:val="00BB0A39"/>
    <w:rsid w:val="00BB11D3"/>
    <w:rsid w:val="00BB6F7E"/>
    <w:rsid w:val="00BC37DD"/>
    <w:rsid w:val="00C222DE"/>
    <w:rsid w:val="00C33B39"/>
    <w:rsid w:val="00C91DEE"/>
    <w:rsid w:val="00CE1923"/>
    <w:rsid w:val="00CE1B8E"/>
    <w:rsid w:val="00CE1F7C"/>
    <w:rsid w:val="00CE7D6C"/>
    <w:rsid w:val="00D1334C"/>
    <w:rsid w:val="00D8677E"/>
    <w:rsid w:val="00DD2607"/>
    <w:rsid w:val="00E26138"/>
    <w:rsid w:val="00E267E4"/>
    <w:rsid w:val="00E64E0E"/>
    <w:rsid w:val="00E711ED"/>
    <w:rsid w:val="00EA1F50"/>
    <w:rsid w:val="00EC03A0"/>
    <w:rsid w:val="00F37AD1"/>
    <w:rsid w:val="00F43525"/>
    <w:rsid w:val="00F621AC"/>
    <w:rsid w:val="00F637E3"/>
    <w:rsid w:val="00F6494C"/>
    <w:rsid w:val="00F93452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04C2"/>
  <w15:chartTrackingRefBased/>
  <w15:docId w15:val="{F8385612-5A96-7544-860B-E2310BF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7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06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DPI41tablecaption">
    <w:name w:val="MDPI_4.1_table_caption"/>
    <w:basedOn w:val="Normal"/>
    <w:qFormat/>
    <w:rsid w:val="006506D7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3tablefooter">
    <w:name w:val="MDPI_4.3_table_footer"/>
    <w:basedOn w:val="MDPI41tablecaption"/>
    <w:next w:val="Normal"/>
    <w:qFormat/>
    <w:rsid w:val="006506D7"/>
    <w:pPr>
      <w:spacing w:before="0"/>
      <w:ind w:left="0" w:right="0"/>
    </w:pPr>
  </w:style>
  <w:style w:type="table" w:customStyle="1" w:styleId="GridTable1Light1">
    <w:name w:val="Grid Table 1 Light1"/>
    <w:basedOn w:val="TableNormal"/>
    <w:uiPriority w:val="46"/>
    <w:rsid w:val="006506D7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38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C5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character" w:styleId="Hyperlink">
    <w:name w:val="Hyperlink"/>
    <w:rsid w:val="00E267E4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EC03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A0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EC03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A0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Alvaro Jose Gomez Gonzalez (alvarogomezg)</cp:lastModifiedBy>
  <cp:revision>28</cp:revision>
  <dcterms:created xsi:type="dcterms:W3CDTF">2020-09-08T09:58:00Z</dcterms:created>
  <dcterms:modified xsi:type="dcterms:W3CDTF">2021-03-10T14:32:00Z</dcterms:modified>
</cp:coreProperties>
</file>