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27EEE6" w14:textId="77777777" w:rsidR="00654E8F" w:rsidRPr="001549D3" w:rsidRDefault="00654E8F" w:rsidP="0001436A">
      <w:pPr>
        <w:pStyle w:val="SupplementaryMaterial"/>
        <w:rPr>
          <w:b w:val="0"/>
        </w:rPr>
      </w:pPr>
      <w:r w:rsidRPr="001549D3">
        <w:t>Supplementary Material</w:t>
      </w:r>
    </w:p>
    <w:p w14:paraId="11B34FA2" w14:textId="5FE42F00" w:rsidR="00C54ACF" w:rsidRPr="00C54ACF" w:rsidRDefault="00654E8F" w:rsidP="00780A1B">
      <w:pPr>
        <w:pStyle w:val="Heading1"/>
        <w:rPr>
          <w:u w:val="single"/>
        </w:rPr>
      </w:pPr>
      <w:r w:rsidRPr="00994A3D">
        <w:t>Supplementary Figures</w:t>
      </w:r>
    </w:p>
    <w:p w14:paraId="44165071" w14:textId="63C2D533" w:rsidR="00C54ACF" w:rsidRDefault="00EE40CF" w:rsidP="00C54ACF">
      <w:pPr>
        <w:jc w:val="center"/>
      </w:pPr>
      <w:r>
        <w:rPr>
          <w:noProof/>
        </w:rPr>
        <w:pict w14:anchorId="5EF1FD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8pt;height:406.95pt">
            <v:imagedata r:id="rId8" o:title="Supplemental Figure 1"/>
          </v:shape>
        </w:pict>
      </w:r>
    </w:p>
    <w:p w14:paraId="71EEE42D" w14:textId="7C1DA6D1" w:rsidR="00DE7B97" w:rsidRDefault="00C54ACF" w:rsidP="007B5708">
      <w:pPr>
        <w:jc w:val="both"/>
      </w:pPr>
      <w:r w:rsidRPr="0001436A">
        <w:rPr>
          <w:rFonts w:cs="Times New Roman"/>
          <w:b/>
          <w:szCs w:val="24"/>
        </w:rPr>
        <w:t xml:space="preserve">Supplementary Figure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Pr>
          <w:rFonts w:cs="Times New Roman"/>
          <w:b/>
          <w:noProof/>
          <w:szCs w:val="24"/>
        </w:rPr>
        <w:t>1</w:t>
      </w:r>
      <w:r w:rsidRPr="0001436A">
        <w:rPr>
          <w:rFonts w:cs="Times New Roman"/>
          <w:b/>
          <w:szCs w:val="24"/>
        </w:rPr>
        <w:fldChar w:fldCharType="end"/>
      </w:r>
      <w:r w:rsidRPr="0001436A">
        <w:rPr>
          <w:rFonts w:cs="Times New Roman"/>
          <w:b/>
          <w:szCs w:val="24"/>
        </w:rPr>
        <w:t>.</w:t>
      </w:r>
      <w:r>
        <w:rPr>
          <w:b/>
          <w:bCs/>
          <w:iCs/>
        </w:rPr>
        <w:t xml:space="preserve"> </w:t>
      </w:r>
      <w:r w:rsidRPr="004E2AC9">
        <w:rPr>
          <w:b/>
          <w:bCs/>
          <w:i/>
          <w:iCs/>
        </w:rPr>
        <w:t>Hordeum vulgare</w:t>
      </w:r>
      <w:r>
        <w:rPr>
          <w:b/>
          <w:bCs/>
          <w:iCs/>
        </w:rPr>
        <w:t xml:space="preserve"> h</w:t>
      </w:r>
      <w:r w:rsidRPr="00845357">
        <w:rPr>
          <w:b/>
          <w:bCs/>
          <w:iCs/>
        </w:rPr>
        <w:t>arvested root tip segments</w:t>
      </w:r>
      <w:r w:rsidRPr="00BB5127">
        <w:rPr>
          <w:b/>
          <w:bCs/>
          <w:iCs/>
        </w:rPr>
        <w:t>. Related to Figure 1 - step 1.</w:t>
      </w:r>
      <w:r>
        <w:rPr>
          <w:b/>
          <w:bCs/>
          <w:iCs/>
        </w:rPr>
        <w:t xml:space="preserve"> </w:t>
      </w:r>
      <w:r w:rsidRPr="00934577">
        <w:rPr>
          <w:bCs/>
          <w:iCs/>
        </w:rPr>
        <w:t>The scale contains centimeters from 0 to 7.</w:t>
      </w:r>
      <w:r>
        <w:rPr>
          <w:bCs/>
          <w:iCs/>
        </w:rPr>
        <w:t xml:space="preserve"> The left part of the scale features two root tips separated in two 1.5 cm segments each, and one barley seedling reared at a control temperature of </w:t>
      </w:r>
      <w:r w:rsidRPr="46F3AA00">
        <w:t>25°C for 16</w:t>
      </w:r>
      <w:r>
        <w:t xml:space="preserve"> </w:t>
      </w:r>
      <w:r w:rsidRPr="46F3AA00">
        <w:t xml:space="preserve">h and 18°C </w:t>
      </w:r>
      <w:r>
        <w:t xml:space="preserve">for </w:t>
      </w:r>
      <w:r w:rsidRPr="46F3AA00">
        <w:t>8</w:t>
      </w:r>
      <w:r>
        <w:t xml:space="preserve"> h, daily temperature fluctuation in the dark. The right part of the scale contains </w:t>
      </w:r>
      <w:r>
        <w:rPr>
          <w:bCs/>
          <w:iCs/>
        </w:rPr>
        <w:t>two root tips separated in two 1.5 cm segments each, and one barley seedling</w:t>
      </w:r>
      <w:r>
        <w:t xml:space="preserve"> shifted to 4°C after 48 hours of germination. Both plants feature ~ five seminal roots that were already removed when the image was taken and only two of them used for the image. The seminal root tip (~ 0 – 1.5 cm) and tip-adjacent (~ 2.5 – 4 cm) zones are contiguous at both sides of the scale.</w:t>
      </w:r>
    </w:p>
    <w:p w14:paraId="27DF76BD" w14:textId="298DDEC7" w:rsidR="00DE7B97" w:rsidRPr="005F6C07" w:rsidRDefault="00DE7B97" w:rsidP="00C54ACF"/>
    <w:p w14:paraId="3271BE8B" w14:textId="38530C41" w:rsidR="00C54ACF" w:rsidRDefault="00EE40CF" w:rsidP="00DE7B97">
      <w:pPr>
        <w:jc w:val="center"/>
      </w:pPr>
      <w:r>
        <w:rPr>
          <w:noProof/>
        </w:rPr>
        <w:lastRenderedPageBreak/>
        <w:pict w14:anchorId="68AE7330">
          <v:shape id="_x0000_i1026" type="#_x0000_t75" style="width:488.85pt;height:407.9pt">
            <v:imagedata r:id="rId9" o:title="Supplemental Figure 2"/>
          </v:shape>
        </w:pict>
      </w:r>
    </w:p>
    <w:p w14:paraId="50A7BB27" w14:textId="0874EBDF" w:rsidR="00C54ACF" w:rsidRDefault="00C54ACF" w:rsidP="007B5708">
      <w:pPr>
        <w:jc w:val="both"/>
      </w:pPr>
      <w:r w:rsidRPr="0001436A">
        <w:rPr>
          <w:rFonts w:cs="Times New Roman"/>
          <w:b/>
          <w:szCs w:val="24"/>
        </w:rPr>
        <w:t xml:space="preserve">Supplementary Figure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Pr>
          <w:rFonts w:cs="Times New Roman"/>
          <w:b/>
          <w:noProof/>
          <w:szCs w:val="24"/>
        </w:rPr>
        <w:t>2</w:t>
      </w:r>
      <w:r w:rsidRPr="0001436A">
        <w:rPr>
          <w:rFonts w:cs="Times New Roman"/>
          <w:b/>
          <w:szCs w:val="24"/>
        </w:rPr>
        <w:fldChar w:fldCharType="end"/>
      </w:r>
      <w:r w:rsidRPr="0001436A">
        <w:rPr>
          <w:rFonts w:cs="Times New Roman"/>
          <w:b/>
          <w:szCs w:val="24"/>
        </w:rPr>
        <w:t>.</w:t>
      </w:r>
      <w:r w:rsidRPr="001549D3">
        <w:rPr>
          <w:rFonts w:cs="Times New Roman"/>
          <w:szCs w:val="24"/>
        </w:rPr>
        <w:t xml:space="preserve"> </w:t>
      </w:r>
      <w:r w:rsidRPr="0008335C">
        <w:rPr>
          <w:b/>
          <w:bCs/>
        </w:rPr>
        <w:t xml:space="preserve">Intensities of common proteins measured through two independent extraction methods from barley root </w:t>
      </w:r>
      <w:r w:rsidRPr="00CF5164">
        <w:rPr>
          <w:b/>
          <w:bCs/>
        </w:rPr>
        <w:t xml:space="preserve">tips. </w:t>
      </w:r>
      <w:r w:rsidRPr="00CF5164">
        <w:rPr>
          <w:b/>
          <w:bCs/>
          <w:iCs/>
        </w:rPr>
        <w:t>Related to Figure 2.</w:t>
      </w:r>
      <w:r>
        <w:rPr>
          <w:bCs/>
          <w:iCs/>
        </w:rPr>
        <w:t xml:space="preserve"> </w:t>
      </w:r>
      <w:r w:rsidRPr="00592E73">
        <w:rPr>
          <w:bCs/>
        </w:rPr>
        <w:t xml:space="preserve">Peptides from raw LC-MS/MS chromatograms were annotated using MaxQuant and FASTA sequences compiled in </w:t>
      </w:r>
      <w:r w:rsidR="00EE40CF" w:rsidRPr="0001436A">
        <w:rPr>
          <w:rFonts w:cs="Times New Roman"/>
          <w:b/>
          <w:szCs w:val="24"/>
        </w:rPr>
        <w:t xml:space="preserve">Supplementary </w:t>
      </w:r>
      <w:r w:rsidR="00EE40CF">
        <w:rPr>
          <w:b/>
          <w:bCs/>
        </w:rPr>
        <w:t xml:space="preserve">Table </w:t>
      </w:r>
      <w:r>
        <w:rPr>
          <w:b/>
          <w:bCs/>
        </w:rPr>
        <w:t>1</w:t>
      </w:r>
      <w:r w:rsidRPr="00592E73">
        <w:rPr>
          <w:bCs/>
        </w:rPr>
        <w:t>. Subsequently the protein identifiers were used to intersect both extraction methods yielding 1700 proteins in common. The abundances of common pro</w:t>
      </w:r>
      <w:r>
        <w:rPr>
          <w:bCs/>
        </w:rPr>
        <w:t>teins were used as input for this</w:t>
      </w:r>
      <w:r w:rsidRPr="00592E73">
        <w:rPr>
          <w:bCs/>
        </w:rPr>
        <w:t xml:space="preserve"> Heatmap using the ComplexHeatmap R package</w:t>
      </w:r>
      <w:r>
        <w:rPr>
          <w:bCs/>
        </w:rPr>
        <w:t xml:space="preserve"> </w:t>
      </w:r>
      <w:r>
        <w:rPr>
          <w:bCs/>
        </w:rPr>
        <w:fldChar w:fldCharType="begin" w:fldLock="1"/>
      </w:r>
      <w:r>
        <w:rPr>
          <w:bCs/>
        </w:rPr>
        <w:instrText>ADDIN CSL_CITATION {"citationItems":[{"id":"ITEM-1","itemData":{"DOI":"10.1093/bioinformatics/btw313","ISSN":"14602059","PMID":"27207943","abstract":"Parallel heatmaps with carefully designed annotation graphics are powerful for efficient visualization of patterns and relationships among high dimensional genomic data. Here we present the ComplexHeatmap package that provides rich functionalities for customizing heatmaps, arranging multiple parallel heatmaps and including user-defined annotation graphics. We demonstrate the power of ComplexHeatmap to easily reveal patterns and correlations among multiple sources of information with four real-world datasets.","author":[{"dropping-particle":"","family":"Gu","given":"Zuguang","non-dropping-particle":"","parse-names":false,"suffix":""},{"dropping-particle":"","family":"Eils","given":"Roland","non-dropping-particle":"","parse-names":false,"suffix":""},{"dropping-particle":"","family":"Schlesner","given":"Matthias","non-dropping-particle":"","parse-names":false,"suffix":""}],"container-title":"Bioinformatics","id":"ITEM-1","issue":"18","issued":{"date-parts":[["2016"]]},"page":"2847-2849","title":"Complex heatmaps reveal patterns and correlations in multidimensional genomic data","type":"article-journal","volume":"32"},"uris":["http://www.mendeley.com/documents/?uuid=b61beca9-d9fa-486b-995a-5dd51afc66c7"]}],"mendeley":{"formattedCitation":"(Gu et al., 2016)","plainTextFormattedCitation":"(Gu et al., 2016)","previouslyFormattedCitation":"(Gu et al., 2016)"},"properties":{"noteIndex":0},"schema":"https://github.com/citation-style-language/schema/raw/master/csl-citation.json"}</w:instrText>
      </w:r>
      <w:r>
        <w:rPr>
          <w:bCs/>
        </w:rPr>
        <w:fldChar w:fldCharType="separate"/>
      </w:r>
      <w:r w:rsidRPr="0087108C">
        <w:rPr>
          <w:bCs/>
          <w:noProof/>
        </w:rPr>
        <w:t>(Gu et al., 2016)</w:t>
      </w:r>
      <w:r>
        <w:rPr>
          <w:bCs/>
        </w:rPr>
        <w:fldChar w:fldCharType="end"/>
      </w:r>
      <w:r w:rsidRPr="00592E73">
        <w:rPr>
          <w:bCs/>
        </w:rPr>
        <w:t xml:space="preserve"> without any transformation or normalization. Three independent replicates were used to calculate the relative standard deviation (i.e., </w:t>
      </w:r>
      <w:r>
        <w:rPr>
          <w:bCs/>
        </w:rPr>
        <w:t xml:space="preserve">RSD </w:t>
      </w:r>
      <w:r w:rsidRPr="00592E73">
        <w:rPr>
          <w:bCs/>
        </w:rPr>
        <w:t xml:space="preserve">orange - black Heatmap) per individual protein. Note that lysis buffer increases the intensities from the common proteins as compared to </w:t>
      </w:r>
      <w:r>
        <w:rPr>
          <w:bCs/>
        </w:rPr>
        <w:t>ribosome</w:t>
      </w:r>
      <w:r w:rsidRPr="00592E73">
        <w:rPr>
          <w:bCs/>
        </w:rPr>
        <w:t xml:space="preserve"> extraction buffer. Nevertheless, the relative standard deviations do not differ substantially between both extraction methods.</w:t>
      </w:r>
    </w:p>
    <w:p w14:paraId="66D64672" w14:textId="649A3FD5" w:rsidR="00C54ACF" w:rsidRDefault="00EE40CF" w:rsidP="00C54ACF">
      <w:pPr>
        <w:spacing w:line="360" w:lineRule="auto"/>
        <w:jc w:val="center"/>
        <w:rPr>
          <w:b/>
          <w:bCs/>
        </w:rPr>
      </w:pPr>
      <w:r>
        <w:rPr>
          <w:b/>
          <w:bCs/>
          <w:noProof/>
        </w:rPr>
        <w:lastRenderedPageBreak/>
        <w:pict w14:anchorId="57A7DC20">
          <v:shape id="_x0000_i1027" type="#_x0000_t75" style="width:481.55pt;height:678.15pt">
            <v:imagedata r:id="rId10" o:title="Supplemental Figure 3"/>
          </v:shape>
        </w:pict>
      </w:r>
    </w:p>
    <w:p w14:paraId="455973BB" w14:textId="5717CE16" w:rsidR="00C54ACF" w:rsidRPr="007B5708" w:rsidRDefault="00C54ACF" w:rsidP="007B5708">
      <w:pPr>
        <w:jc w:val="both"/>
        <w:rPr>
          <w:rFonts w:cs="Times New Roman"/>
          <w:bCs/>
        </w:rPr>
      </w:pPr>
      <w:r w:rsidRPr="007B5708">
        <w:rPr>
          <w:rFonts w:cs="Times New Roman"/>
          <w:b/>
          <w:szCs w:val="24"/>
        </w:rPr>
        <w:lastRenderedPageBreak/>
        <w:t xml:space="preserve">Supplementary Figure </w:t>
      </w:r>
      <w:r w:rsidRPr="007B5708">
        <w:rPr>
          <w:rFonts w:cs="Times New Roman"/>
          <w:b/>
          <w:szCs w:val="24"/>
        </w:rPr>
        <w:fldChar w:fldCharType="begin"/>
      </w:r>
      <w:r w:rsidRPr="007B5708">
        <w:rPr>
          <w:rFonts w:cs="Times New Roman"/>
          <w:b/>
          <w:szCs w:val="24"/>
        </w:rPr>
        <w:instrText xml:space="preserve"> SEQ Figure \* ARABIC </w:instrText>
      </w:r>
      <w:r w:rsidRPr="007B5708">
        <w:rPr>
          <w:rFonts w:cs="Times New Roman"/>
          <w:b/>
          <w:szCs w:val="24"/>
        </w:rPr>
        <w:fldChar w:fldCharType="separate"/>
      </w:r>
      <w:r w:rsidRPr="007B5708">
        <w:rPr>
          <w:rFonts w:cs="Times New Roman"/>
          <w:b/>
          <w:noProof/>
          <w:szCs w:val="24"/>
        </w:rPr>
        <w:t>3</w:t>
      </w:r>
      <w:r w:rsidRPr="007B5708">
        <w:rPr>
          <w:rFonts w:cs="Times New Roman"/>
          <w:b/>
          <w:szCs w:val="24"/>
        </w:rPr>
        <w:fldChar w:fldCharType="end"/>
      </w:r>
      <w:r w:rsidRPr="007B5708">
        <w:rPr>
          <w:rFonts w:cs="Times New Roman"/>
          <w:b/>
          <w:szCs w:val="24"/>
        </w:rPr>
        <w:t>.</w:t>
      </w:r>
      <w:r w:rsidRPr="007B5708">
        <w:rPr>
          <w:rFonts w:cs="Times New Roman"/>
          <w:szCs w:val="24"/>
        </w:rPr>
        <w:t xml:space="preserve"> </w:t>
      </w:r>
      <w:r w:rsidRPr="007B5708">
        <w:rPr>
          <w:rFonts w:cs="Times New Roman"/>
          <w:b/>
          <w:bCs/>
        </w:rPr>
        <w:t xml:space="preserve">Hawaii plot of </w:t>
      </w:r>
      <w:r w:rsidRPr="007B5708">
        <w:rPr>
          <w:rFonts w:cs="Times New Roman"/>
          <w:b/>
          <w:bCs/>
          <w:i/>
          <w:iCs/>
        </w:rPr>
        <w:t>Hordeum vulgare</w:t>
      </w:r>
      <w:r w:rsidRPr="007B5708">
        <w:rPr>
          <w:rFonts w:cs="Times New Roman"/>
          <w:b/>
          <w:bCs/>
        </w:rPr>
        <w:t xml:space="preserve"> root proteome subjected to different treatments of mimicked-biotic or abiotic stress. </w:t>
      </w:r>
      <w:r w:rsidRPr="007B5708">
        <w:rPr>
          <w:rFonts w:cs="Times New Roman"/>
          <w:b/>
          <w:bCs/>
          <w:iCs/>
        </w:rPr>
        <w:t>Related to Figure 4.</w:t>
      </w:r>
      <w:r w:rsidRPr="007B5708">
        <w:rPr>
          <w:rFonts w:cs="Times New Roman"/>
          <w:bCs/>
          <w:iCs/>
        </w:rPr>
        <w:t xml:space="preserve"> </w:t>
      </w:r>
      <w:r w:rsidRPr="007B5708">
        <w:rPr>
          <w:rFonts w:cs="Times New Roman"/>
          <w:bCs/>
        </w:rPr>
        <w:t xml:space="preserve">RAW chromatograms of TMT labelled samples were processed with MaxQuant using the FASTA sequences reported in </w:t>
      </w:r>
      <w:r w:rsidR="00EE40CF" w:rsidRPr="0001436A">
        <w:rPr>
          <w:rFonts w:cs="Times New Roman"/>
          <w:b/>
          <w:szCs w:val="24"/>
        </w:rPr>
        <w:t xml:space="preserve">Supplementary </w:t>
      </w:r>
      <w:r w:rsidR="00EE40CF">
        <w:rPr>
          <w:rFonts w:cs="Times New Roman"/>
          <w:b/>
          <w:bCs/>
        </w:rPr>
        <w:t xml:space="preserve">Table </w:t>
      </w:r>
      <w:r w:rsidRPr="007B5708">
        <w:rPr>
          <w:rFonts w:cs="Times New Roman"/>
          <w:b/>
          <w:bCs/>
        </w:rPr>
        <w:t>1</w:t>
      </w:r>
      <w:r w:rsidRPr="007B5708">
        <w:rPr>
          <w:rFonts w:cs="Times New Roman"/>
          <w:bCs/>
        </w:rPr>
        <w:t xml:space="preserve">. Subsequently, the protein group matrix was inputted into Perseus (v 1.6.12.0) for adequate pre-processing, where a compendium of pooled samples was used to normalize the intensities of all samples and enable legitimate cross comparisons. A 1% FDR filter was applied using reverse hits in order to decrease the false annotations. Finally, only protein groups with more than one of razor + unique peptides were used. In the plot, the </w:t>
      </w:r>
      <w:r w:rsidRPr="007B5708">
        <w:rPr>
          <w:rFonts w:eastAsia="Calibri" w:cs="Times New Roman"/>
        </w:rPr>
        <w:t>tip-adjacent and tip</w:t>
      </w:r>
      <w:r w:rsidRPr="007B5708">
        <w:rPr>
          <w:rFonts w:cs="Times New Roman"/>
          <w:bCs/>
        </w:rPr>
        <w:t xml:space="preserve"> root zone controls have been used as divisor for their respective treatment ratios, as well as for the other zone controls. Hence, values in x-axes of the volcanoes represent a log</w:t>
      </w:r>
      <w:r w:rsidRPr="007B5708">
        <w:rPr>
          <w:rFonts w:cs="Times New Roman"/>
          <w:bCs/>
          <w:vertAlign w:val="subscript"/>
        </w:rPr>
        <w:t>2</w:t>
      </w:r>
      <w:r w:rsidRPr="007B5708">
        <w:rPr>
          <w:rFonts w:cs="Times New Roman"/>
          <w:bCs/>
        </w:rPr>
        <w:t>-transformed ratio of normalized protein intensity in each sample over that in the control. Note that root zones feature a significantly different proteome beyond the FDR = 0.01 barrier as compared to one another. Within treatments, cold features many proteins that differ significantly from its control while only a couple of proteins were significantly regulated in chitin and chitosan treatments.</w:t>
      </w:r>
    </w:p>
    <w:p w14:paraId="13B9B17E" w14:textId="77777777" w:rsidR="00C54ACF" w:rsidRDefault="00C54ACF" w:rsidP="00C54ACF">
      <w:pPr>
        <w:spacing w:line="360" w:lineRule="auto"/>
        <w:rPr>
          <w:b/>
          <w:bCs/>
        </w:rPr>
      </w:pPr>
    </w:p>
    <w:p w14:paraId="55DAD91B" w14:textId="77777777" w:rsidR="00C54ACF" w:rsidRDefault="00C54ACF" w:rsidP="00C54ACF">
      <w:pPr>
        <w:spacing w:line="360" w:lineRule="auto"/>
        <w:rPr>
          <w:b/>
          <w:bCs/>
        </w:rPr>
      </w:pPr>
    </w:p>
    <w:p w14:paraId="47C7D2B3" w14:textId="77777777" w:rsidR="00C54ACF" w:rsidRDefault="00C54ACF" w:rsidP="00C54ACF">
      <w:pPr>
        <w:spacing w:line="360" w:lineRule="auto"/>
        <w:rPr>
          <w:b/>
          <w:bCs/>
        </w:rPr>
      </w:pPr>
    </w:p>
    <w:p w14:paraId="57EAFA76" w14:textId="77777777" w:rsidR="00C54ACF" w:rsidRDefault="00C54ACF" w:rsidP="00C54ACF">
      <w:pPr>
        <w:spacing w:line="360" w:lineRule="auto"/>
        <w:rPr>
          <w:b/>
          <w:bCs/>
        </w:rPr>
      </w:pPr>
    </w:p>
    <w:p w14:paraId="6C976E1C" w14:textId="77777777" w:rsidR="00C54ACF" w:rsidRDefault="00C54ACF" w:rsidP="00C54ACF">
      <w:pPr>
        <w:spacing w:line="360" w:lineRule="auto"/>
        <w:rPr>
          <w:b/>
          <w:bCs/>
        </w:rPr>
      </w:pPr>
    </w:p>
    <w:p w14:paraId="086821EF" w14:textId="77777777" w:rsidR="00C54ACF" w:rsidRDefault="00C54ACF" w:rsidP="00C54ACF">
      <w:pPr>
        <w:spacing w:line="360" w:lineRule="auto"/>
        <w:rPr>
          <w:b/>
          <w:bCs/>
        </w:rPr>
      </w:pPr>
    </w:p>
    <w:p w14:paraId="1DEA87BF" w14:textId="77777777" w:rsidR="00C54ACF" w:rsidRDefault="00C54ACF" w:rsidP="00C54ACF">
      <w:pPr>
        <w:spacing w:line="360" w:lineRule="auto"/>
        <w:rPr>
          <w:b/>
          <w:bCs/>
        </w:rPr>
      </w:pPr>
    </w:p>
    <w:p w14:paraId="49666D86" w14:textId="77777777" w:rsidR="00C54ACF" w:rsidRDefault="00C54ACF" w:rsidP="00C54ACF">
      <w:pPr>
        <w:spacing w:line="360" w:lineRule="auto"/>
        <w:rPr>
          <w:b/>
          <w:bCs/>
        </w:rPr>
      </w:pPr>
    </w:p>
    <w:p w14:paraId="79847DED" w14:textId="77777777" w:rsidR="00C54ACF" w:rsidRDefault="00C54ACF" w:rsidP="00C54ACF">
      <w:pPr>
        <w:spacing w:line="360" w:lineRule="auto"/>
        <w:rPr>
          <w:b/>
          <w:bCs/>
        </w:rPr>
      </w:pPr>
    </w:p>
    <w:p w14:paraId="6ADFDB8A" w14:textId="77777777" w:rsidR="00C54ACF" w:rsidRDefault="00C54ACF" w:rsidP="00C54ACF">
      <w:pPr>
        <w:spacing w:line="360" w:lineRule="auto"/>
        <w:rPr>
          <w:b/>
          <w:bCs/>
        </w:rPr>
      </w:pPr>
    </w:p>
    <w:p w14:paraId="0145C588" w14:textId="20BA68C1" w:rsidR="00C54ACF" w:rsidRDefault="00C54ACF" w:rsidP="00C54ACF">
      <w:pPr>
        <w:spacing w:line="360" w:lineRule="auto"/>
        <w:rPr>
          <w:b/>
          <w:bCs/>
        </w:rPr>
      </w:pPr>
    </w:p>
    <w:p w14:paraId="2696469D" w14:textId="7754D484" w:rsidR="00C54ACF" w:rsidRDefault="00EE40CF" w:rsidP="00C54ACF">
      <w:pPr>
        <w:spacing w:line="360" w:lineRule="auto"/>
        <w:jc w:val="center"/>
      </w:pPr>
      <w:r>
        <w:rPr>
          <w:noProof/>
        </w:rPr>
        <w:lastRenderedPageBreak/>
        <w:pict w14:anchorId="1453DF6A">
          <v:shape id="_x0000_i1028" type="#_x0000_t75" style="width:488.85pt;height:259.4pt">
            <v:imagedata r:id="rId11" o:title="Supplemental Figure 4"/>
          </v:shape>
        </w:pict>
      </w:r>
    </w:p>
    <w:p w14:paraId="6E1FB7DE" w14:textId="21E1A932" w:rsidR="00C54ACF" w:rsidRDefault="00C54ACF" w:rsidP="007B5708">
      <w:pPr>
        <w:jc w:val="both"/>
        <w:rPr>
          <w:bCs/>
        </w:rPr>
      </w:pPr>
      <w:r w:rsidRPr="0001436A">
        <w:rPr>
          <w:rFonts w:cs="Times New Roman"/>
          <w:b/>
          <w:szCs w:val="24"/>
        </w:rPr>
        <w:t xml:space="preserve">Supplementary Figure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Pr>
          <w:rFonts w:cs="Times New Roman"/>
          <w:b/>
          <w:noProof/>
          <w:szCs w:val="24"/>
        </w:rPr>
        <w:t>4</w:t>
      </w:r>
      <w:r w:rsidRPr="0001436A">
        <w:rPr>
          <w:rFonts w:cs="Times New Roman"/>
          <w:b/>
          <w:szCs w:val="24"/>
        </w:rPr>
        <w:fldChar w:fldCharType="end"/>
      </w:r>
      <w:r w:rsidRPr="0001436A">
        <w:rPr>
          <w:rFonts w:cs="Times New Roman"/>
          <w:b/>
          <w:szCs w:val="24"/>
        </w:rPr>
        <w:t>.</w:t>
      </w:r>
      <w:r w:rsidRPr="001549D3">
        <w:rPr>
          <w:rFonts w:cs="Times New Roman"/>
          <w:szCs w:val="24"/>
        </w:rPr>
        <w:t xml:space="preserve"> </w:t>
      </w:r>
      <w:r w:rsidRPr="0008335C">
        <w:rPr>
          <w:b/>
          <w:bCs/>
        </w:rPr>
        <w:t>Sources used to obtain the full set of GO terms.</w:t>
      </w:r>
      <w:r>
        <w:rPr>
          <w:bCs/>
        </w:rPr>
        <w:t xml:space="preserve"> </w:t>
      </w:r>
      <w:r w:rsidRPr="00E65755">
        <w:rPr>
          <w:b/>
          <w:bCs/>
          <w:iCs/>
        </w:rPr>
        <w:t xml:space="preserve">Related to </w:t>
      </w:r>
      <w:r w:rsidR="00EE40CF" w:rsidRPr="0001436A">
        <w:rPr>
          <w:rFonts w:cs="Times New Roman"/>
          <w:b/>
          <w:szCs w:val="24"/>
        </w:rPr>
        <w:t xml:space="preserve">Supplementary </w:t>
      </w:r>
      <w:r w:rsidRPr="00E65755">
        <w:rPr>
          <w:b/>
          <w:bCs/>
          <w:iCs/>
        </w:rPr>
        <w:t>Table</w:t>
      </w:r>
      <w:r w:rsidR="00EE40CF">
        <w:rPr>
          <w:b/>
          <w:bCs/>
          <w:iCs/>
        </w:rPr>
        <w:t xml:space="preserve"> </w:t>
      </w:r>
      <w:r w:rsidRPr="00E65755">
        <w:rPr>
          <w:b/>
          <w:bCs/>
          <w:iCs/>
        </w:rPr>
        <w:t>1.</w:t>
      </w:r>
      <w:r w:rsidRPr="0022184A">
        <w:rPr>
          <w:bCs/>
        </w:rPr>
        <w:t xml:space="preserve"> </w:t>
      </w:r>
      <w:r>
        <w:rPr>
          <w:bCs/>
        </w:rPr>
        <w:t>GO terms used to</w:t>
      </w:r>
      <w:r w:rsidRPr="0022184A">
        <w:rPr>
          <w:bCs/>
        </w:rPr>
        <w:t xml:space="preserve"> match gene ontologies from the high-confidence protein annotations reported in the new reference barley genome assembly published in 2017</w:t>
      </w:r>
      <w:r>
        <w:rPr>
          <w:bCs/>
        </w:rPr>
        <w:t xml:space="preserve"> </w:t>
      </w:r>
      <w:r>
        <w:rPr>
          <w:bCs/>
        </w:rPr>
        <w:fldChar w:fldCharType="begin" w:fldLock="1"/>
      </w:r>
      <w:r>
        <w:rPr>
          <w:bCs/>
        </w:rPr>
        <w:instrText>ADDIN CSL_CITATION {"citationItems":[{"id":"ITEM-1","itemData":{"DOI":"10.1038/nature22043","ISSN":"14764687","PMID":"28447635","abstract":"Cereal grasses of the Triticeae tribe have been the major food source in temperate regions since the dawn of agriculture. Their large genomes are characterized by a high content of repetitive elements and large pericentromeric regions that are virtually devoid of meiotic recombination. Here we present a high-quality reference genome assembly for barley (Hordeum vulgare L.). We use chromosome conformation capture mapping to derive the linear order of sequences across the pericentromeric space and to investigate the spatial organization of chromatin in the nucleus at megabase resolution. The composition of genes and repetitive elements differs between distal and proximal regions. Gene family analyses reveal lineage-specific duplications of genes involved in the transport of nutrients to developing seeds and the mobilization of carbohydrates in grains. We demonstrate the importance of the barley reference sequence for breeding by inspecting the genomic partitioning of sequence variation in modern elite germplasm, highlighting regions vulnerable to genetic erosion.","author":[{"dropping-particle":"","family":"Mascher","given":"Martin","non-dropping-particle":"","parse-names":false,"suffix":""},{"dropping-particle":"","family":"Gundlach","given":"Heidrun","non-dropping-particle":"","parse-names":false,"suffix":""},{"dropping-particle":"","family":"Himmelbach","given":"Axel","non-dropping-particle":"","parse-names":false,"suffix":""},{"dropping-particle":"","family":"Beier","given":"Sebastian","non-dropping-particle":"","parse-names":false,"suffix":""},{"dropping-particle":"","family":"Twardziok","given":"Sven O.","non-dropping-particle":"","parse-names":false,"suffix":""},{"dropping-particle":"","family":"Wicker","given":"Thomas","non-dropping-particle":"","parse-names":false,"suffix":""},{"dropping-particle":"","family":"Radchuk","given":"Volodymyr","non-dropping-particle":"","parse-names":false,"suffix":""},{"dropping-particle":"","family":"Dockter","given":"Christoph","non-dropping-particle":"","parse-names":false,"suffix":""},{"dropping-particle":"","family":"Hedley","given":"Pete E.","non-dropping-particle":"","parse-names":false,"suffix":""},{"dropping-particle":"","family":"Russell","given":"Joanne","non-dropping-particle":"","parse-names":false,"suffix":""},{"dropping-particle":"","family":"Bayer","given":"Micha","non-dropping-particle":"","parse-names":false,"suffix":""},{"dropping-particle":"","family":"Ramsay","given":"Luke","non-dropping-particle":"","parse-names":false,"suffix":""},{"dropping-particle":"","family":"Liu","given":"Hui","non-dropping-particle":"","parse-names":false,"suffix":""},{"dropping-particle":"","family":"Haberer","given":"Georg","non-dropping-particle":"","parse-names":false,"suffix":""},{"dropping-particle":"","family":"Zhang","given":"Xiao Qi","non-dropping-particle":"","parse-names":false,"suffix":""},{"dropping-particle":"","family":"Zhang","given":"Qisen","non-dropping-particle":"","parse-names":false,"suffix":""},{"dropping-particle":"","family":"Barrero","given":"Roberto A.","non-dropping-particle":"","parse-names":false,"suffix":""},{"dropping-particle":"","family":"Li","given":"Lin","non-dropping-particle":"","parse-names":false,"suffix":""},{"dropping-particle":"","family":"Taudien","given":"Stefan","non-dropping-particle":"","parse-names":false,"suffix":""},{"dropping-particle":"","family":"Groth","given":"Marco","non-dropping-particle":"","parse-names":false,"suffix":""},{"dropping-particle":"","family":"Felder","given":"Marius","non-dropping-particle":"","parse-names":false,"suffix":""},{"dropping-particle":"","family":"Hastie","given":"Alex","non-dropping-particle":"","parse-names":false,"suffix":""},{"dropping-particle":"","family":"Šimková","given":"Hana","non-dropping-particle":"","parse-names":false,"suffix":""},{"dropping-particle":"","family":"Stanková","given":"Helena","non-dropping-particle":"","parse-names":false,"suffix":""},{"dropping-particle":"","family":"Vrána","given":"Jan","non-dropping-particle":"","parse-names":false,"suffix":""},{"dropping-particle":"","family":"Chan","given":"Saki","non-dropping-particle":"","parse-names":false,"suffix":""},{"dropping-particle":"","family":"Munõz-Amatriaín","given":"Mariá","non-dropping-particle":"","parse-names":false,"suffix":""},{"dropping-particle":"","family":"Ounit","given":"Rachid","non-dropping-particle":"","parse-names":false,"suffix":""},{"dropping-particle":"","family":"Wanamaker","given":"Steve","non-dropping-particle":"","parse-names":false,"suffix":""},{"dropping-particle":"","family":"Bolser","given":"Daniel","non-dropping-particle":"","parse-names":false,"suffix":""},{"dropping-particle":"","family":"Colmsee","given":"Christian","non-dropping-particle":"","parse-names":false,"suffix":""},{"dropping-particle":"","family":"Schmutzer","given":"Thomas","non-dropping-particle":"","parse-names":false,"suffix":""},{"dropping-particle":"","family":"Aliyeva-Schnorr","given":"Lala","non-dropping-particle":"","parse-names":false,"suffix":""},{"dropping-particle":"","family":"Grasso","given":"Stefano","non-dropping-particle":"","parse-names":false,"suffix":""},{"dropping-particle":"","family":"Tanskanen","given":"Jaakko","non-dropping-particle":"","parse-names":false,"suffix":""},{"dropping-particle":"","family":"Chailyan","given":"Anna","non-dropping-particle":"","parse-names":false,"suffix":""},{"dropping-particle":"","family":"Sampath","given":"Dharanya","non-dropping-particle":"","parse-names":false,"suffix":""},{"dropping-particle":"","family":"Heavens","given":"Darren","non-dropping-particle":"","parse-names":false,"suffix":""},{"dropping-particle":"","family":"Clissold","given":"Leah","non-dropping-particle":"","parse-names":false,"suffix":""},{"dropping-particle":"","family":"Cao","given":"Sujie","non-dropping-particle":"","parse-names":false,"suffix":""},{"dropping-particle":"","family":"Chapman","given":"Brett","non-dropping-particle":"","parse-names":false,"suffix":""},{"dropping-particle":"","family":"Dai","given":"Fei","non-dropping-particle":"","parse-names":false,"suffix":""},{"dropping-particle":"","family":"Han","given":"Yong","non-dropping-particle":"","parse-names":false,"suffix":""},{"dropping-particle":"","family":"Li","given":"Hua","non-dropping-particle":"","parse-names":false,"suffix":""},{"dropping-particle":"","family":"Li","given":"Xuan","non-dropping-particle":"","parse-names":false,"suffix":""},{"dropping-particle":"","family":"Lin","given":"Chongyun","non-dropping-particle":"","parse-names":false,"suffix":""},{"dropping-particle":"","family":"McCooke","given":"John K.","non-dropping-particle":"","parse-names":false,"suffix":""},{"dropping-particle":"","family":"Tan","given":"Cong","non-dropping-particle":"","parse-names":false,"suffix":""},{"dropping-particle":"","family":"Wang","given":"Penghao","non-dropping-particle":"","parse-names":false,"suffix":""},{"dropping-particle":"","family":"Wang","given":"Songbo","non-dropping-particle":"","parse-names":false,"suffix":""},{"dropping-particle":"","family":"Yin","given":"Shuya","non-dropping-particle":"","parse-names":false,"suffix":""},{"dropping-particle":"","family":"Zhou","given":"Gaofeng","non-dropping-particle":"","parse-names":false,"suffix":""},{"dropping-particle":"","family":"Poland","given":"Jesse A.","non-dropping-particle":"","parse-names":false,"suffix":""},{"dropping-particle":"","family":"Bellgard","given":"Matthew I.","non-dropping-particle":"","parse-names":false,"suffix":""},{"dropping-particle":"","family":"Borisjuk","given":"Ljudmilla","non-dropping-particle":"","parse-names":false,"suffix":""},{"dropping-particle":"","family":"Houben","given":"Andreas","non-dropping-particle":"","parse-names":false,"suffix":""},{"dropping-particle":"","family":"Doleael","given":"Jaroslav","non-dropping-particle":"","parse-names":false,"suffix":""},{"dropping-particle":"","family":"Ayling","given":"Sarah","non-dropping-particle":"","parse-names":false,"suffix":""},{"dropping-particle":"","family":"Lonardi","given":"Stefano","non-dropping-particle":"","parse-names":false,"suffix":""},{"dropping-particle":"","family":"Kersey","given":"Paul","non-dropping-particle":"","parse-names":false,"suffix":""},{"dropping-particle":"","family":"Langridge","given":"Peter","non-dropping-particle":"","parse-names":false,"suffix":""},{"dropping-particle":"","family":"Muehlbauer","given":"Gary J.","non-dropping-particle":"","parse-names":false,"suffix":""},{"dropping-particle":"","family":"Clark","given":"Matthew D.","non-dropping-particle":"","parse-names":false,"suffix":""},{"dropping-particle":"","family":"Caccamo","given":"Mario","non-dropping-particle":"","parse-names":false,"suffix":""},{"dropping-particle":"","family":"Schulman","given":"Alan H.","non-dropping-particle":"","parse-names":false,"suffix":""},{"dropping-particle":"","family":"Mayer","given":"Klaus F.X.","non-dropping-particle":"","parse-names":false,"suffix":""},{"dropping-particle":"","family":"Platzer","given":"Matthias","non-dropping-particle":"","parse-names":false,"suffix":""},{"dropping-particle":"","family":"Close","given":"Timothy J.","non-dropping-particle":"","parse-names":false,"suffix":""},{"dropping-particle":"","family":"Scholz","given":"Uwe","non-dropping-particle":"","parse-names":false,"suffix":""},{"dropping-particle":"","family":"Hansson","given":"Mats","non-dropping-particle":"","parse-names":false,"suffix":""},{"dropping-particle":"","family":"Zhang","given":"Guoping","non-dropping-particle":"","parse-names":false,"suffix":""},{"dropping-particle":"","family":"Braumann","given":"Ilka","non-dropping-particle":"","parse-names":false,"suffix":""},{"dropping-particle":"","family":"Spannagl","given":"Manuel","non-dropping-particle":"","parse-names":false,"suffix":""},{"dropping-particle":"","family":"Li","given":"Chengdao","non-dropping-particle":"","parse-names":false,"suffix":""},{"dropping-particle":"","family":"Waugh","given":"Robbie","non-dropping-particle":"","parse-names":false,"suffix":""},{"dropping-particle":"","family":"Stein","given":"Nils","non-dropping-particle":"","parse-names":false,"suffix":""}],"container-title":"Nature","id":"ITEM-1","issue":"7651","issued":{"date-parts":[["2017"]]},"page":"427-433","title":"A chromosome conformation capture ordered sequence of the barley genome","type":"article-journal","volume":"544"},"uris":["http://www.mendeley.com/documents/?uuid=171013a1-875e-486f-8997-923c373878b8"]}],"mendeley":{"formattedCitation":"(Mascher et al., 2017)","plainTextFormattedCitation":"(Mascher et al., 2017)","previouslyFormattedCitation":"(Mascher et al., 2017)"},"properties":{"noteIndex":0},"schema":"https://github.com/citation-style-language/schema/raw/master/csl-citation.json"}</w:instrText>
      </w:r>
      <w:r>
        <w:rPr>
          <w:bCs/>
        </w:rPr>
        <w:fldChar w:fldCharType="separate"/>
      </w:r>
      <w:r w:rsidRPr="0087108C">
        <w:rPr>
          <w:bCs/>
          <w:noProof/>
        </w:rPr>
        <w:t>(Mascher et al., 2017)</w:t>
      </w:r>
      <w:r>
        <w:rPr>
          <w:bCs/>
        </w:rPr>
        <w:fldChar w:fldCharType="end"/>
      </w:r>
      <w:r w:rsidRPr="0022184A">
        <w:rPr>
          <w:bCs/>
        </w:rPr>
        <w:t>, i.e., GO_HV in the Venn diagram</w:t>
      </w:r>
      <w:r>
        <w:rPr>
          <w:bCs/>
        </w:rPr>
        <w:t xml:space="preserve"> </w:t>
      </w:r>
      <w:r w:rsidRPr="0022184A">
        <w:rPr>
          <w:bCs/>
        </w:rPr>
        <w:t>plot</w:t>
      </w:r>
      <w:r>
        <w:rPr>
          <w:bCs/>
        </w:rPr>
        <w:t xml:space="preserve"> implemented in the VennDiagram R package </w:t>
      </w:r>
      <w:r>
        <w:rPr>
          <w:bCs/>
        </w:rPr>
        <w:fldChar w:fldCharType="begin" w:fldLock="1"/>
      </w:r>
      <w:r>
        <w:rPr>
          <w:bCs/>
        </w:rPr>
        <w:instrText>ADDIN CSL_CITATION {"citationItems":[{"id":"ITEM-1","itemData":{"DOI":"10.1186/1471-2105-12-35","ISSN":"14712105","PMID":"21269502","abstract":"Background: Visualization of orthogonal (disjoint) or overlapping datasets is a common task in bioinformatics. Few tools exist to automate the generation of extensively-customizable, high-resolution Venn and Euler diagrams in the R statistical environment. To fill this gap we introduce VennDiagram, an R package that enables the automated generation of highly-customizable, high-resolution Venn diagrams with up to four sets and Euler diagrams with up to three sets.Results: The VennDiagram package offers the user the ability to customize essentially all aspects of the generated diagrams, including font sizes, label styles and locations, and the overall rotation of the diagram. We have implemented scaled Venn and Euler diagrams, which increase graphical accuracy and visual appeal. Diagrams are generated as high-definition TIFF files, simplifying the process of creating publication-quality figures and easing integration with established analysis pipelines.Conclusions: The VennDiagram package allows the creation of high quality Venn and Euler diagrams in the R statistical environment. © 2011 Chen and Boutros; licensee BioMed Central Ltd.","author":[{"dropping-particle":"","family":"Chen","given":"Hanbo","non-dropping-particle":"","parse-names":false,"suffix":""},{"dropping-particle":"","family":"Boutros","given":"Paul C.","non-dropping-particle":"","parse-names":false,"suffix":""}],"container-title":"BMC Bioinformatics","id":"ITEM-1","issued":{"date-parts":[["2011"]]},"page":"1-7","title":"VennDiagram: A package for the generation of highly-customizable Venn and Euler diagrams in R","type":"article-journal","volume":"12"},"uris":["http://www.mendeley.com/documents/?uuid=8420f02d-4ccf-4d83-8a6c-d87bfa55d7b1"]}],"mendeley":{"formattedCitation":"(Chen and Boutros, 2011)","plainTextFormattedCitation":"(Chen and Boutros, 2011)","previouslyFormattedCitation":"(Chen and Boutros, 2011)"},"properties":{"noteIndex":0},"schema":"https://github.com/citation-style-language/schema/raw/master/csl-citation.json"}</w:instrText>
      </w:r>
      <w:r>
        <w:rPr>
          <w:bCs/>
        </w:rPr>
        <w:fldChar w:fldCharType="separate"/>
      </w:r>
      <w:r w:rsidRPr="0022184A">
        <w:rPr>
          <w:bCs/>
          <w:noProof/>
        </w:rPr>
        <w:t>(Chen and Boutros, 2011)</w:t>
      </w:r>
      <w:r>
        <w:rPr>
          <w:bCs/>
        </w:rPr>
        <w:fldChar w:fldCharType="end"/>
      </w:r>
      <w:r w:rsidRPr="0022184A">
        <w:rPr>
          <w:bCs/>
        </w:rPr>
        <w:t xml:space="preserve">. </w:t>
      </w:r>
      <w:r>
        <w:rPr>
          <w:bCs/>
        </w:rPr>
        <w:t xml:space="preserve">The first source was </w:t>
      </w:r>
      <w:r w:rsidRPr="0022184A">
        <w:rPr>
          <w:bCs/>
        </w:rPr>
        <w:t xml:space="preserve">AmiGO </w:t>
      </w:r>
      <w:r>
        <w:rPr>
          <w:bCs/>
        </w:rPr>
        <w:t xml:space="preserve"> </w:t>
      </w:r>
      <w:r>
        <w:fldChar w:fldCharType="begin" w:fldLock="1"/>
      </w:r>
      <w:r>
        <w:instrText>ADDIN CSL_CITATION {"citationItems":[{"id":"ITEM-1","itemData":{"DOI":"10.1093/bioinformatics/btn615","ISSN":"13674803","PMID":"19033274","abstract":"AmiGO is a web application that allows users to query, browse and visualize ontologies and related gene product annotation (association) data. AmiGO can be used online at the Gene Ontology (GO) website to access the data provided by the GO Consortium; it can also be downloaded and installed to browse local ontologies and annotations. AmiGO is free open source software developed and maintained by the GO Consortium. © 2008 The Author(s).","author":[{"dropping-particle":"","family":"Carbon","given":"Seth","non-dropping-particle":"","parse-names":false,"suffix":""},{"dropping-particle":"","family":"Ireland","given":"Amelia","non-dropping-particle":"","parse-names":false,"suffix":""},{"dropping-particle":"","family":"Mungall","given":"Christopher J.","non-dropping-particle":"","parse-names":false,"suffix":""},{"dropping-particle":"","family":"Shu","given":"Shengqiang","non-dropping-particle":"","parse-names":false,"suffix":""},{"dropping-particle":"","family":"Marshall","given":"Brad","non-dropping-particle":"","parse-names":false,"suffix":""},{"dropping-particle":"","family":"Lewis","given":"Suzanna","non-dropping-particle":"","parse-names":false,"suffix":""},{"dropping-particle":"","family":"Lomax","given":"Jane","non-dropping-particle":"","parse-names":false,"suffix":""},{"dropping-particle":"","family":"Mungall","given":"Chris","non-dropping-particle":"","parse-names":false,"suffix":""},{"dropping-particle":"","family":"Hitz","given":"Benjamin","non-dropping-particle":"","parse-names":false,"suffix":""},{"dropping-particle":"","family":"Balakrishnan","given":"Rama","non-dropping-particle":"","parse-names":false,"suffix":""},{"dropping-particle":"","family":"Dolan","given":"Mary","non-dropping-particle":"","parse-names":false,"suffix":""},{"dropping-particle":"","family":"Wood","given":"Valerie","non-dropping-particle":"","parse-names":false,"suffix":""},{"dropping-particle":"","family":"Hong","given":"Eurie","non-dropping-particle":"","parse-names":false,"suffix":""},{"dropping-particle":"","family":"Gaudet","given":"Pascale","non-dropping-particle":"","parse-names":false,"suffix":""}],"container-title":"Bioinformatics","id":"ITEM-1","issue":"2","issued":{"date-parts":[["2009"]]},"page":"288-289","title":"AmiGO: Online access to ontology and annotation data","type":"article-journal","volume":"25"},"uris":["http://www.mendeley.com/documents/?uuid=b5f31f66-f64c-4a96-9962-1346b7d05811"]}],"mendeley":{"formattedCitation":"(Carbon et al., 2009)","plainTextFormattedCitation":"(Carbon et al., 2009)","previouslyFormattedCitation":"(Carbon et al., 2009)"},"properties":{"noteIndex":0},"schema":"https://github.com/citation-style-language/schema/raw/master/csl-citation.json"}</w:instrText>
      </w:r>
      <w:r>
        <w:fldChar w:fldCharType="separate"/>
      </w:r>
      <w:r w:rsidRPr="0087108C">
        <w:rPr>
          <w:noProof/>
        </w:rPr>
        <w:t>(Carbon et al., 2009)</w:t>
      </w:r>
      <w:r>
        <w:fldChar w:fldCharType="end"/>
      </w:r>
      <w:r>
        <w:t>.</w:t>
      </w:r>
      <w:r w:rsidRPr="0022184A">
        <w:rPr>
          <w:bCs/>
        </w:rPr>
        <w:t xml:space="preserve"> </w:t>
      </w:r>
      <w:r>
        <w:rPr>
          <w:bCs/>
        </w:rPr>
        <w:t xml:space="preserve">The second source was </w:t>
      </w:r>
      <w:r w:rsidRPr="0022184A">
        <w:rPr>
          <w:bCs/>
        </w:rPr>
        <w:t>GO express</w:t>
      </w:r>
      <w:r>
        <w:rPr>
          <w:bCs/>
        </w:rPr>
        <w:t xml:space="preserve"> </w:t>
      </w:r>
      <w:r>
        <w:rPr>
          <w:bCs/>
        </w:rPr>
        <w:fldChar w:fldCharType="begin" w:fldLock="1"/>
      </w:r>
      <w:r>
        <w:rPr>
          <w:bCs/>
        </w:rPr>
        <w:instrText>ADDIN CSL_CITATION {"citationItems":[{"id":"ITEM-1","itemData":{"DOI":"10.1186/s12859-016-0971-3","ISSN":"14712105","PMID":"26968614","abstract":"Background: Identification of gene expression profiles that differentiate experimental groups is critical for discovery and analysis of key molecular pathways and also for selection of robust diagnostic or prognostic biomarkers. While integration of differential expression statistics has been used to refine gene set enrichment analyses, such approaches are typically limited to single gene lists resulting from simple two-group comparisons or time-series analyses. In contrast, functional class scoring and machine learning approaches provide powerful alternative methods to leverage molecular measurements for pathway analyses, and to compare continuous and multi-level categorical factors. Results: We introduce GOexpress, a software package for scoring and summarising the capacity of gene ontology features to simultaneously classify samples from multiple experimental groups. GOexpress integrates normalised gene expression data (e.g., from microarray and RNA-seq experiments) and phenotypic information of individual samples with gene ontology annotations to derive a ranking of genes and gene ontology terms using a supervised learning approach. The default random forest algorithm allows interactions between all experimental factors, and competitive scoring of expressed genes to evaluate their relative importance in classifying predefined groups of samples. Conclusions: GOexpress enables rapid identification and visualisation of ontology-related gene panels that robustly classify groups of samples and supports both categorical (e.g., infection status, treatment) and continuous (e.g., time-series, drug concentrations) experimental factors. The use of standard Bioconductor extension packages and publicly available gene ontology annotations facilitates straightforward integration of GOexpress within existing computational biology pipelines.","author":[{"dropping-particle":"","family":"Rue-Albrecht","given":"Kévin","non-dropping-particle":"","parse-names":false,"suffix":""},{"dropping-particle":"","family":"McGettigan","given":"Paul A.","non-dropping-particle":"","parse-names":false,"suffix":""},{"dropping-particle":"","family":"Hernández","given":"Belinda","non-dropping-particle":"","parse-names":false,"suffix":""},{"dropping-particle":"","family":"Nalpas","given":"Nicolas C.","non-dropping-particle":"","parse-names":false,"suffix":""},{"dropping-particle":"","family":"Magee","given":"David A.","non-dropping-particle":"","parse-names":false,"suffix":""},{"dropping-particle":"","family":"Parnell","given":"Andrew C.","non-dropping-particle":"","parse-names":false,"suffix":""},{"dropping-particle":"V.","family":"Gordon","given":"Stephen","non-dropping-particle":"","parse-names":false,"suffix":""},{"dropping-particle":"","family":"MacHugh","given":"David E.","non-dropping-particle":"","parse-names":false,"suffix":""}],"container-title":"BMC Bioinformatics","id":"ITEM-1","issue":"1","issued":{"date-parts":[["2016"]]},"page":"126","title":"GOexpress: An R/Bioconductor package for the identification and visualisation of robust gene ontology signatures through supervised learning of gene expression data","type":"article-journal","volume":"17"},"uris":["http://www.mendeley.com/documents/?uuid=a345c09a-3ff3-4d92-9e55-1882410d9904"]}],"mendeley":{"formattedCitation":"(Rue-Albrecht et al., 2016)","plainTextFormattedCitation":"(Rue-Albrecht et al., 2016)","previouslyFormattedCitation":"(Rue-Albrecht et al., 2016)"},"properties":{"noteIndex":0},"schema":"https://github.com/citation-style-language/schema/raw/master/csl-citation.json"}</w:instrText>
      </w:r>
      <w:r>
        <w:rPr>
          <w:bCs/>
        </w:rPr>
        <w:fldChar w:fldCharType="separate"/>
      </w:r>
      <w:r w:rsidRPr="0087108C">
        <w:rPr>
          <w:bCs/>
          <w:noProof/>
        </w:rPr>
        <w:t>(Rue-Albrecht et al., 2016)</w:t>
      </w:r>
      <w:r>
        <w:rPr>
          <w:bCs/>
        </w:rPr>
        <w:fldChar w:fldCharType="end"/>
      </w:r>
      <w:r w:rsidRPr="0022184A">
        <w:rPr>
          <w:bCs/>
        </w:rPr>
        <w:t>.</w:t>
      </w:r>
    </w:p>
    <w:p w14:paraId="51DDC0C0" w14:textId="77777777" w:rsidR="00C54ACF" w:rsidRDefault="00C54ACF" w:rsidP="00C54ACF">
      <w:pPr>
        <w:spacing w:line="360" w:lineRule="auto"/>
        <w:jc w:val="center"/>
      </w:pPr>
    </w:p>
    <w:p w14:paraId="43385E64" w14:textId="77777777" w:rsidR="00C54ACF" w:rsidRDefault="00C54ACF" w:rsidP="00C54ACF">
      <w:pPr>
        <w:spacing w:line="360" w:lineRule="auto"/>
        <w:rPr>
          <w:b/>
          <w:bCs/>
          <w:i/>
          <w:iCs/>
        </w:rPr>
      </w:pPr>
    </w:p>
    <w:p w14:paraId="6489F798" w14:textId="77777777" w:rsidR="00C54ACF" w:rsidRDefault="00C54ACF" w:rsidP="00C54ACF">
      <w:pPr>
        <w:spacing w:line="360" w:lineRule="auto"/>
        <w:rPr>
          <w:b/>
          <w:bCs/>
          <w:i/>
          <w:iCs/>
        </w:rPr>
      </w:pPr>
    </w:p>
    <w:p w14:paraId="1BEC772F" w14:textId="77777777" w:rsidR="00C54ACF" w:rsidRDefault="00C54ACF" w:rsidP="00C54ACF">
      <w:pPr>
        <w:spacing w:line="360" w:lineRule="auto"/>
        <w:rPr>
          <w:b/>
          <w:bCs/>
          <w:i/>
          <w:iCs/>
        </w:rPr>
      </w:pPr>
    </w:p>
    <w:p w14:paraId="59A50E4E" w14:textId="77777777" w:rsidR="00C54ACF" w:rsidRDefault="00C54ACF" w:rsidP="00C54ACF"/>
    <w:p w14:paraId="2C22A413" w14:textId="77777777" w:rsidR="00C54ACF" w:rsidRDefault="00C54ACF" w:rsidP="00C54ACF"/>
    <w:p w14:paraId="2766E1CD" w14:textId="1A43F787" w:rsidR="00C54ACF" w:rsidRDefault="00C54ACF" w:rsidP="00C54ACF"/>
    <w:p w14:paraId="1AF1E9F0" w14:textId="670D7F43" w:rsidR="00C54ACF" w:rsidRDefault="00C54ACF" w:rsidP="00C54ACF"/>
    <w:p w14:paraId="1B75CB5F" w14:textId="43409E91" w:rsidR="00C54ACF" w:rsidRDefault="00EE40CF" w:rsidP="00C54ACF">
      <w:pPr>
        <w:jc w:val="center"/>
      </w:pPr>
      <w:r>
        <w:rPr>
          <w:noProof/>
        </w:rPr>
        <w:lastRenderedPageBreak/>
        <w:pict w14:anchorId="1D96294E">
          <v:shape id="_x0000_i1029" type="#_x0000_t75" style="width:488.85pt;height:300.3pt">
            <v:imagedata r:id="rId12" o:title="Supplemental Figure 5"/>
          </v:shape>
        </w:pict>
      </w:r>
    </w:p>
    <w:p w14:paraId="4A9F5BF6" w14:textId="57229596" w:rsidR="00DE7B97" w:rsidRDefault="00C54ACF" w:rsidP="00921A11">
      <w:pPr>
        <w:jc w:val="both"/>
        <w:rPr>
          <w:rFonts w:cs="Times New Roman"/>
          <w:bCs/>
        </w:rPr>
      </w:pPr>
      <w:r w:rsidRPr="00921A11">
        <w:rPr>
          <w:rFonts w:cs="Times New Roman"/>
          <w:b/>
          <w:szCs w:val="24"/>
        </w:rPr>
        <w:t xml:space="preserve">Supplementary Figure </w:t>
      </w:r>
      <w:r w:rsidRPr="00921A11">
        <w:rPr>
          <w:rFonts w:cs="Times New Roman"/>
          <w:b/>
          <w:szCs w:val="24"/>
        </w:rPr>
        <w:fldChar w:fldCharType="begin"/>
      </w:r>
      <w:r w:rsidRPr="00921A11">
        <w:rPr>
          <w:rFonts w:cs="Times New Roman"/>
          <w:b/>
          <w:szCs w:val="24"/>
        </w:rPr>
        <w:instrText xml:space="preserve"> SEQ Figure \* ARABIC </w:instrText>
      </w:r>
      <w:r w:rsidRPr="00921A11">
        <w:rPr>
          <w:rFonts w:cs="Times New Roman"/>
          <w:b/>
          <w:szCs w:val="24"/>
        </w:rPr>
        <w:fldChar w:fldCharType="separate"/>
      </w:r>
      <w:r w:rsidRPr="00921A11">
        <w:rPr>
          <w:rFonts w:cs="Times New Roman"/>
          <w:b/>
          <w:noProof/>
          <w:szCs w:val="24"/>
        </w:rPr>
        <w:t>5</w:t>
      </w:r>
      <w:r w:rsidRPr="00921A11">
        <w:rPr>
          <w:rFonts w:cs="Times New Roman"/>
          <w:b/>
          <w:szCs w:val="24"/>
        </w:rPr>
        <w:fldChar w:fldCharType="end"/>
      </w:r>
      <w:r w:rsidRPr="00921A11">
        <w:rPr>
          <w:rFonts w:cs="Times New Roman"/>
          <w:b/>
          <w:szCs w:val="24"/>
        </w:rPr>
        <w:t>.</w:t>
      </w:r>
      <w:r w:rsidRPr="00921A11">
        <w:rPr>
          <w:rFonts w:cs="Times New Roman"/>
          <w:szCs w:val="24"/>
        </w:rPr>
        <w:t xml:space="preserve"> </w:t>
      </w:r>
      <w:r w:rsidRPr="00921A11">
        <w:rPr>
          <w:rFonts w:cs="Times New Roman"/>
          <w:b/>
          <w:bCs/>
        </w:rPr>
        <w:t xml:space="preserve">Distribution of protein-related response variables, namely protein content measured through the BCA assay and individual protein abundances measured through TMT-label assisted LC-MS/MS. </w:t>
      </w:r>
      <w:r w:rsidRPr="00921A11">
        <w:rPr>
          <w:rFonts w:cs="Times New Roman"/>
          <w:b/>
          <w:bCs/>
          <w:iCs/>
        </w:rPr>
        <w:t xml:space="preserve">Related to Figure 3; Figure 4; </w:t>
      </w:r>
      <w:r w:rsidR="00EE40CF" w:rsidRPr="0001436A">
        <w:rPr>
          <w:rFonts w:cs="Times New Roman"/>
          <w:b/>
          <w:szCs w:val="24"/>
        </w:rPr>
        <w:t xml:space="preserve">Supplementary </w:t>
      </w:r>
      <w:r w:rsidR="00EE40CF">
        <w:rPr>
          <w:rFonts w:cs="Times New Roman"/>
          <w:b/>
          <w:bCs/>
          <w:iCs/>
        </w:rPr>
        <w:t xml:space="preserve">Table </w:t>
      </w:r>
      <w:r w:rsidRPr="00921A11">
        <w:rPr>
          <w:rFonts w:cs="Times New Roman"/>
          <w:b/>
          <w:bCs/>
          <w:iCs/>
        </w:rPr>
        <w:t xml:space="preserve">3; </w:t>
      </w:r>
      <w:r w:rsidR="00EE40CF" w:rsidRPr="0001436A">
        <w:rPr>
          <w:rFonts w:cs="Times New Roman"/>
          <w:b/>
          <w:szCs w:val="24"/>
        </w:rPr>
        <w:t xml:space="preserve">Supplementary </w:t>
      </w:r>
      <w:r w:rsidR="00EE40CF">
        <w:rPr>
          <w:rFonts w:cs="Times New Roman"/>
          <w:b/>
          <w:bCs/>
          <w:iCs/>
        </w:rPr>
        <w:t xml:space="preserve">Table </w:t>
      </w:r>
      <w:r w:rsidRPr="00921A11">
        <w:rPr>
          <w:rFonts w:cs="Times New Roman"/>
          <w:b/>
          <w:bCs/>
          <w:iCs/>
        </w:rPr>
        <w:t>4.</w:t>
      </w:r>
      <w:r w:rsidRPr="00921A11">
        <w:rPr>
          <w:rFonts w:cs="Times New Roman"/>
          <w:bCs/>
          <w:iCs/>
        </w:rPr>
        <w:t xml:space="preserve"> </w:t>
      </w:r>
      <w:r w:rsidRPr="00921A11">
        <w:rPr>
          <w:rFonts w:cs="Times New Roman"/>
          <w:bCs/>
        </w:rPr>
        <w:t xml:space="preserve">The distribution of responses </w:t>
      </w:r>
      <w:proofErr w:type="gramStart"/>
      <w:r w:rsidRPr="00921A11">
        <w:rPr>
          <w:rFonts w:cs="Times New Roman"/>
          <w:bCs/>
        </w:rPr>
        <w:t>has been plotted</w:t>
      </w:r>
      <w:proofErr w:type="gramEnd"/>
      <w:r w:rsidRPr="00921A11">
        <w:rPr>
          <w:rFonts w:cs="Times New Roman"/>
          <w:bCs/>
        </w:rPr>
        <w:t xml:space="preserve"> along with exemplary distributions by calculating kurtosis and square of skewness, with functions from the R-GitHub repository RandodiStats (</w:t>
      </w:r>
      <w:hyperlink r:id="rId13">
        <w:r w:rsidRPr="00921A11">
          <w:rPr>
            <w:rStyle w:val="Hyperlink"/>
            <w:rFonts w:eastAsia="Calibri" w:cs="Times New Roman"/>
          </w:rPr>
          <w:t>https://github.com/MSeidelFed/RandodiStats</w:t>
        </w:r>
      </w:hyperlink>
      <w:r w:rsidRPr="00921A11">
        <w:rPr>
          <w:rFonts w:cs="Times New Roman"/>
          <w:bCs/>
        </w:rPr>
        <w:t xml:space="preserve">). Two root zones were measured separately, namely root tips and the upper </w:t>
      </w:r>
      <w:r w:rsidRPr="00921A11">
        <w:rPr>
          <w:rFonts w:eastAsia="Calibri" w:cs="Times New Roman"/>
        </w:rPr>
        <w:t>tip-adjacent</w:t>
      </w:r>
      <w:r w:rsidRPr="00921A11">
        <w:rPr>
          <w:rFonts w:cs="Times New Roman"/>
          <w:bCs/>
        </w:rPr>
        <w:t xml:space="preserve"> zone (</w:t>
      </w:r>
      <w:r w:rsidRPr="00921A11">
        <w:rPr>
          <w:rFonts w:cs="Times New Roman"/>
          <w:b/>
          <w:bCs/>
        </w:rPr>
        <w:t>Figure 3</w:t>
      </w:r>
      <w:r w:rsidRPr="00921A11">
        <w:rPr>
          <w:rFonts w:cs="Times New Roman"/>
          <w:bCs/>
        </w:rPr>
        <w:t xml:space="preserve"> &amp; </w:t>
      </w:r>
      <w:r w:rsidRPr="00921A11">
        <w:rPr>
          <w:rFonts w:cs="Times New Roman"/>
          <w:b/>
          <w:bCs/>
        </w:rPr>
        <w:t>Table S3</w:t>
      </w:r>
      <w:r w:rsidRPr="00921A11">
        <w:rPr>
          <w:rFonts w:cs="Times New Roman"/>
          <w:bCs/>
        </w:rPr>
        <w:t>). Note that both zones separately are near normally distributed. Whereas if we analyze both sets as one variable, the response features a gamma distribution. The green smear represents the distribution shapes of 2484 proteins (</w:t>
      </w:r>
      <w:r w:rsidRPr="00921A11">
        <w:rPr>
          <w:rFonts w:cs="Times New Roman"/>
          <w:b/>
          <w:bCs/>
        </w:rPr>
        <w:t>Figure 4</w:t>
      </w:r>
      <w:r w:rsidRPr="00921A11">
        <w:rPr>
          <w:rFonts w:cs="Times New Roman"/>
          <w:bCs/>
        </w:rPr>
        <w:t xml:space="preserve"> &amp; </w:t>
      </w:r>
      <w:r w:rsidRPr="00921A11">
        <w:rPr>
          <w:rFonts w:cs="Times New Roman"/>
          <w:b/>
          <w:bCs/>
        </w:rPr>
        <w:t>Table S4</w:t>
      </w:r>
      <w:r w:rsidRPr="00921A11">
        <w:rPr>
          <w:rFonts w:cs="Times New Roman"/>
          <w:bCs/>
        </w:rPr>
        <w:t>) slightly faded to enable visualization of other distributions. Note that many proteins follow a normal or near-normal distribution and as these get away from normality, the shape approximates a gamma distribution.</w:t>
      </w:r>
    </w:p>
    <w:p w14:paraId="006A54BA" w14:textId="1748ACCA" w:rsidR="00170C52" w:rsidRDefault="00170C52" w:rsidP="00921A11">
      <w:pPr>
        <w:jc w:val="both"/>
        <w:rPr>
          <w:rFonts w:cs="Times New Roman"/>
          <w:bCs/>
        </w:rPr>
      </w:pPr>
    </w:p>
    <w:p w14:paraId="5A1978D4" w14:textId="6093256D" w:rsidR="00170C52" w:rsidRDefault="00170C52" w:rsidP="00921A11">
      <w:pPr>
        <w:jc w:val="both"/>
        <w:rPr>
          <w:rFonts w:cs="Times New Roman"/>
          <w:bCs/>
        </w:rPr>
      </w:pPr>
    </w:p>
    <w:p w14:paraId="080FBEB6" w14:textId="7AE9B217" w:rsidR="00170C52" w:rsidRDefault="00170C52" w:rsidP="00921A11">
      <w:pPr>
        <w:jc w:val="both"/>
        <w:rPr>
          <w:rFonts w:cs="Times New Roman"/>
          <w:bCs/>
        </w:rPr>
      </w:pPr>
    </w:p>
    <w:p w14:paraId="7262101E" w14:textId="0A882880" w:rsidR="00170C52" w:rsidRDefault="00170C52" w:rsidP="00921A11">
      <w:pPr>
        <w:jc w:val="both"/>
        <w:rPr>
          <w:rFonts w:cs="Times New Roman"/>
          <w:bCs/>
        </w:rPr>
      </w:pPr>
    </w:p>
    <w:p w14:paraId="24867AD6" w14:textId="1ED7D933" w:rsidR="00170C52" w:rsidRDefault="00170C52" w:rsidP="00921A11">
      <w:pPr>
        <w:jc w:val="both"/>
        <w:rPr>
          <w:rFonts w:cs="Times New Roman"/>
          <w:bCs/>
        </w:rPr>
      </w:pPr>
    </w:p>
    <w:p w14:paraId="59B4492D" w14:textId="77777777" w:rsidR="00170C52" w:rsidRDefault="00170C52" w:rsidP="00921A11">
      <w:pPr>
        <w:jc w:val="both"/>
        <w:rPr>
          <w:bCs/>
        </w:rPr>
      </w:pPr>
    </w:p>
    <w:p w14:paraId="45EE9DD4" w14:textId="3BAA6E43" w:rsidR="00C26B7A" w:rsidRDefault="00C26B7A" w:rsidP="00E41AE9">
      <w:pPr>
        <w:pStyle w:val="Heading1"/>
      </w:pPr>
      <w:r>
        <w:lastRenderedPageBreak/>
        <w:t>Su</w:t>
      </w:r>
      <w:r w:rsidR="00284F21">
        <w:t>pplementary Table</w:t>
      </w:r>
      <w:r w:rsidR="00921A11">
        <w:t>s</w:t>
      </w:r>
    </w:p>
    <w:p w14:paraId="4B44E54A" w14:textId="4C34450F" w:rsidR="00C26B7A" w:rsidRPr="00C26B7A" w:rsidRDefault="00C26B7A" w:rsidP="00C26B7A">
      <w:r>
        <w:t>The tables have been deposited in separate .xlsx files due to their size, the legends and supplementary references are deposited in this document. The legends are also embedded in the .xlsx files.</w:t>
      </w:r>
    </w:p>
    <w:p w14:paraId="360983D1" w14:textId="77777777" w:rsidR="00C26B7A" w:rsidRPr="009834B9" w:rsidRDefault="00C26B7A" w:rsidP="00C26B7A">
      <w:pPr>
        <w:jc w:val="both"/>
        <w:rPr>
          <w:rFonts w:cs="Times New Roman"/>
        </w:rPr>
      </w:pPr>
      <w:r>
        <w:rPr>
          <w:rFonts w:cs="Times New Roman"/>
          <w:b/>
          <w:bCs/>
        </w:rPr>
        <w:t>Supplementary Table 1</w:t>
      </w:r>
      <w:r w:rsidRPr="009834B9">
        <w:rPr>
          <w:rFonts w:cs="Times New Roman"/>
          <w:b/>
          <w:bCs/>
        </w:rPr>
        <w:t xml:space="preserve">. </w:t>
      </w:r>
      <w:r w:rsidRPr="009834B9">
        <w:rPr>
          <w:rFonts w:cs="Times New Roman"/>
          <w:b/>
        </w:rPr>
        <w:t xml:space="preserve">Master file containing all proteogenomics and proteomics </w:t>
      </w:r>
      <w:r w:rsidRPr="009834B9">
        <w:rPr>
          <w:rFonts w:cs="Times New Roman"/>
          <w:b/>
          <w:i/>
          <w:iCs/>
        </w:rPr>
        <w:t>Hordeum vulgare</w:t>
      </w:r>
      <w:r w:rsidRPr="009834B9">
        <w:rPr>
          <w:rFonts w:cs="Times New Roman"/>
          <w:b/>
        </w:rPr>
        <w:t xml:space="preserve"> resources used during data analyses</w:t>
      </w:r>
      <w:r w:rsidRPr="009834B9">
        <w:rPr>
          <w:rFonts w:cs="Times New Roman"/>
        </w:rPr>
        <w:t xml:space="preserve">. </w:t>
      </w:r>
      <w:r w:rsidRPr="009834B9">
        <w:rPr>
          <w:rFonts w:cs="Times New Roman"/>
          <w:b/>
          <w:bCs/>
          <w:iCs/>
        </w:rPr>
        <w:t xml:space="preserve">Related to </w:t>
      </w:r>
      <w:r>
        <w:rPr>
          <w:rFonts w:cs="Times New Roman"/>
          <w:b/>
          <w:bCs/>
          <w:iCs/>
        </w:rPr>
        <w:t>Supplementary Figure 4</w:t>
      </w:r>
      <w:r w:rsidRPr="009834B9">
        <w:rPr>
          <w:rFonts w:cs="Times New Roman"/>
          <w:b/>
          <w:bCs/>
          <w:iCs/>
        </w:rPr>
        <w:t>.</w:t>
      </w:r>
      <w:r w:rsidRPr="009834B9">
        <w:rPr>
          <w:rFonts w:cs="Times New Roman"/>
          <w:bCs/>
          <w:iCs/>
        </w:rPr>
        <w:t xml:space="preserve"> </w:t>
      </w:r>
      <w:r w:rsidRPr="009834B9">
        <w:rPr>
          <w:rFonts w:eastAsia="Calibri" w:cs="Times New Roman"/>
          <w:color w:val="333333"/>
        </w:rPr>
        <w:t xml:space="preserve">Despite barley being one of the first domesticated crops, the proteome coverage of manually curated entries in literature remains scarce as compared to other plant models. </w:t>
      </w:r>
      <w:r w:rsidRPr="009834B9">
        <w:rPr>
          <w:rFonts w:eastAsiaTheme="minorEastAsia" w:cs="Times New Roman"/>
          <w:color w:val="333333"/>
        </w:rPr>
        <w:t>The UniProt database</w:t>
      </w:r>
      <w:r w:rsidRPr="009834B9">
        <w:rPr>
          <w:rFonts w:eastAsiaTheme="minorEastAsia" w:cs="Times New Roman"/>
        </w:rPr>
        <w:t xml:space="preserve"> contains a variety of barley resources from both domesticated and wild </w:t>
      </w:r>
      <w:r w:rsidRPr="009834B9">
        <w:rPr>
          <w:rFonts w:eastAsiaTheme="minorEastAsia" w:cs="Times New Roman"/>
          <w:i/>
          <w:iCs/>
        </w:rPr>
        <w:t xml:space="preserve">Hordeum vulgare </w:t>
      </w:r>
      <w:r w:rsidRPr="009834B9">
        <w:rPr>
          <w:rFonts w:eastAsiaTheme="minorEastAsia" w:cs="Times New Roman"/>
        </w:rPr>
        <w:t>relatives. Only 0.175% of the entries correspond to Swiss-prot with varying degrees of experimental evidence supporting them (Total proteins: TrEMBL 210,767; Swiss-prot 368). We used the Swiss-prot proteins as the core of our FASTA dataset by aligning the amino acid sequences to the high-confidence annotations from the barley proteogenome (</w:t>
      </w:r>
      <w:hyperlink r:id="rId14" w:history="1">
        <w:r w:rsidRPr="009834B9">
          <w:rPr>
            <w:rStyle w:val="Hyperlink"/>
            <w:rFonts w:cs="Times New Roman"/>
          </w:rPr>
          <w:t>http://pgsb.helmholtz-muenchen.de/plant/barley/index.jsp</w:t>
        </w:r>
      </w:hyperlink>
      <w:r w:rsidRPr="009834B9">
        <w:rPr>
          <w:rFonts w:eastAsiaTheme="minorEastAsia" w:cs="Times New Roman"/>
        </w:rPr>
        <w:t xml:space="preserve">) </w:t>
      </w:r>
      <w:r w:rsidRPr="009834B9">
        <w:rPr>
          <w:rFonts w:eastAsiaTheme="minorEastAsia" w:cs="Times New Roman"/>
        </w:rPr>
        <w:fldChar w:fldCharType="begin" w:fldLock="1"/>
      </w:r>
      <w:r w:rsidRPr="009834B9">
        <w:rPr>
          <w:rFonts w:eastAsiaTheme="minorEastAsia" w:cs="Times New Roman"/>
        </w:rPr>
        <w:instrText>ADDIN CSL_CITATION {"citationItems":[{"id":"ITEM-1","itemData":{"DOI":"10.1038/nature22043","ISSN":"14764687","PMID":"28447635","abstract":"Cereal grasses of the Triticeae tribe have been the major food source in temperate regions since the dawn of agriculture. Their large genomes are characterized by a high content of repetitive elements and large pericentromeric regions that are virtually devoid of meiotic recombination. Here we present a high-quality reference genome assembly for barley (Hordeum vulgare L.). We use chromosome conformation capture mapping to derive the linear order of sequences across the pericentromeric space and to investigate the spatial organization of chromatin in the nucleus at megabase resolution. The composition of genes and repetitive elements differs between distal and proximal regions. Gene family analyses reveal lineage-specific duplications of genes involved in the transport of nutrients to developing seeds and the mobilization of carbohydrates in grains. We demonstrate the importance of the barley reference sequence for breeding by inspecting the genomic partitioning of sequence variation in modern elite germplasm, highlighting regions vulnerable to genetic erosion.","author":[{"dropping-particle":"","family":"Mascher","given":"Martin","non-dropping-particle":"","parse-names":false,"suffix":""},{"dropping-particle":"","family":"Gundlach","given":"Heidrun","non-dropping-particle":"","parse-names":false,"suffix":""},{"dropping-particle":"","family":"Himmelbach","given":"Axel","non-dropping-particle":"","parse-names":false,"suffix":""},{"dropping-particle":"","family":"Beier","given":"Sebastian","non-dropping-particle":"","parse-names":false,"suffix":""},{"dropping-particle":"","family":"Twardziok","given":"Sven O.","non-dropping-particle":"","parse-names":false,"suffix":""},{"dropping-particle":"","family":"Wicker","given":"Thomas","non-dropping-particle":"","parse-names":false,"suffix":""},{"dropping-particle":"","family":"Radchuk","given":"Volodymyr","non-dropping-particle":"","parse-names":false,"suffix":""},{"dropping-particle":"","family":"Dockter","given":"Christoph","non-dropping-particle":"","parse-names":false,"suffix":""},{"dropping-particle":"","family":"Hedley","given":"Pete E.","non-dropping-particle":"","parse-names":false,"suffix":""},{"dropping-particle":"","family":"Russell","given":"Joanne","non-dropping-particle":"","parse-names":false,"suffix":""},{"dropping-particle":"","family":"Bayer","given":"Micha","non-dropping-particle":"","parse-names":false,"suffix":""},{"dropping-particle":"","family":"Ramsay","given":"Luke","non-dropping-particle":"","parse-names":false,"suffix":""},{"dropping-particle":"","family":"Liu","given":"Hui","non-dropping-particle":"","parse-names":false,"suffix":""},{"dropping-particle":"","family":"Haberer","given":"Georg","non-dropping-particle":"","parse-names":false,"suffix":""},{"dropping-particle":"","family":"Zhang","given":"Xiao Qi","non-dropping-particle":"","parse-names":false,"suffix":""},{"dropping-particle":"","family":"Zhang","given":"Qisen","non-dropping-particle":"","parse-names":false,"suffix":""},{"dropping-particle":"","family":"Barrero","given":"Roberto A.","non-dropping-particle":"","parse-names":false,"suffix":""},{"dropping-particle":"","family":"Li","given":"Lin","non-dropping-particle":"","parse-names":false,"suffix":""},{"dropping-particle":"","family":"Taudien","given":"Stefan","non-dropping-particle":"","parse-names":false,"suffix":""},{"dropping-particle":"","family":"Groth","given":"Marco","non-dropping-particle":"","parse-names":false,"suffix":""},{"dropping-particle":"","family":"Felder","given":"Marius","non-dropping-particle":"","parse-names":false,"suffix":""},{"dropping-particle":"","family":"Hastie","given":"Alex","non-dropping-particle":"","parse-names":false,"suffix":""},{"dropping-particle":"","family":"Šimková","given":"Hana","non-dropping-particle":"","parse-names":false,"suffix":""},{"dropping-particle":"","family":"Stanková","given":"Helena","non-dropping-particle":"","parse-names":false,"suffix":""},{"dropping-particle":"","family":"Vrána","given":"Jan","non-dropping-particle":"","parse-names":false,"suffix":""},{"dropping-particle":"","family":"Chan","given":"Saki","non-dropping-particle":"","parse-names":false,"suffix":""},{"dropping-particle":"","family":"Munõz-Amatriaín","given":"Mariá","non-dropping-particle":"","parse-names":false,"suffix":""},{"dropping-particle":"","family":"Ounit","given":"Rachid","non-dropping-particle":"","parse-names":false,"suffix":""},{"dropping-particle":"","family":"Wanamaker","given":"Steve","non-dropping-particle":"","parse-names":false,"suffix":""},{"dropping-particle":"","family":"Bolser","given":"Daniel","non-dropping-particle":"","parse-names":false,"suffix":""},{"dropping-particle":"","family":"Colmsee","given":"Christian","non-dropping-particle":"","parse-names":false,"suffix":""},{"dropping-particle":"","family":"Schmutzer","given":"Thomas","non-dropping-particle":"","parse-names":false,"suffix":""},{"dropping-particle":"","family":"Aliyeva-Schnorr","given":"Lala","non-dropping-particle":"","parse-names":false,"suffix":""},{"dropping-particle":"","family":"Grasso","given":"Stefano","non-dropping-particle":"","parse-names":false,"suffix":""},{"dropping-particle":"","family":"Tanskanen","given":"Jaakko","non-dropping-particle":"","parse-names":false,"suffix":""},{"dropping-particle":"","family":"Chailyan","given":"Anna","non-dropping-particle":"","parse-names":false,"suffix":""},{"dropping-particle":"","family":"Sampath","given":"Dharanya","non-dropping-particle":"","parse-names":false,"suffix":""},{"dropping-particle":"","family":"Heavens","given":"Darren","non-dropping-particle":"","parse-names":false,"suffix":""},{"dropping-particle":"","family":"Clissold","given":"Leah","non-dropping-particle":"","parse-names":false,"suffix":""},{"dropping-particle":"","family":"Cao","given":"Sujie","non-dropping-particle":"","parse-names":false,"suffix":""},{"dropping-particle":"","family":"Chapman","given":"Brett","non-dropping-particle":"","parse-names":false,"suffix":""},{"dropping-particle":"","family":"Dai","given":"Fei","non-dropping-particle":"","parse-names":false,"suffix":""},{"dropping-particle":"","family":"Han","given":"Yong","non-dropping-particle":"","parse-names":false,"suffix":""},{"dropping-particle":"","family":"Li","given":"Hua","non-dropping-particle":"","parse-names":false,"suffix":""},{"dropping-particle":"","family":"Li","given":"Xuan","non-dropping-particle":"","parse-names":false,"suffix":""},{"dropping-particle":"","family":"Lin","given":"Chongyun","non-dropping-particle":"","parse-names":false,"suffix":""},{"dropping-particle":"","family":"McCooke","given":"John K.","non-dropping-particle":"","parse-names":false,"suffix":""},{"dropping-particle":"","family":"Tan","given":"Cong","non-dropping-particle":"","parse-names":false,"suffix":""},{"dropping-particle":"","family":"Wang","given":"Penghao","non-dropping-particle":"","parse-names":false,"suffix":""},{"dropping-particle":"","family":"Wang","given":"Songbo","non-dropping-particle":"","parse-names":false,"suffix":""},{"dropping-particle":"","family":"Yin","given":"Shuya","non-dropping-particle":"","parse-names":false,"suffix":""},{"dropping-particle":"","family":"Zhou","given":"Gaofeng","non-dropping-particle":"","parse-names":false,"suffix":""},{"dropping-particle":"","family":"Poland","given":"Jesse A.","non-dropping-particle":"","parse-names":false,"suffix":""},{"dropping-particle":"","family":"Bellgard","given":"Matthew I.","non-dropping-particle":"","parse-names":false,"suffix":""},{"dropping-particle":"","family":"Borisjuk","given":"Ljudmilla","non-dropping-particle":"","parse-names":false,"suffix":""},{"dropping-particle":"","family":"Houben","given":"Andreas","non-dropping-particle":"","parse-names":false,"suffix":""},{"dropping-particle":"","family":"Doleael","given":"Jaroslav","non-dropping-particle":"","parse-names":false,"suffix":""},{"dropping-particle":"","family":"Ayling","given":"Sarah","non-dropping-particle":"","parse-names":false,"suffix":""},{"dropping-particle":"","family":"Lonardi","given":"Stefano","non-dropping-particle":"","parse-names":false,"suffix":""},{"dropping-particle":"","family":"Kersey","given":"Paul","non-dropping-particle":"","parse-names":false,"suffix":""},{"dropping-particle":"","family":"Langridge","given":"Peter","non-dropping-particle":"","parse-names":false,"suffix":""},{"dropping-particle":"","family":"Muehlbauer","given":"Gary J.","non-dropping-particle":"","parse-names":false,"suffix":""},{"dropping-particle":"","family":"Clark","given":"Matthew D.","non-dropping-particle":"","parse-names":false,"suffix":""},{"dropping-particle":"","family":"Caccamo","given":"Mario","non-dropping-particle":"","parse-names":false,"suffix":""},{"dropping-particle":"","family":"Schulman","given":"Alan H.","non-dropping-particle":"","parse-names":false,"suffix":""},{"dropping-particle":"","family":"Mayer","given":"Klaus F.X.","non-dropping-particle":"","parse-names":false,"suffix":""},{"dropping-particle":"","family":"Platzer","given":"Matthias","non-dropping-particle":"","parse-names":false,"suffix":""},{"dropping-particle":"","family":"Close","given":"Timothy J.","non-dropping-particle":"","parse-names":false,"suffix":""},{"dropping-particle":"","family":"Scholz","given":"Uwe","non-dropping-particle":"","parse-names":false,"suffix":""},{"dropping-particle":"","family":"Hansson","given":"Mats","non-dropping-particle":"","parse-names":false,"suffix":""},{"dropping-particle":"","family":"Zhang","given":"Guoping","non-dropping-particle":"","parse-names":false,"suffix":""},{"dropping-particle":"","family":"Braumann","given":"Ilka","non-dropping-particle":"","parse-names":false,"suffix":""},{"dropping-particle":"","family":"Spannagl","given":"Manuel","non-dropping-particle":"","parse-names":false,"suffix":""},{"dropping-particle":"","family":"Li","given":"Chengdao","non-dropping-particle":"","parse-names":false,"suffix":""},{"dropping-particle":"","family":"Waugh","given":"Robbie","non-dropping-particle":"","parse-names":false,"suffix":""},{"dropping-particle":"","family":"Stein","given":"Nils","non-dropping-particle":"","parse-names":false,"suffix":""}],"container-title":"Nature","id":"ITEM-1","issue":"7651","issued":{"date-parts":[["2017"]]},"page":"427-433","title":"A chromosome conformation capture ordered sequence of the barley genome","type":"article-journal","volume":"544"},"uris":["http://www.mendeley.com/documents/?uuid=171013a1-875e-486f-8997-923c373878b8"]}],"mendeley":{"formattedCitation":"(Mascher et al., 2017)","plainTextFormattedCitation":"(Mascher et al., 2017)","previouslyFormattedCitation":"(Mascher et al., 2017)"},"properties":{"noteIndex":0},"schema":"https://github.com/citation-style-language/schema/raw/master/csl-citation.json"}</w:instrText>
      </w:r>
      <w:r w:rsidRPr="009834B9">
        <w:rPr>
          <w:rFonts w:eastAsiaTheme="minorEastAsia" w:cs="Times New Roman"/>
        </w:rPr>
        <w:fldChar w:fldCharType="separate"/>
      </w:r>
      <w:r w:rsidRPr="009834B9">
        <w:rPr>
          <w:rFonts w:eastAsiaTheme="minorEastAsia" w:cs="Times New Roman"/>
          <w:noProof/>
        </w:rPr>
        <w:t>(Mascher et al., 2017)</w:t>
      </w:r>
      <w:r w:rsidRPr="009834B9">
        <w:rPr>
          <w:rFonts w:eastAsiaTheme="minorEastAsia" w:cs="Times New Roman"/>
        </w:rPr>
        <w:fldChar w:fldCharType="end"/>
      </w:r>
      <w:r w:rsidRPr="009834B9">
        <w:rPr>
          <w:rFonts w:eastAsiaTheme="minorEastAsia" w:cs="Times New Roman"/>
        </w:rPr>
        <w:t xml:space="preserve"> (</w:t>
      </w:r>
      <w:r w:rsidRPr="009834B9">
        <w:rPr>
          <w:rFonts w:cs="Times New Roman"/>
          <w:b/>
          <w:bCs/>
        </w:rPr>
        <w:t>Gene sequences S1A - TAB</w:t>
      </w:r>
      <w:r w:rsidRPr="009834B9">
        <w:rPr>
          <w:rFonts w:eastAsiaTheme="minorEastAsia" w:cs="Times New Roman"/>
        </w:rPr>
        <w:t xml:space="preserve">). </w:t>
      </w:r>
      <w:r w:rsidRPr="009834B9">
        <w:rPr>
          <w:rFonts w:cs="Times New Roman"/>
        </w:rPr>
        <w:t xml:space="preserve">Several UniProt entries mapped to the same entry and hence we calculated a matching score per alignment to judge how similar the sequences are </w:t>
      </w:r>
      <w:r w:rsidRPr="009834B9">
        <w:rPr>
          <w:rFonts w:cs="Times New Roman"/>
        </w:rPr>
        <w:fldChar w:fldCharType="begin" w:fldLock="1"/>
      </w:r>
      <w:r w:rsidRPr="009834B9">
        <w:rPr>
          <w:rFonts w:cs="Times New Roman"/>
        </w:rPr>
        <w:instrText>ADDIN CSL_CITATION {"citationItems":[{"id":"ITEM-1","itemData":{"DOI":"10.1017/cbo9780511790492","abstract":"The face of biology has been changed by the emergence of modem molecular genetics. Among the most exciting advances are large-scale DNA sequencing efforts such as the Human Genome Project which are producing an immense amount of data. The need to understand the data is becoming ever more pressing. Demands for sophisticated analyses of biological sequences are driving forward the newly-created and explosively expanding research area of computational molecular biology, or bioinformatics. Many of the most powerful sequence analysis methods are now based on principles of probabilistic modelling. Examples of such methods include the use of probabilistically derived score matrices to determine the significance of sequence alignments, the use of hidden Markov models as the basis for profile searches to identify distant members of sequence families, and the inference of phylogenetic trees using maximum likelihood approaches. This book provides the first unified, up-to-date, and tutorial-level overview of sequence analysis methods, with particular emphasis on probabilistic modelling. Pairwise alignment, hidden Markov models, multiple alignment, profile searches, RNA secondary structure analysis, and phylogenetic inference are treated at length. Written by an interdisciplinary team of authors, the book is accessible to molecular biologists, computer scientists and mathematicians with n o formal knowledge of each others' fields. It presents the state-of-the-art in this important, new and rapidly developing discipline.","author":[{"dropping-particle":"","family":"Durbin","given":"Richard","non-dropping-particle":"","parse-names":false,"suffix":""},{"dropping-particle":"","family":"Eddy","given":"Sean R.","non-dropping-particle":"","parse-names":false,"suffix":""},{"dropping-particle":"","family":"Krogh","given":"Anders","non-dropping-particle":"","parse-names":false,"suffix":""},{"dropping-particle":"","family":"Mitchison","given":"Graeme","non-dropping-particle":"","parse-names":false,"suffix":""}],"container-title":"Biological Sequence Analysis","id":"ITEM-1","issued":{"date-parts":[["1998"]]},"title":"Biological Sequence Analysis","type":"book"},"uris":["http://www.mendeley.com/documents/?uuid=c5e2f0b4-222b-444f-a663-2c88a8ce7a7a"]},{"id":"ITEM-2","itemData":{"DOI":"10.1093/bioinformatics/btn052","ISSN":"13674803","PMID":"18296747","abstract":"Motivation: The nucleotide sequencing process produces not only the sequence of nucleotides, but also associated quality values. Quality values provide valuable information, but are primarily used only for trimming sequences and generally ignored in subsequent analyses. Results: This article describes how the scoring schemes of standard alignment algorithms can be modified to take into account quality values to produce improved alignments and statistically more accurate scores. A prototype implementation is also provided, and used to post-process a set of BLAST results. Quality-adjusted alignment is a natural extension of standard alignment methods, and can be implemented with only a small constant factor performance penalty. The method can also be applied to related methods including heuristic search algorithms like BLAST and FASTA. © 2008 The Author(s).","author":[{"dropping-particle":"","family":"Malde","given":"Ketil","non-dropping-particle":"","parse-names":false,"suffix":""}],"container-title":"Bioinformatics","id":"ITEM-2","issue":"7","issued":{"date-parts":[["2008"]]},"page":"897-900","title":"The effect of sequence quality on sequence alignment","type":"article-journal","volume":"24"},"uris":["http://www.mendeley.com/documents/?uuid=903972d3-480c-47cd-b996-1e76449f669b"]}],"mendeley":{"formattedCitation":"(Durbin et al., 1998; Malde, 2008)","plainTextFormattedCitation":"(Durbin et al., 1998; Malde, 2008)","previouslyFormattedCitation":"(Durbin et al., 1998; Malde, 2008)"},"properties":{"noteIndex":0},"schema":"https://github.com/citation-style-language/schema/raw/master/csl-citation.json"}</w:instrText>
      </w:r>
      <w:r w:rsidRPr="009834B9">
        <w:rPr>
          <w:rFonts w:cs="Times New Roman"/>
        </w:rPr>
        <w:fldChar w:fldCharType="separate"/>
      </w:r>
      <w:r w:rsidRPr="009834B9">
        <w:rPr>
          <w:rFonts w:cs="Times New Roman"/>
          <w:noProof/>
        </w:rPr>
        <w:t>(Durbin et al., 1998; Malde, 2008)</w:t>
      </w:r>
      <w:r w:rsidRPr="009834B9">
        <w:rPr>
          <w:rFonts w:cs="Times New Roman"/>
        </w:rPr>
        <w:fldChar w:fldCharType="end"/>
      </w:r>
      <w:r w:rsidRPr="009834B9">
        <w:rPr>
          <w:rFonts w:cs="Times New Roman"/>
        </w:rPr>
        <w:t>.</w:t>
      </w:r>
      <w:r w:rsidRPr="009834B9">
        <w:rPr>
          <w:rFonts w:eastAsiaTheme="minorEastAsia" w:cs="Times New Roman"/>
        </w:rPr>
        <w:t xml:space="preserve"> The published data contains 39734 proteins and 1700 gene ontology (GO) terms with their specific definitions. GO terms were obtained by intersecting GOexpress </w:t>
      </w:r>
      <w:r w:rsidRPr="009834B9">
        <w:rPr>
          <w:rFonts w:eastAsiaTheme="minorEastAsia" w:cs="Times New Roman"/>
        </w:rPr>
        <w:fldChar w:fldCharType="begin" w:fldLock="1"/>
      </w:r>
      <w:r w:rsidRPr="009834B9">
        <w:rPr>
          <w:rFonts w:eastAsiaTheme="minorEastAsia" w:cs="Times New Roman"/>
        </w:rPr>
        <w:instrText>ADDIN CSL_CITATION {"citationItems":[{"id":"ITEM-1","itemData":{"DOI":"10.1186/s12859-016-0971-3","ISSN":"14712105","PMID":"26968614","abstract":"Background: Identification of gene expression profiles that differentiate experimental groups is critical for discovery and analysis of key molecular pathways and also for selection of robust diagnostic or prognostic biomarkers. While integration of differential expression statistics has been used to refine gene set enrichment analyses, such approaches are typically limited to single gene lists resulting from simple two-group comparisons or time-series analyses. In contrast, functional class scoring and machine learning approaches provide powerful alternative methods to leverage molecular measurements for pathway analyses, and to compare continuous and multi-level categorical factors. Results: We introduce GOexpress, a software package for scoring and summarising the capacity of gene ontology features to simultaneously classify samples from multiple experimental groups. GOexpress integrates normalised gene expression data (e.g., from microarray and RNA-seq experiments) and phenotypic information of individual samples with gene ontology annotations to derive a ranking of genes and gene ontology terms using a supervised learning approach. The default random forest algorithm allows interactions between all experimental factors, and competitive scoring of expressed genes to evaluate their relative importance in classifying predefined groups of samples. Conclusions: GOexpress enables rapid identification and visualisation of ontology-related gene panels that robustly classify groups of samples and supports both categorical (e.g., infection status, treatment) and continuous (e.g., time-series, drug concentrations) experimental factors. The use of standard Bioconductor extension packages and publicly available gene ontology annotations facilitates straightforward integration of GOexpress within existing computational biology pipelines.","author":[{"dropping-particle":"","family":"Rue-Albrecht","given":"Kévin","non-dropping-particle":"","parse-names":false,"suffix":""},{"dropping-particle":"","family":"McGettigan","given":"Paul A.","non-dropping-particle":"","parse-names":false,"suffix":""},{"dropping-particle":"","family":"Hernández","given":"Belinda","non-dropping-particle":"","parse-names":false,"suffix":""},{"dropping-particle":"","family":"Nalpas","given":"Nicolas C.","non-dropping-particle":"","parse-names":false,"suffix":""},{"dropping-particle":"","family":"Magee","given":"David A.","non-dropping-particle":"","parse-names":false,"suffix":""},{"dropping-particle":"","family":"Parnell","given":"Andrew C.","non-dropping-particle":"","parse-names":false,"suffix":""},{"dropping-particle":"V.","family":"Gordon","given":"Stephen","non-dropping-particle":"","parse-names":false,"suffix":""},{"dropping-particle":"","family":"MacHugh","given":"David E.","non-dropping-particle":"","parse-names":false,"suffix":""}],"container-title":"BMC Bioinformatics","id":"ITEM-1","issue":"1","issued":{"date-parts":[["2016"]]},"page":"126","title":"GOexpress: An R/Bioconductor package for the identification and visualisation of robust gene ontology signatures through supervised learning of gene expression data","type":"article-journal","volume":"17"},"uris":["http://www.mendeley.com/documents/?uuid=a345c09a-3ff3-4d92-9e55-1882410d9904"]}],"mendeley":{"formattedCitation":"(Rue-Albrecht et al., 2016)","plainTextFormattedCitation":"(Rue-Albrecht et al., 2016)","previouslyFormattedCitation":"(Rue-Albrecht et al., 2016)"},"properties":{"noteIndex":0},"schema":"https://github.com/citation-style-language/schema/raw/master/csl-citation.json"}</w:instrText>
      </w:r>
      <w:r w:rsidRPr="009834B9">
        <w:rPr>
          <w:rFonts w:eastAsiaTheme="minorEastAsia" w:cs="Times New Roman"/>
        </w:rPr>
        <w:fldChar w:fldCharType="separate"/>
      </w:r>
      <w:r w:rsidRPr="009834B9">
        <w:rPr>
          <w:rFonts w:eastAsiaTheme="minorEastAsia" w:cs="Times New Roman"/>
          <w:noProof/>
        </w:rPr>
        <w:t>(Rue-Albrecht et al., 2016)</w:t>
      </w:r>
      <w:r w:rsidRPr="009834B9">
        <w:rPr>
          <w:rFonts w:eastAsiaTheme="minorEastAsia" w:cs="Times New Roman"/>
        </w:rPr>
        <w:fldChar w:fldCharType="end"/>
      </w:r>
      <w:r w:rsidRPr="009834B9">
        <w:rPr>
          <w:rFonts w:eastAsiaTheme="minorEastAsia" w:cs="Times New Roman"/>
        </w:rPr>
        <w:t xml:space="preserve"> and AmiGO ontologies </w:t>
      </w:r>
      <w:r w:rsidRPr="009834B9">
        <w:rPr>
          <w:rFonts w:eastAsiaTheme="minorEastAsia" w:cs="Times New Roman"/>
        </w:rPr>
        <w:fldChar w:fldCharType="begin" w:fldLock="1"/>
      </w:r>
      <w:r w:rsidRPr="009834B9">
        <w:rPr>
          <w:rFonts w:eastAsiaTheme="minorEastAsia" w:cs="Times New Roman"/>
        </w:rPr>
        <w:instrText>ADDIN CSL_CITATION {"citationItems":[{"id":"ITEM-1","itemData":{"DOI":"10.1093/bioinformatics/btn615","ISSN":"13674803","PMID":"19033274","abstract":"AmiGO is a web application that allows users to query, browse and visualize ontologies and related gene product annotation (association) data. AmiGO can be used online at the Gene Ontology (GO) website to access the data provided by the GO Consortium; it can also be downloaded and installed to browse local ontologies and annotations. AmiGO is free open source software developed and maintained by the GO Consortium. © 2008 The Author(s).","author":[{"dropping-particle":"","family":"Carbon","given":"Seth","non-dropping-particle":"","parse-names":false,"suffix":""},{"dropping-particle":"","family":"Ireland","given":"Amelia","non-dropping-particle":"","parse-names":false,"suffix":""},{"dropping-particle":"","family":"Mungall","given":"Christopher J.","non-dropping-particle":"","parse-names":false,"suffix":""},{"dropping-particle":"","family":"Shu","given":"Shengqiang","non-dropping-particle":"","parse-names":false,"suffix":""},{"dropping-particle":"","family":"Marshall","given":"Brad","non-dropping-particle":"","parse-names":false,"suffix":""},{"dropping-particle":"","family":"Lewis","given":"Suzanna","non-dropping-particle":"","parse-names":false,"suffix":""},{"dropping-particle":"","family":"Lomax","given":"Jane","non-dropping-particle":"","parse-names":false,"suffix":""},{"dropping-particle":"","family":"Mungall","given":"Chris","non-dropping-particle":"","parse-names":false,"suffix":""},{"dropping-particle":"","family":"Hitz","given":"Benjamin","non-dropping-particle":"","parse-names":false,"suffix":""},{"dropping-particle":"","family":"Balakrishnan","given":"Rama","non-dropping-particle":"","parse-names":false,"suffix":""},{"dropping-particle":"","family":"Dolan","given":"Mary","non-dropping-particle":"","parse-names":false,"suffix":""},{"dropping-particle":"","family":"Wood","given":"Valerie","non-dropping-particle":"","parse-names":false,"suffix":""},{"dropping-particle":"","family":"Hong","given":"Eurie","non-dropping-particle":"","parse-names":false,"suffix":""},{"dropping-particle":"","family":"Gaudet","given":"Pascale","non-dropping-particle":"","parse-names":false,"suffix":""}],"container-title":"Bioinformatics","id":"ITEM-1","issue":"2","issued":{"date-parts":[["2009"]]},"page":"288-289","title":"AmiGO: Online access to ontology and annotation data","type":"article-journal","volume":"25"},"uris":["http://www.mendeley.com/documents/?uuid=b5f31f66-f64c-4a96-9962-1346b7d05811"]}],"mendeley":{"formattedCitation":"(Carbon et al., 2009)","plainTextFormattedCitation":"(Carbon et al., 2009)","previouslyFormattedCitation":"(Carbon et al., 2009)"},"properties":{"noteIndex":0},"schema":"https://github.com/citation-style-language/schema/raw/master/csl-citation.json"}</w:instrText>
      </w:r>
      <w:r w:rsidRPr="009834B9">
        <w:rPr>
          <w:rFonts w:eastAsiaTheme="minorEastAsia" w:cs="Times New Roman"/>
        </w:rPr>
        <w:fldChar w:fldCharType="separate"/>
      </w:r>
      <w:r w:rsidRPr="009834B9">
        <w:rPr>
          <w:rFonts w:eastAsiaTheme="minorEastAsia" w:cs="Times New Roman"/>
          <w:noProof/>
        </w:rPr>
        <w:t>(Carbon et al., 2009)</w:t>
      </w:r>
      <w:r w:rsidRPr="009834B9">
        <w:rPr>
          <w:rFonts w:eastAsiaTheme="minorEastAsia" w:cs="Times New Roman"/>
        </w:rPr>
        <w:fldChar w:fldCharType="end"/>
      </w:r>
      <w:r w:rsidRPr="009834B9">
        <w:rPr>
          <w:rFonts w:eastAsiaTheme="minorEastAsia" w:cs="Times New Roman"/>
        </w:rPr>
        <w:t xml:space="preserve"> (</w:t>
      </w:r>
      <w:r w:rsidRPr="009834B9">
        <w:rPr>
          <w:rFonts w:cs="Times New Roman"/>
          <w:b/>
          <w:bCs/>
        </w:rPr>
        <w:t>GO terms S1B - TAB</w:t>
      </w:r>
      <w:r w:rsidRPr="009834B9">
        <w:rPr>
          <w:rFonts w:eastAsiaTheme="minorEastAsia" w:cs="Times New Roman"/>
        </w:rPr>
        <w:t>).</w:t>
      </w:r>
    </w:p>
    <w:p w14:paraId="2612BB80" w14:textId="77777777" w:rsidR="00C26B7A" w:rsidRPr="009834B9" w:rsidRDefault="00C26B7A" w:rsidP="00C26B7A">
      <w:pPr>
        <w:jc w:val="both"/>
        <w:rPr>
          <w:rFonts w:cs="Times New Roman"/>
          <w:b/>
          <w:bCs/>
        </w:rPr>
      </w:pPr>
      <w:r>
        <w:rPr>
          <w:rFonts w:cs="Times New Roman"/>
          <w:b/>
          <w:bCs/>
        </w:rPr>
        <w:t>Supplementary Table 2</w:t>
      </w:r>
      <w:r w:rsidRPr="009834B9">
        <w:rPr>
          <w:rFonts w:cs="Times New Roman"/>
          <w:b/>
          <w:bCs/>
        </w:rPr>
        <w:t xml:space="preserve">. </w:t>
      </w:r>
      <w:r w:rsidRPr="009834B9">
        <w:rPr>
          <w:rFonts w:cs="Times New Roman"/>
          <w:b/>
        </w:rPr>
        <w:t xml:space="preserve">Cellular component GO enrichment analysis comparing protein extraction methods in barley roots. </w:t>
      </w:r>
      <w:r w:rsidRPr="009834B9">
        <w:rPr>
          <w:rFonts w:cs="Times New Roman"/>
          <w:b/>
          <w:bCs/>
          <w:iCs/>
        </w:rPr>
        <w:t xml:space="preserve">Related to Figure 2; </w:t>
      </w:r>
      <w:r>
        <w:rPr>
          <w:rFonts w:cs="Times New Roman"/>
          <w:b/>
          <w:bCs/>
          <w:iCs/>
        </w:rPr>
        <w:t>Supplementary Figure 2</w:t>
      </w:r>
      <w:r w:rsidRPr="009834B9">
        <w:rPr>
          <w:rFonts w:cs="Times New Roman"/>
          <w:b/>
          <w:bCs/>
          <w:iCs/>
        </w:rPr>
        <w:t xml:space="preserve">. </w:t>
      </w:r>
      <w:r w:rsidRPr="009834B9">
        <w:rPr>
          <w:rFonts w:cs="Times New Roman"/>
        </w:rPr>
        <w:t xml:space="preserve">The Fisher exact test followed by the FDR correction was done using the gene ontology resource </w:t>
      </w:r>
      <w:r w:rsidRPr="009834B9">
        <w:rPr>
          <w:rFonts w:cs="Times New Roman"/>
        </w:rPr>
        <w:fldChar w:fldCharType="begin" w:fldLock="1"/>
      </w:r>
      <w:r w:rsidRPr="009834B9">
        <w:rPr>
          <w:rFonts w:cs="Times New Roman"/>
        </w:rPr>
        <w:instrText>ADDIN CSL_CITATION {"citationItems":[{"id":"ITEM-1","itemData":{"DOI":"10.1093/nar/gky1038","ISSN":"13624962","PMID":"30407594","abstract":"PANTHER (Protein Analysis Through Evolutionary Relationships, http://pantherdb.org) is a resource for the evolutionary and functional classification of genes from organisms across the tree of life. We report the improvements we have made to the resource during the past two years. For evolutionary classifications, we have added more prokaryotic and plant genomes to the phylogenetic gene trees, expanding the representation of gene evolution in these lineages. We have refined many protein family boundaries, and have aligned PANTHER with the MEROPS resource for protease and protease inhibitor families. For functional classifications, we have developed an entirely new PANTHER GO-slim, containing over four times as many Gene Ontology terms as our previous GO-slim, as well as curated associations of genes to these terms. Lastly, we have made substantial improvements to the enrichment analysis tools available on the PANTHER website: users can now analyze over 900 different genomes, using updated statistical tests with false discovery rate corrections for multiple testing. The overrepresentation test is also available as a web service, for easy addition to third-party sites.","author":[{"dropping-particle":"","family":"Mi","given":"Huaiyu","non-dropping-particle":"","parse-names":false,"suffix":""},{"dropping-particle":"","family":"Muruganujan","given":"Anushya","non-dropping-particle":"","parse-names":false,"suffix":""},{"dropping-particle":"","family":"Ebert","given":"Dustin","non-dropping-particle":"","parse-names":false,"suffix":""},{"dropping-particle":"","family":"Huang","given":"Xiaosong","non-dropping-particle":"","parse-names":false,"suffix":""},{"dropping-particle":"","family":"Thomas","given":"Paul D.","non-dropping-particle":"","parse-names":false,"suffix":""}],"container-title":"Nucleic Acids Research","id":"ITEM-1","issue":"D1","issued":{"date-parts":[["2019"]]},"page":"D419-D426","title":"PANTHER version 14: More genomes, a new PANTHER GO-slim and improvements in enrichment analysis tools","type":"article-journal","volume":"47"},"uris":["http://www.mendeley.com/documents/?uuid=c2951367-4596-4c62-b792-28ce3f0fe509"]}],"mendeley":{"formattedCitation":"(Mi et al., 2019)","plainTextFormattedCitation":"(Mi et al., 2019)","previouslyFormattedCitation":"(Mi et al., 2019)"},"properties":{"noteIndex":0},"schema":"https://github.com/citation-style-language/schema/raw/master/csl-citation.json"}</w:instrText>
      </w:r>
      <w:r w:rsidRPr="009834B9">
        <w:rPr>
          <w:rFonts w:cs="Times New Roman"/>
        </w:rPr>
        <w:fldChar w:fldCharType="separate"/>
      </w:r>
      <w:r w:rsidRPr="009834B9">
        <w:rPr>
          <w:rFonts w:cs="Times New Roman"/>
          <w:noProof/>
        </w:rPr>
        <w:t>(Mi et al., 2019)</w:t>
      </w:r>
      <w:r w:rsidRPr="009834B9">
        <w:rPr>
          <w:rFonts w:cs="Times New Roman"/>
        </w:rPr>
        <w:fldChar w:fldCharType="end"/>
      </w:r>
      <w:r w:rsidRPr="009834B9">
        <w:rPr>
          <w:rFonts w:cs="Times New Roman"/>
        </w:rPr>
        <w:t>. S2A (</w:t>
      </w:r>
      <w:r w:rsidRPr="009834B9">
        <w:rPr>
          <w:rFonts w:cs="Times New Roman"/>
          <w:b/>
          <w:bCs/>
        </w:rPr>
        <w:t>GO input TAB)</w:t>
      </w:r>
      <w:r w:rsidRPr="009834B9">
        <w:rPr>
          <w:rFonts w:cs="Times New Roman"/>
        </w:rPr>
        <w:t xml:space="preserve"> contains the </w:t>
      </w:r>
      <w:r w:rsidRPr="009834B9">
        <w:rPr>
          <w:rFonts w:cs="Times New Roman"/>
          <w:i/>
        </w:rPr>
        <w:t>Hordeum vulgare</w:t>
      </w:r>
      <w:r w:rsidRPr="009834B9">
        <w:rPr>
          <w:rFonts w:cs="Times New Roman"/>
        </w:rPr>
        <w:t xml:space="preserve"> gene IDs from proteins with sequenced peptides during LC-MS/MS of root tips, common and unique proteins identified using two extraction methods, Lysis buffer (</w:t>
      </w:r>
      <w:r w:rsidRPr="009834B9">
        <w:rPr>
          <w:rFonts w:cs="Times New Roman"/>
          <w:b/>
        </w:rPr>
        <w:t>LB</w:t>
      </w:r>
      <w:r w:rsidRPr="009834B9">
        <w:rPr>
          <w:rFonts w:cs="Times New Roman"/>
        </w:rPr>
        <w:t>) with SDS and ribosome extraction buffer (</w:t>
      </w:r>
      <w:r w:rsidRPr="009834B9">
        <w:rPr>
          <w:rFonts w:cs="Times New Roman"/>
          <w:b/>
        </w:rPr>
        <w:t>REB</w:t>
      </w:r>
      <w:r w:rsidRPr="009834B9">
        <w:rPr>
          <w:rFonts w:cs="Times New Roman"/>
        </w:rPr>
        <w:t>) with mild detergents. S2B (</w:t>
      </w:r>
      <w:r w:rsidRPr="009834B9">
        <w:rPr>
          <w:rFonts w:cs="Times New Roman"/>
          <w:b/>
          <w:bCs/>
        </w:rPr>
        <w:t>LB</w:t>
      </w:r>
      <w:r w:rsidRPr="009834B9">
        <w:rPr>
          <w:rFonts w:cs="Times New Roman"/>
          <w:bCs/>
        </w:rPr>
        <w:t>),</w:t>
      </w:r>
      <w:r w:rsidRPr="009834B9">
        <w:rPr>
          <w:rFonts w:cs="Times New Roman"/>
          <w:b/>
          <w:bCs/>
        </w:rPr>
        <w:t xml:space="preserve"> </w:t>
      </w:r>
      <w:r w:rsidRPr="009834B9">
        <w:rPr>
          <w:rFonts w:cs="Times New Roman"/>
        </w:rPr>
        <w:t>S2C (</w:t>
      </w:r>
      <w:r w:rsidRPr="009834B9">
        <w:rPr>
          <w:rFonts w:cs="Times New Roman"/>
          <w:b/>
          <w:bCs/>
        </w:rPr>
        <w:t>REB</w:t>
      </w:r>
      <w:r w:rsidRPr="009834B9">
        <w:rPr>
          <w:rFonts w:cs="Times New Roman"/>
          <w:bCs/>
        </w:rPr>
        <w:t>) and</w:t>
      </w:r>
      <w:r w:rsidRPr="009834B9">
        <w:rPr>
          <w:rFonts w:cs="Times New Roman"/>
          <w:b/>
          <w:bCs/>
        </w:rPr>
        <w:t xml:space="preserve"> </w:t>
      </w:r>
      <w:r w:rsidRPr="009834B9">
        <w:rPr>
          <w:rFonts w:cs="Times New Roman"/>
        </w:rPr>
        <w:t>S2D (</w:t>
      </w:r>
      <w:r w:rsidRPr="009834B9">
        <w:rPr>
          <w:rFonts w:cs="Times New Roman"/>
          <w:b/>
          <w:bCs/>
        </w:rPr>
        <w:t>Common</w:t>
      </w:r>
      <w:r w:rsidRPr="009834B9">
        <w:rPr>
          <w:rFonts w:cs="Times New Roman"/>
          <w:bCs/>
        </w:rPr>
        <w:t>) TABS</w:t>
      </w:r>
      <w:r w:rsidRPr="009834B9">
        <w:rPr>
          <w:rFonts w:cs="Times New Roman"/>
        </w:rPr>
        <w:t xml:space="preserve"> contain the outputs from the GO enrichment tests on the respective proteome fractions as analyzed through MaxQuant software </w:t>
      </w:r>
      <w:r w:rsidRPr="009834B9">
        <w:rPr>
          <w:rFonts w:cs="Times New Roman"/>
        </w:rPr>
        <w:fldChar w:fldCharType="begin" w:fldLock="1"/>
      </w:r>
      <w:r w:rsidRPr="009834B9">
        <w:rPr>
          <w:rFonts w:cs="Times New Roman"/>
        </w:rPr>
        <w:instrText>ADDIN CSL_CITATION {"citationItems":[{"id":"ITEM-1","itemData":{"DOI":"10.1038/nbt.1511","ISSN":"10870156","PMID":"19029910","abstract":"Efficient analysis of very large amounts of raw data for peptide identification and protein quantification is a principal challenge in mass spectrometry (MS)-based proteomics. Here we describe MaxQuant, an integrated suite of algorithms specifically developed for high-resolution, quantitative MS data. Using correlation analysis and graph theory, MaxQuant detects peaks, isotope clusters and stable amino acid isotope-labeled (SILAC) peptide pairs as three-dimensional objects in m/z, elution time and signal intensity space. By integrating multiple mass measurements and correcting for linear and nonlinear mass offsets, we achieve mass accuracy in the p.p.b. range, a sixfold increase over standard techniques. We increase the proportion of identified fragmentation spectra to 73% for SILAC peptide pairs via unambiguous assignment of isotope and missed-cleavage state and individual mass precision. MaxQuant automatically quantifies several hundred thousand peptides per SILAC-proteome experiment and allows statistically robust identification and quantification of &gt;4,000 proteins in mammalian cell lysates. © 2008 Nature Publishing Group.","author":[{"dropping-particle":"","family":"Cox","given":"Jürgen","non-dropping-particle":"","parse-names":false,"suffix":""},{"dropping-particle":"","family":"Mann","given":"Matthias","non-dropping-particle":"","parse-names":false,"suffix":""}],"container-title":"Nature Biotechnology","id":"ITEM-1","issue":"12","issued":{"date-parts":[["2008"]]},"page":"1367-1372","title":"MaxQuant enables high peptide identification rates, individualized p.p.b.-range mass accuracies and proteome-wide protein quantification","type":"article-journal","volume":"26"},"uris":["http://www.mendeley.com/documents/?uuid=843e84fc-e4e8-4e82-89f0-dca15483b1a8"]}],"mendeley":{"formattedCitation":"(Cox and Mann, 2008)","plainTextFormattedCitation":"(Cox and Mann, 2008)","previouslyFormattedCitation":"(Cox and Mann, 2008)"},"properties":{"noteIndex":0},"schema":"https://github.com/citation-style-language/schema/raw/master/csl-citation.json"}</w:instrText>
      </w:r>
      <w:r w:rsidRPr="009834B9">
        <w:rPr>
          <w:rFonts w:cs="Times New Roman"/>
        </w:rPr>
        <w:fldChar w:fldCharType="separate"/>
      </w:r>
      <w:r w:rsidRPr="009834B9">
        <w:rPr>
          <w:rFonts w:cs="Times New Roman"/>
          <w:noProof/>
        </w:rPr>
        <w:t>(Cox and Mann, 2008)</w:t>
      </w:r>
      <w:r w:rsidRPr="009834B9">
        <w:rPr>
          <w:rFonts w:cs="Times New Roman"/>
        </w:rPr>
        <w:fldChar w:fldCharType="end"/>
      </w:r>
      <w:r w:rsidRPr="009834B9">
        <w:rPr>
          <w:rFonts w:cs="Times New Roman"/>
        </w:rPr>
        <w:t xml:space="preserve">. The GO terms are hierarchically sorted and can be interpreted as groups where the main category has been outlined in bold. The significant GO terms were then inputted into REVIGO </w:t>
      </w:r>
      <w:r w:rsidRPr="009834B9">
        <w:rPr>
          <w:rFonts w:cs="Times New Roman"/>
        </w:rPr>
        <w:fldChar w:fldCharType="begin" w:fldLock="1"/>
      </w:r>
      <w:r w:rsidRPr="009834B9">
        <w:rPr>
          <w:rFonts w:cs="Times New Roman"/>
        </w:rPr>
        <w:instrText>ADDIN CSL_CITATION {"citationItems":[{"id":"ITEM-1","itemData":{"DOI":"10.1371/journal.pone.0021800","ISSN":"19326203","PMID":"21789182","abstract":"Outcomes of high-throughput biological experiments are typically interpreted by statistical testing for enriched gene functional categories defined by the Gene Ontology (GO). The resulting lists of GO terms may be large and highly redundant, and thus difficult to interpret. REVIGO is a Web server that summarizes long, unintelligible lists of GO terms by finding a representative subset of the terms using a simple clustering algorithm that relies on semantic similarity measures. Furthermore, REVIGO visualizes this non-redundant GO term set in multiple ways to assist in interpretation: multidimensional scaling and graph-based visualizations accurately render the subdivisions and the semantic relationships in the data, while treemaps and tag clouds are also offered as alternative views. REVIGO is freely available at http://revigo.irb.hr/. © 2011 Supek et al.","author":[{"dropping-particle":"","family":"Supek","given":"Fran","non-dropping-particle":"","parse-names":false,"suffix":""},{"dropping-particle":"","family":"Bošnjak","given":"Matko","non-dropping-particle":"","parse-names":false,"suffix":""},{"dropping-particle":"","family":"Škunca","given":"Nives","non-dropping-particle":"","parse-names":false,"suffix":""},{"dropping-particle":"","family":"Šmuc","given":"Tomislav","non-dropping-particle":"","parse-names":false,"suffix":""}],"container-title":"PLoS ONE","id":"ITEM-1","issue":"7","issued":{"date-parts":[["2011"]]},"page":"e21800","title":"Revigo summarizes and visualizes long lists of gene ontology terms","type":"article-journal","volume":"6"},"uris":["http://www.mendeley.com/documents/?uuid=9bffba90-2b63-4df2-976d-742d583ae8e5"]}],"mendeley":{"formattedCitation":"(Supek et al., 2011)","plainTextFormattedCitation":"(Supek et al., 2011)","previouslyFormattedCitation":"(Supek et al., 2011)"},"properties":{"noteIndex":0},"schema":"https://github.com/citation-style-language/schema/raw/master/csl-citation.json"}</w:instrText>
      </w:r>
      <w:r w:rsidRPr="009834B9">
        <w:rPr>
          <w:rFonts w:cs="Times New Roman"/>
        </w:rPr>
        <w:fldChar w:fldCharType="separate"/>
      </w:r>
      <w:r w:rsidRPr="009834B9">
        <w:rPr>
          <w:rFonts w:cs="Times New Roman"/>
          <w:noProof/>
        </w:rPr>
        <w:t>(Supek et al., 2011)</w:t>
      </w:r>
      <w:r w:rsidRPr="009834B9">
        <w:rPr>
          <w:rFonts w:cs="Times New Roman"/>
        </w:rPr>
        <w:fldChar w:fldCharType="end"/>
      </w:r>
      <w:r w:rsidRPr="009834B9">
        <w:rPr>
          <w:rFonts w:cs="Times New Roman"/>
        </w:rPr>
        <w:t xml:space="preserve"> in order to remove redundant terms and visualize the results in semantic similarity-based scatterplots, which are presented in each tab.</w:t>
      </w:r>
    </w:p>
    <w:p w14:paraId="37AFD76C" w14:textId="77777777" w:rsidR="00C26B7A" w:rsidRPr="009834B9" w:rsidRDefault="00C26B7A" w:rsidP="00C26B7A">
      <w:pPr>
        <w:jc w:val="both"/>
        <w:rPr>
          <w:rFonts w:cs="Times New Roman"/>
        </w:rPr>
      </w:pPr>
      <w:r>
        <w:rPr>
          <w:rFonts w:cs="Times New Roman"/>
          <w:b/>
        </w:rPr>
        <w:t>Supplementary Table 3</w:t>
      </w:r>
      <w:r w:rsidRPr="009834B9">
        <w:rPr>
          <w:rFonts w:cs="Times New Roman"/>
          <w:b/>
        </w:rPr>
        <w:t xml:space="preserve">. Bicinchoninic acid (BCA) assay results of tests conducted on the purified Hordeum vulgare root proteome. Related to Figure 3; Figure 4; </w:t>
      </w:r>
      <w:r>
        <w:rPr>
          <w:rFonts w:cs="Times New Roman"/>
          <w:b/>
        </w:rPr>
        <w:t>Supplementary Figure 5</w:t>
      </w:r>
      <w:r w:rsidRPr="009834B9">
        <w:rPr>
          <w:rFonts w:cs="Times New Roman"/>
        </w:rPr>
        <w:t>.  BCA was done right after protein precipitation, cleaning and resuspension (</w:t>
      </w:r>
      <w:r w:rsidRPr="009834B9">
        <w:rPr>
          <w:rFonts w:cs="Times New Roman"/>
          <w:b/>
        </w:rPr>
        <w:t xml:space="preserve">S3A </w:t>
      </w:r>
      <w:r w:rsidRPr="009834B9">
        <w:rPr>
          <w:rFonts w:cs="Times New Roman"/>
        </w:rPr>
        <w:t>&amp;</w:t>
      </w:r>
      <w:r w:rsidRPr="009834B9">
        <w:rPr>
          <w:rFonts w:cs="Times New Roman"/>
          <w:b/>
        </w:rPr>
        <w:t xml:space="preserve"> B</w:t>
      </w:r>
      <w:r w:rsidRPr="009834B9">
        <w:rPr>
          <w:rFonts w:cs="Times New Roman"/>
        </w:rPr>
        <w:t>) and of tryptic peptides after reduction, alkylation and trypsin digestion (</w:t>
      </w:r>
      <w:r w:rsidRPr="009834B9">
        <w:rPr>
          <w:rFonts w:cs="Times New Roman"/>
          <w:b/>
        </w:rPr>
        <w:t>S3C</w:t>
      </w:r>
      <w:r w:rsidRPr="009834B9">
        <w:rPr>
          <w:rFonts w:cs="Times New Roman"/>
        </w:rPr>
        <w:t>). Ribosomal protein content was measured after ribosome enrichment and protein-rRNA dissociation using a chaotropic agent (</w:t>
      </w:r>
      <w:r w:rsidRPr="009834B9">
        <w:rPr>
          <w:rFonts w:cs="Times New Roman"/>
          <w:b/>
        </w:rPr>
        <w:t>S3D</w:t>
      </w:r>
      <w:r w:rsidRPr="009834B9">
        <w:rPr>
          <w:rFonts w:cs="Times New Roman"/>
        </w:rPr>
        <w:t>). Absorbance was measured in a plate reader at 562nm wavelength. The protein abundances were derived from blank corrected, dilution corrected, linear regression fitted values. The linear regression was performed using bovine serum albumin (BSA) as standard. Finally, the protein abundances were transformed into µg/mg fresh weight after dividing the values by their initial weight (W</w:t>
      </w:r>
      <w:r w:rsidRPr="009834B9">
        <w:rPr>
          <w:rFonts w:cs="Times New Roman"/>
          <w:vertAlign w:val="subscript"/>
        </w:rPr>
        <w:t>0</w:t>
      </w:r>
      <w:r w:rsidRPr="009834B9">
        <w:rPr>
          <w:rFonts w:cs="Times New Roman"/>
        </w:rPr>
        <w:t>) (</w:t>
      </w:r>
      <w:r w:rsidRPr="009834B9">
        <w:rPr>
          <w:rFonts w:cs="Times New Roman"/>
          <w:b/>
        </w:rPr>
        <w:t>S3E</w:t>
      </w:r>
      <w:r w:rsidRPr="009834B9">
        <w:rPr>
          <w:rFonts w:cs="Times New Roman"/>
        </w:rPr>
        <w:t>).</w:t>
      </w:r>
    </w:p>
    <w:p w14:paraId="6FE80D5E" w14:textId="77777777" w:rsidR="00C26B7A" w:rsidRPr="009834B9" w:rsidRDefault="00C26B7A" w:rsidP="00C26B7A">
      <w:pPr>
        <w:jc w:val="both"/>
        <w:rPr>
          <w:rFonts w:cs="Times New Roman"/>
        </w:rPr>
      </w:pPr>
      <w:r>
        <w:rPr>
          <w:rFonts w:cs="Times New Roman"/>
          <w:b/>
          <w:bCs/>
        </w:rPr>
        <w:t>Supplementary Table 4</w:t>
      </w:r>
      <w:r w:rsidRPr="009834B9">
        <w:rPr>
          <w:rFonts w:cs="Times New Roman"/>
          <w:b/>
          <w:bCs/>
        </w:rPr>
        <w:t xml:space="preserve">. </w:t>
      </w:r>
      <w:r w:rsidRPr="009834B9">
        <w:rPr>
          <w:rFonts w:cs="Times New Roman"/>
          <w:b/>
        </w:rPr>
        <w:t xml:space="preserve">Normalized protein intensities and statistics. </w:t>
      </w:r>
      <w:r w:rsidRPr="009834B9">
        <w:rPr>
          <w:rFonts w:cs="Times New Roman"/>
          <w:b/>
          <w:bCs/>
          <w:iCs/>
        </w:rPr>
        <w:t xml:space="preserve">Related to Figure 4; </w:t>
      </w:r>
      <w:r>
        <w:rPr>
          <w:rFonts w:cs="Times New Roman"/>
          <w:b/>
          <w:bCs/>
          <w:iCs/>
        </w:rPr>
        <w:t>Supplementary Figure 3</w:t>
      </w:r>
      <w:r w:rsidRPr="009834B9">
        <w:rPr>
          <w:rFonts w:cs="Times New Roman"/>
          <w:bCs/>
          <w:iCs/>
        </w:rPr>
        <w:t xml:space="preserve">. </w:t>
      </w:r>
      <w:r w:rsidRPr="009834B9">
        <w:rPr>
          <w:rFonts w:cs="Times New Roman"/>
        </w:rPr>
        <w:t>The normalized Log</w:t>
      </w:r>
      <w:r w:rsidRPr="009834B9">
        <w:rPr>
          <w:rFonts w:cs="Times New Roman"/>
          <w:vertAlign w:val="subscript"/>
        </w:rPr>
        <w:t>2</w:t>
      </w:r>
      <w:r w:rsidRPr="009834B9">
        <w:rPr>
          <w:rFonts w:cs="Times New Roman"/>
        </w:rPr>
        <w:t xml:space="preserve"> intensities are sorted according to a bootstrapped HCA (n = 10,000). Clusters of samples that are highly supported by the data (</w:t>
      </w:r>
      <w:r w:rsidRPr="009834B9">
        <w:rPr>
          <w:rFonts w:cs="Times New Roman"/>
          <w:i/>
        </w:rPr>
        <w:t>AU - P</w:t>
      </w:r>
      <w:r w:rsidRPr="009834B9">
        <w:rPr>
          <w:rFonts w:cs="Times New Roman"/>
        </w:rPr>
        <w:t xml:space="preserve"> values &gt; 95%) have been designated by red and black transitions of font colors (4 clusters, columns </w:t>
      </w:r>
      <w:r w:rsidRPr="009834B9">
        <w:rPr>
          <w:rFonts w:cs="Times New Roman"/>
          <w:color w:val="FF0000"/>
        </w:rPr>
        <w:t>B-P</w:t>
      </w:r>
      <w:r w:rsidRPr="009834B9">
        <w:rPr>
          <w:rFonts w:cs="Times New Roman"/>
        </w:rPr>
        <w:t xml:space="preserve">; Q-AE; </w:t>
      </w:r>
      <w:r w:rsidRPr="009834B9">
        <w:rPr>
          <w:rFonts w:cs="Times New Roman"/>
          <w:color w:val="FF0000"/>
        </w:rPr>
        <w:t>AF-AJ</w:t>
      </w:r>
      <w:r w:rsidRPr="009834B9">
        <w:rPr>
          <w:rFonts w:cs="Times New Roman"/>
        </w:rPr>
        <w:t xml:space="preserve">; AK-AN). Subsequently the same clustering method was used to find supported clusters of proteins, column AP contains feature IDs, which equal the edge number at each branch partition, of the mapped </w:t>
      </w:r>
      <w:r w:rsidRPr="009834B9">
        <w:rPr>
          <w:rFonts w:cs="Times New Roman"/>
        </w:rPr>
        <w:lastRenderedPageBreak/>
        <w:t xml:space="preserve">clusters above an </w:t>
      </w:r>
      <w:r w:rsidRPr="009834B9">
        <w:rPr>
          <w:rFonts w:cs="Times New Roman"/>
          <w:i/>
        </w:rPr>
        <w:t>AU - P</w:t>
      </w:r>
      <w:r w:rsidRPr="009834B9">
        <w:rPr>
          <w:rFonts w:cs="Times New Roman"/>
        </w:rPr>
        <w:t xml:space="preserve"> value of 99%, the adjacent column has a compiled K-means clustering partition using five centers as an interpretation aid for the highly supported clusters. For class comparison a GLM was fitted taking each protein as a response variable and evaluating the necessary assumptions (column BG) of homoscedasticity and normality. Subsequently the appropriate test was applied, </w:t>
      </w:r>
      <w:r w:rsidRPr="009834B9">
        <w:rPr>
          <w:rFonts w:cs="Times New Roman"/>
          <w:i/>
        </w:rPr>
        <w:t>P</w:t>
      </w:r>
      <w:r w:rsidRPr="009834B9">
        <w:rPr>
          <w:rFonts w:cs="Times New Roman"/>
        </w:rPr>
        <w:t xml:space="preserve"> values obtained (columns AQ-AX) and corrected with the FDR - BH 95´ (columns AY-BF).</w:t>
      </w:r>
    </w:p>
    <w:p w14:paraId="3455C5C3" w14:textId="52D179E6" w:rsidR="00C26B7A" w:rsidRDefault="00C26B7A" w:rsidP="00C26B7A">
      <w:pPr>
        <w:jc w:val="both"/>
        <w:rPr>
          <w:rFonts w:cs="Times New Roman"/>
        </w:rPr>
      </w:pPr>
      <w:r>
        <w:rPr>
          <w:rFonts w:cs="Times New Roman"/>
          <w:b/>
          <w:bCs/>
        </w:rPr>
        <w:t>Supplementary Table 5</w:t>
      </w:r>
      <w:r w:rsidRPr="009834B9">
        <w:rPr>
          <w:rFonts w:cs="Times New Roman"/>
          <w:b/>
          <w:bCs/>
        </w:rPr>
        <w:t xml:space="preserve">. </w:t>
      </w:r>
      <w:r w:rsidRPr="009834B9">
        <w:rPr>
          <w:rFonts w:cs="Times New Roman"/>
          <w:b/>
        </w:rPr>
        <w:t xml:space="preserve">GO terms associated with statistically generated clusters. </w:t>
      </w:r>
      <w:r w:rsidRPr="009834B9">
        <w:rPr>
          <w:rFonts w:cs="Times New Roman"/>
          <w:b/>
          <w:bCs/>
          <w:iCs/>
        </w:rPr>
        <w:t>Related to Figure 5.</w:t>
      </w:r>
      <w:r w:rsidRPr="009834B9">
        <w:rPr>
          <w:rFonts w:cs="Times New Roman"/>
          <w:bCs/>
          <w:iCs/>
        </w:rPr>
        <w:t xml:space="preserve"> </w:t>
      </w:r>
      <w:r w:rsidR="00A26FAF">
        <w:rPr>
          <w:rFonts w:cs="Times New Roman"/>
        </w:rPr>
        <w:t>Clusters were produced by K-</w:t>
      </w:r>
      <w:r w:rsidRPr="009834B9">
        <w:rPr>
          <w:rFonts w:cs="Times New Roman"/>
        </w:rPr>
        <w:t xml:space="preserve">means (X1, X2, X3) or by bootstrapping a hierarchical cluster analysis and grabbing only those groups that appear more than 99% of the times (X109, X1347, X151, X1632, X614, X733, X904). Only groups of at least five proteins were inputted into a gene ontology enrichment analysis </w:t>
      </w:r>
      <w:r w:rsidRPr="009834B9">
        <w:rPr>
          <w:rFonts w:cs="Times New Roman"/>
        </w:rPr>
        <w:fldChar w:fldCharType="begin" w:fldLock="1"/>
      </w:r>
      <w:r w:rsidRPr="009834B9">
        <w:rPr>
          <w:rFonts w:cs="Times New Roman"/>
        </w:rPr>
        <w:instrText>ADDIN CSL_CITATION {"citationItems":[{"id":"ITEM-1","itemData":{"DOI":"10.1093/nar/gky1038","ISSN":"13624962","PMID":"30407594","abstract":"PANTHER (Protein Analysis Through Evolutionary Relationships, http://pantherdb.org) is a resource for the evolutionary and functional classification of genes from organisms across the tree of life. We report the improvements we have made to the resource during the past two years. For evolutionary classifications, we have added more prokaryotic and plant genomes to the phylogenetic gene trees, expanding the representation of gene evolution in these lineages. We have refined many protein family boundaries, and have aligned PANTHER with the MEROPS resource for protease and protease inhibitor families. For functional classifications, we have developed an entirely new PANTHER GO-slim, containing over four times as many Gene Ontology terms as our previous GO-slim, as well as curated associations of genes to these terms. Lastly, we have made substantial improvements to the enrichment analysis tools available on the PANTHER website: users can now analyze over 900 different genomes, using updated statistical tests with false discovery rate corrections for multiple testing. The overrepresentation test is also available as a web service, for easy addition to third-party sites.","author":[{"dropping-particle":"","family":"Mi","given":"Huaiyu","non-dropping-particle":"","parse-names":false,"suffix":""},{"dropping-particle":"","family":"Muruganujan","given":"Anushya","non-dropping-particle":"","parse-names":false,"suffix":""},{"dropping-particle":"","family":"Ebert","given":"Dustin","non-dropping-particle":"","parse-names":false,"suffix":""},{"dropping-particle":"","family":"Huang","given":"Xiaosong","non-dropping-particle":"","parse-names":false,"suffix":""},{"dropping-particle":"","family":"Thomas","given":"Paul D.","non-dropping-particle":"","parse-names":false,"suffix":""}],"container-title":"Nucleic Acids Research","id":"ITEM-1","issue":"D1","issued":{"date-parts":[["2019"]]},"page":"D419-D426","title":"PANTHER version 14: More genomes, a new PANTHER GO-slim and improvements in enrichment analysis tools","type":"article-journal","volume":"47"},"uris":["http://www.mendeley.com/documents/?uuid=c2951367-4596-4c62-b792-28ce3f0fe509"]}],"mendeley":{"formattedCitation":"(Mi et al., 2019)","plainTextFormattedCitation":"(Mi et al., 2019)","previouslyFormattedCitation":"(Mi et al., 2019)"},"properties":{"noteIndex":0},"schema":"https://github.com/citation-style-language/schema/raw/master/csl-citation.json"}</w:instrText>
      </w:r>
      <w:r w:rsidRPr="009834B9">
        <w:rPr>
          <w:rFonts w:cs="Times New Roman"/>
        </w:rPr>
        <w:fldChar w:fldCharType="separate"/>
      </w:r>
      <w:r w:rsidRPr="009834B9">
        <w:rPr>
          <w:rFonts w:cs="Times New Roman"/>
          <w:noProof/>
        </w:rPr>
        <w:t>(Mi et al., 2019)</w:t>
      </w:r>
      <w:r w:rsidRPr="009834B9">
        <w:rPr>
          <w:rFonts w:cs="Times New Roman"/>
        </w:rPr>
        <w:fldChar w:fldCharType="end"/>
      </w:r>
      <w:r w:rsidRPr="009834B9">
        <w:rPr>
          <w:rFonts w:cs="Times New Roman"/>
        </w:rPr>
        <w:t xml:space="preserve"> followed by a semantic summary in REVIGO </w:t>
      </w:r>
      <w:r w:rsidRPr="009834B9">
        <w:rPr>
          <w:rFonts w:cs="Times New Roman"/>
        </w:rPr>
        <w:fldChar w:fldCharType="begin" w:fldLock="1"/>
      </w:r>
      <w:r w:rsidRPr="009834B9">
        <w:rPr>
          <w:rFonts w:cs="Times New Roman"/>
        </w:rPr>
        <w:instrText>ADDIN CSL_CITATION {"citationItems":[{"id":"ITEM-1","itemData":{"DOI":"10.1371/journal.pone.0021800","ISSN":"19326203","PMID":"21789182","abstract":"Outcomes of high-throughput biological experiments are typically interpreted by statistical testing for enriched gene functional categories defined by the Gene Ontology (GO). The resulting lists of GO terms may be large and highly redundant, and thus difficult to interpret. REVIGO is a Web server that summarizes long, unintelligible lists of GO terms by finding a representative subset of the terms using a simple clustering algorithm that relies on semantic similarity measures. Furthermore, REVIGO visualizes this non-redundant GO term set in multiple ways to assist in interpretation: multidimensional scaling and graph-based visualizations accurately render the subdivisions and the semantic relationships in the data, while treemaps and tag clouds are also offered as alternative views. REVIGO is freely available at http://revigo.irb.hr/. © 2011 Supek et al.","author":[{"dropping-particle":"","family":"Supek","given":"Fran","non-dropping-particle":"","parse-names":false,"suffix":""},{"dropping-particle":"","family":"Bošnjak","given":"Matko","non-dropping-particle":"","parse-names":false,"suffix":""},{"dropping-particle":"","family":"Škunca","given":"Nives","non-dropping-particle":"","parse-names":false,"suffix":""},{"dropping-particle":"","family":"Šmuc","given":"Tomislav","non-dropping-particle":"","parse-names":false,"suffix":""}],"container-title":"PLoS ONE","id":"ITEM-1","issue":"7","issued":{"date-parts":[["2011"]]},"page":"e21800","title":"Revigo summarizes and visualizes long lists of gene ontology terms","type":"article-journal","volume":"6"},"uris":["http://www.mendeley.com/documents/?uuid=9bffba90-2b63-4df2-976d-742d583ae8e5"]}],"mendeley":{"formattedCitation":"(Supek et al., 2011)","plainTextFormattedCitation":"(Supek et al., 2011)","previouslyFormattedCitation":"(Supek et al., 2011)"},"properties":{"noteIndex":0},"schema":"https://github.com/citation-style-language/schema/raw/master/csl-citation.json"}</w:instrText>
      </w:r>
      <w:r w:rsidRPr="009834B9">
        <w:rPr>
          <w:rFonts w:cs="Times New Roman"/>
        </w:rPr>
        <w:fldChar w:fldCharType="separate"/>
      </w:r>
      <w:r w:rsidRPr="009834B9">
        <w:rPr>
          <w:rFonts w:cs="Times New Roman"/>
          <w:noProof/>
        </w:rPr>
        <w:t>(Supek et al., 2011)</w:t>
      </w:r>
      <w:r w:rsidRPr="009834B9">
        <w:rPr>
          <w:rFonts w:cs="Times New Roman"/>
        </w:rPr>
        <w:fldChar w:fldCharType="end"/>
      </w:r>
      <w:r w:rsidRPr="009834B9">
        <w:rPr>
          <w:rFonts w:cs="Times New Roman"/>
        </w:rPr>
        <w:t>. Cluster GOs are divided by color transitions, each color belongs to a cluster indicated in column L "Cluster ID".</w:t>
      </w:r>
    </w:p>
    <w:p w14:paraId="7282D593" w14:textId="42241F09" w:rsidR="00E44DED" w:rsidRPr="009834B9" w:rsidRDefault="00E44DED" w:rsidP="00C26B7A">
      <w:pPr>
        <w:jc w:val="both"/>
        <w:rPr>
          <w:rFonts w:cs="Times New Roman"/>
        </w:rPr>
      </w:pPr>
      <w:r w:rsidRPr="00E44DED">
        <w:rPr>
          <w:rFonts w:cs="Times New Roman"/>
          <w:b/>
        </w:rPr>
        <w:t>Supplementary Table 6. Protein inventory within statistically relevant GO functional groups. See also Figure 5 and Table 1.</w:t>
      </w:r>
      <w:r w:rsidRPr="00E44DED">
        <w:rPr>
          <w:rFonts w:cs="Times New Roman"/>
        </w:rPr>
        <w:t xml:space="preserve"> Statistical filters were implemented in a log2-transformed, pooled- and TMT-normalized matrix in order to select proteins with similar relative changes. The former procedure generated clusters of HORVU identifiers with similar responses that </w:t>
      </w:r>
      <w:proofErr w:type="gramStart"/>
      <w:r w:rsidRPr="00E44DED">
        <w:rPr>
          <w:rFonts w:cs="Times New Roman"/>
        </w:rPr>
        <w:t>were then used</w:t>
      </w:r>
      <w:proofErr w:type="gramEnd"/>
      <w:r w:rsidRPr="00E44DED">
        <w:rPr>
          <w:rFonts w:cs="Times New Roman"/>
        </w:rPr>
        <w:t xml:space="preserve"> as input for a GO enrichment test.</w:t>
      </w:r>
      <w:r w:rsidR="00464022" w:rsidRPr="00464022">
        <w:t xml:space="preserve"> </w:t>
      </w:r>
      <w:r w:rsidR="00464022" w:rsidRPr="00464022">
        <w:rPr>
          <w:rFonts w:cs="Times New Roman"/>
        </w:rPr>
        <w:t xml:space="preserve">Then functional groups </w:t>
      </w:r>
      <w:proofErr w:type="gramStart"/>
      <w:r w:rsidR="00464022" w:rsidRPr="00464022">
        <w:rPr>
          <w:rFonts w:cs="Times New Roman"/>
        </w:rPr>
        <w:t>were used</w:t>
      </w:r>
      <w:proofErr w:type="gramEnd"/>
      <w:r w:rsidR="00464022" w:rsidRPr="00464022">
        <w:rPr>
          <w:rFonts w:cs="Times New Roman"/>
        </w:rPr>
        <w:t xml:space="preserve"> to infer a group mean response and its respective quantiles here outlined as boxplots across the eight experimental conditions.</w:t>
      </w:r>
      <w:r w:rsidRPr="00E44DED">
        <w:rPr>
          <w:rFonts w:cs="Times New Roman"/>
        </w:rPr>
        <w:t xml:space="preserve"> Boxplots outline the group standard deviation across replicates, complementing the relative abundances outlined as a heatmap in Table 1.</w:t>
      </w:r>
    </w:p>
    <w:p w14:paraId="599091FF" w14:textId="101A5296" w:rsidR="00C26B7A" w:rsidRPr="009834B9" w:rsidRDefault="00E44DED" w:rsidP="00C26B7A">
      <w:pPr>
        <w:jc w:val="both"/>
        <w:rPr>
          <w:rFonts w:cs="Times New Roman"/>
          <w:bCs/>
        </w:rPr>
      </w:pPr>
      <w:r>
        <w:rPr>
          <w:rFonts w:cs="Times New Roman"/>
          <w:b/>
          <w:bCs/>
        </w:rPr>
        <w:t>Supplementary Table 7</w:t>
      </w:r>
      <w:r w:rsidR="00C26B7A">
        <w:rPr>
          <w:rFonts w:cs="Times New Roman"/>
          <w:b/>
          <w:bCs/>
        </w:rPr>
        <w:t>A</w:t>
      </w:r>
      <w:r w:rsidR="00C26B7A" w:rsidRPr="009834B9">
        <w:rPr>
          <w:rFonts w:cs="Times New Roman"/>
          <w:b/>
          <w:bCs/>
        </w:rPr>
        <w:t xml:space="preserve">. General status of translation-related proteins in barley roots during experimental treatments of sustained cold stratification / acclimation and mimic biotic stress. </w:t>
      </w:r>
      <w:r w:rsidR="00C26B7A" w:rsidRPr="009834B9">
        <w:rPr>
          <w:rFonts w:cs="Times New Roman"/>
          <w:b/>
          <w:bCs/>
          <w:iCs/>
        </w:rPr>
        <w:t xml:space="preserve">Related to Figure 6; Table </w:t>
      </w:r>
      <w:r>
        <w:rPr>
          <w:rFonts w:cs="Times New Roman"/>
          <w:b/>
          <w:bCs/>
          <w:iCs/>
        </w:rPr>
        <w:t>2</w:t>
      </w:r>
      <w:r w:rsidR="00C26B7A" w:rsidRPr="009834B9">
        <w:rPr>
          <w:rFonts w:cs="Times New Roman"/>
          <w:b/>
          <w:bCs/>
          <w:iCs/>
        </w:rPr>
        <w:t>.</w:t>
      </w:r>
      <w:r w:rsidR="00C26B7A" w:rsidRPr="009834B9">
        <w:rPr>
          <w:rFonts w:cs="Times New Roman"/>
          <w:bCs/>
          <w:iCs/>
        </w:rPr>
        <w:t xml:space="preserve"> </w:t>
      </w:r>
      <w:r w:rsidR="00C26B7A" w:rsidRPr="009834B9">
        <w:rPr>
          <w:rFonts w:cs="Times New Roman"/>
          <w:bCs/>
        </w:rPr>
        <w:t>Barley protein matches were aligned to the whole Arabidopsis reviewed proteome (SwissProt - UniProt) and the maximum match score was used as the putative identity of the protein after corroborating that the FASTA ID for both Barley and Arabidopsis matched. The alignment was done using the pairwiseAlignment function of the package Biostrings in R. A generalized function to align two FASTA files has been made available in a GitHub repository (</w:t>
      </w:r>
      <w:hyperlink r:id="rId15" w:history="1">
        <w:r w:rsidR="00C26B7A" w:rsidRPr="009834B9">
          <w:rPr>
            <w:rStyle w:val="Hyperlink"/>
            <w:rFonts w:cs="Times New Roman"/>
            <w:bCs/>
          </w:rPr>
          <w:t>https://github.com/MSeidelFed/Align2FASTAs</w:t>
        </w:r>
      </w:hyperlink>
      <w:r w:rsidR="00C26B7A" w:rsidRPr="009834B9">
        <w:rPr>
          <w:rFonts w:cs="Times New Roman"/>
          <w:bCs/>
        </w:rPr>
        <w:t xml:space="preserve">). Duplicated entries </w:t>
      </w:r>
      <w:proofErr w:type="gramStart"/>
      <w:r w:rsidR="00C26B7A" w:rsidRPr="009834B9">
        <w:rPr>
          <w:rFonts w:cs="Times New Roman"/>
          <w:bCs/>
        </w:rPr>
        <w:t>are explained</w:t>
      </w:r>
      <w:proofErr w:type="gramEnd"/>
      <w:r w:rsidR="00C26B7A" w:rsidRPr="009834B9">
        <w:rPr>
          <w:rFonts w:cs="Times New Roman"/>
          <w:bCs/>
        </w:rPr>
        <w:t xml:space="preserve"> in the </w:t>
      </w:r>
      <w:r w:rsidR="00944D9A">
        <w:rPr>
          <w:rFonts w:cs="Times New Roman"/>
          <w:b/>
          <w:bCs/>
        </w:rPr>
        <w:t>S7</w:t>
      </w:r>
      <w:r w:rsidR="00C26B7A" w:rsidRPr="009834B9">
        <w:rPr>
          <w:rFonts w:cs="Times New Roman"/>
          <w:b/>
          <w:bCs/>
        </w:rPr>
        <w:t>B TAB</w:t>
      </w:r>
      <w:r w:rsidR="00C26B7A" w:rsidRPr="009834B9">
        <w:rPr>
          <w:rFonts w:cs="Times New Roman"/>
          <w:bCs/>
        </w:rPr>
        <w:t xml:space="preserve">. </w:t>
      </w:r>
    </w:p>
    <w:p w14:paraId="1A3DBA68" w14:textId="254E1CD7" w:rsidR="00C26B7A" w:rsidRPr="009834B9" w:rsidRDefault="00E44DED" w:rsidP="00C26B7A">
      <w:pPr>
        <w:jc w:val="both"/>
        <w:rPr>
          <w:rFonts w:cs="Times New Roman"/>
          <w:bCs/>
        </w:rPr>
      </w:pPr>
      <w:r>
        <w:rPr>
          <w:rFonts w:cs="Times New Roman"/>
          <w:b/>
          <w:bCs/>
        </w:rPr>
        <w:t>Supplementary Table 7</w:t>
      </w:r>
      <w:r w:rsidR="00C26B7A">
        <w:rPr>
          <w:rFonts w:cs="Times New Roman"/>
          <w:b/>
          <w:bCs/>
        </w:rPr>
        <w:t>B</w:t>
      </w:r>
      <w:r w:rsidR="00C26B7A" w:rsidRPr="009834B9">
        <w:rPr>
          <w:rFonts w:cs="Times New Roman"/>
          <w:b/>
          <w:bCs/>
        </w:rPr>
        <w:t>.</w:t>
      </w:r>
      <w:r w:rsidR="004974CD">
        <w:rPr>
          <w:rFonts w:cs="Times New Roman"/>
          <w:bCs/>
        </w:rPr>
        <w:t xml:space="preserve"> </w:t>
      </w:r>
      <w:r w:rsidR="00C26B7A" w:rsidRPr="009834B9">
        <w:rPr>
          <w:rFonts w:cs="Times New Roman"/>
          <w:bCs/>
        </w:rPr>
        <w:t xml:space="preserve">Matches with a score below ten </w:t>
      </w:r>
      <w:proofErr w:type="gramStart"/>
      <w:r w:rsidR="00C26B7A" w:rsidRPr="009834B9">
        <w:rPr>
          <w:rFonts w:cs="Times New Roman"/>
          <w:bCs/>
        </w:rPr>
        <w:t>were discarded</w:t>
      </w:r>
      <w:proofErr w:type="gramEnd"/>
      <w:r w:rsidR="00C26B7A" w:rsidRPr="009834B9">
        <w:rPr>
          <w:rFonts w:cs="Times New Roman"/>
          <w:bCs/>
        </w:rPr>
        <w:t xml:space="preserve"> in a first filtering step. In red non-unique or unique peptides that matched to more than one or to the same protein respectively. Note that all the red highlights correspond to isoforms or paralogs within the same RP or RAP family. Green font indicates proteins that have been manually mapped based on the Arabidopsis match since these did not appear in the BG</w:t>
      </w:r>
      <w:bookmarkStart w:id="0" w:name="_GoBack"/>
      <w:bookmarkEnd w:id="0"/>
      <w:r w:rsidR="00C26B7A" w:rsidRPr="009834B9">
        <w:rPr>
          <w:rFonts w:cs="Times New Roman"/>
          <w:bCs/>
        </w:rPr>
        <w:t xml:space="preserve">2018 Master File </w:t>
      </w:r>
      <w:r w:rsidR="00C26B7A" w:rsidRPr="009834B9">
        <w:rPr>
          <w:rFonts w:cs="Times New Roman"/>
          <w:bCs/>
        </w:rPr>
        <w:fldChar w:fldCharType="begin" w:fldLock="1"/>
      </w:r>
      <w:r w:rsidR="00C26B7A" w:rsidRPr="009834B9">
        <w:rPr>
          <w:rFonts w:cs="Times New Roman"/>
          <w:bCs/>
        </w:rPr>
        <w:instrText>ADDIN CSL_CITATION {"citationItems":[{"id":"ITEM-1","itemData":{"DOI":"10.1104/pp.17.01448","ISBN":"0000000248","ISSN":"15322548","PMID":"29382692","abstract":"Arabidopsis (Arabidopsis thaliana) REI1-LIKE (REIL) proteins, REIL1 and REIL2, are homologs of a yeast ribosome biogenesis factor that participates in late cytoplasmic 60S ribosomal subunit maturation. Here, we report that the inhibited growth of the reil1-1 reil2-1 mutant at 10°C can be rescued by the expression of amino-terminal FLUORESCENT PROTEIN (FP)-REIL fusions driven by the UBIQUITIN10 promoter, allowing the analysis of REIL function in planta. Arabidopsis REIL1 appears to be functionally conserved, based on the cytosolic localization of FP-REIL1 and the interaction of native REIL1 with the 60S subunit in wild-type plants. In contrast to its yeast homologs, REIL1 also was present in translating ribosome fractions. Systems analysis revealed that wild-type Arabidopsis remodels the cytosolic translation machinery when grown at 10°C by accumulating cytosolic ribosome subunits and inducing the expression of cytosolic ribosomal RNA, ribosomal genes, ribosome biogenesis factors, and translation initiation or elongation factors. In the reil1-1 reil2-1 mutant, all processes associated with inhibited growth were delayed, although the plants maintained cellular integrity or acquired freezing tolerance. REIL proteins also were implicated in plant-specific processes: nonacclimated reil1-1 reil2-1 exhibited cold-acclimation responses, including activation of the DREB/CBF regulon. In addition, acclimated reil1-1 reil2-1 plants failed to activate FLOWERING LOCUS T expression in mature leaves. Therefore, in the wild type, REIL function may contribute to temperature perception by suppressing premature cold responses during growth at nonstressful temperatures. In conclusion, we suggest that Arabidopsis REIL proteins influence cold-induced plant ribosome remodeling and enhance the accumulation of cytosolic ribosome subunits after cold shift either by de novo synthesis or by recycling them from the translating ribosome fraction.","author":[{"dropping-particle":"","family":"Beine Golovchuk","given":"Olga","non-dropping-particle":"","parse-names":false,"suffix":""},{"dropping-particle":"","family":"Firmino","given":"Alexandre Augusto Pereira","non-dropping-particle":"","parse-names":false,"suffix":""},{"dropping-particle":"","family":"Dąbrowska","given":"Adrianna","non-dropping-particle":"","parse-names":false,"suffix":""},{"dropping-particle":"","family":"Schmidt","given":"Stefanie","non-dropping-particle":"","parse-names":false,"suffix":""},{"dropping-particle":"","family":"Erban","given":"Alexander","non-dropping-particle":"","parse-names":false,"suffix":""},{"dropping-particle":"","family":"Walther","given":"Dirk","non-dropping-particle":"","parse-names":false,"suffix":""},{"dropping-particle":"","family":"Zuther","given":"Ellen","non-dropping-particle":"","parse-names":false,"suffix":""},{"dropping-particle":"","family":"Hincha","given":"Dirk K.","non-dropping-particle":"","parse-names":false,"suffix":""},{"dropping-particle":"","family":"Kopka","given":"Joachim","non-dropping-particle":"","parse-names":false,"suffix":""}],"container-title":"Plant Physiology","id":"ITEM-1","issue":"3","issued":{"date-parts":[["2018"]]},"page":"2251-2276","title":"Plant temperature acclimation and growth rely on cytosolic ribosome biogenesis factor homologs","type":"article-journal","volume":"176"},"uris":["http://www.mendeley.com/documents/?uuid=505bd90a-2f3c-436c-bb55-4a7864824c1a"]}],"mendeley":{"formattedCitation":"(Beine Golovchuk et al., 2018)","plainTextFormattedCitation":"(Beine Golovchuk et al., 2018)","previouslyFormattedCitation":"(Beine Golovchuk et al., 2018)"},"properties":{"noteIndex":0},"schema":"https://github.com/citation-style-language/schema/raw/master/csl-citation.json"}</w:instrText>
      </w:r>
      <w:r w:rsidR="00C26B7A" w:rsidRPr="009834B9">
        <w:rPr>
          <w:rFonts w:cs="Times New Roman"/>
          <w:bCs/>
        </w:rPr>
        <w:fldChar w:fldCharType="separate"/>
      </w:r>
      <w:r w:rsidR="00C26B7A" w:rsidRPr="009834B9">
        <w:rPr>
          <w:rFonts w:cs="Times New Roman"/>
          <w:bCs/>
          <w:noProof/>
        </w:rPr>
        <w:t>(Beine Golovchuk et al., 2018)</w:t>
      </w:r>
      <w:r w:rsidR="00C26B7A" w:rsidRPr="009834B9">
        <w:rPr>
          <w:rFonts w:cs="Times New Roman"/>
          <w:bCs/>
        </w:rPr>
        <w:fldChar w:fldCharType="end"/>
      </w:r>
      <w:r w:rsidR="00C26B7A" w:rsidRPr="009834B9">
        <w:rPr>
          <w:rFonts w:cs="Times New Roman"/>
          <w:bCs/>
        </w:rPr>
        <w:t>.</w:t>
      </w:r>
    </w:p>
    <w:p w14:paraId="4D24E84B" w14:textId="02A6D99C" w:rsidR="00C26B7A" w:rsidRDefault="00E44DED" w:rsidP="00C26B7A">
      <w:pPr>
        <w:jc w:val="both"/>
        <w:rPr>
          <w:rFonts w:cs="Times New Roman"/>
          <w:bCs/>
        </w:rPr>
      </w:pPr>
      <w:r>
        <w:rPr>
          <w:rFonts w:cs="Times New Roman"/>
          <w:b/>
          <w:bCs/>
        </w:rPr>
        <w:t>Supplementary Table 7</w:t>
      </w:r>
      <w:r w:rsidR="00C26B7A">
        <w:rPr>
          <w:rFonts w:cs="Times New Roman"/>
          <w:b/>
          <w:bCs/>
        </w:rPr>
        <w:t>C</w:t>
      </w:r>
      <w:r w:rsidR="00C26B7A" w:rsidRPr="009834B9">
        <w:rPr>
          <w:rFonts w:cs="Times New Roman"/>
          <w:b/>
          <w:bCs/>
        </w:rPr>
        <w:t>.</w:t>
      </w:r>
      <w:r w:rsidR="00C26B7A" w:rsidRPr="009834B9">
        <w:rPr>
          <w:rFonts w:cs="Times New Roman"/>
          <w:bCs/>
        </w:rPr>
        <w:t xml:space="preserve"> RP families and paralogs identified in this study. Paralogs with unique peptides are separated by "and", paralogs with non-unique peptides are separated by "or".</w:t>
      </w:r>
    </w:p>
    <w:p w14:paraId="7DA20814" w14:textId="283B0A8B" w:rsidR="00170C52" w:rsidRDefault="00170C52" w:rsidP="00C26B7A">
      <w:pPr>
        <w:jc w:val="both"/>
        <w:rPr>
          <w:rFonts w:cs="Times New Roman"/>
          <w:bCs/>
        </w:rPr>
      </w:pPr>
    </w:p>
    <w:p w14:paraId="388AA6D8" w14:textId="5039DC52" w:rsidR="00170C52" w:rsidRDefault="00170C52" w:rsidP="00C26B7A">
      <w:pPr>
        <w:jc w:val="both"/>
        <w:rPr>
          <w:rFonts w:cs="Times New Roman"/>
          <w:bCs/>
        </w:rPr>
      </w:pPr>
    </w:p>
    <w:p w14:paraId="7A5C2823" w14:textId="33849E89" w:rsidR="00170C52" w:rsidRDefault="00170C52" w:rsidP="00C26B7A">
      <w:pPr>
        <w:jc w:val="both"/>
        <w:rPr>
          <w:rFonts w:cs="Times New Roman"/>
          <w:bCs/>
        </w:rPr>
      </w:pPr>
    </w:p>
    <w:p w14:paraId="01C2C3A4" w14:textId="77777777" w:rsidR="00170C52" w:rsidRDefault="00170C52" w:rsidP="00C26B7A">
      <w:pPr>
        <w:jc w:val="both"/>
        <w:rPr>
          <w:rFonts w:cs="Times New Roman"/>
          <w:bCs/>
        </w:rPr>
      </w:pPr>
    </w:p>
    <w:p w14:paraId="20BB73D1" w14:textId="1EF20676" w:rsidR="00E41AE9" w:rsidRDefault="00E41AE9" w:rsidP="00E41AE9">
      <w:pPr>
        <w:pStyle w:val="Heading1"/>
      </w:pPr>
      <w:r>
        <w:lastRenderedPageBreak/>
        <w:t>Supplementary References</w:t>
      </w:r>
    </w:p>
    <w:p w14:paraId="5DEC129E" w14:textId="7C13ED79" w:rsidR="00F91B28" w:rsidRPr="00F91B28" w:rsidRDefault="00E41AE9" w:rsidP="00F91B28">
      <w:pPr>
        <w:widowControl w:val="0"/>
        <w:autoSpaceDE w:val="0"/>
        <w:autoSpaceDN w:val="0"/>
        <w:adjustRightInd w:val="0"/>
        <w:ind w:left="480" w:hanging="480"/>
        <w:rPr>
          <w:rFonts w:cs="Times New Roman"/>
          <w:noProof/>
          <w:szCs w:val="24"/>
        </w:rPr>
      </w:pPr>
      <w:r>
        <w:fldChar w:fldCharType="begin" w:fldLock="1"/>
      </w:r>
      <w:r w:rsidRPr="00DE7B97">
        <w:rPr>
          <w:lang w:val="de-DE"/>
        </w:rPr>
        <w:instrText xml:space="preserve">ADDIN Mendeley Bibliography CSL_BIBLIOGRAPHY </w:instrText>
      </w:r>
      <w:r>
        <w:fldChar w:fldCharType="separate"/>
      </w:r>
      <w:r w:rsidR="00F91B28" w:rsidRPr="00DE7B97">
        <w:rPr>
          <w:rFonts w:cs="Times New Roman"/>
          <w:noProof/>
          <w:szCs w:val="24"/>
          <w:lang w:val="de-DE"/>
        </w:rPr>
        <w:t xml:space="preserve">Beine Golovchuk, O., Firmino, A. A. P., Dąbrowska, A., Schmidt, S., Erban, A., Walther, D., et al. </w:t>
      </w:r>
      <w:r w:rsidR="00F91B28" w:rsidRPr="00F91B28">
        <w:rPr>
          <w:rFonts w:cs="Times New Roman"/>
          <w:noProof/>
          <w:szCs w:val="24"/>
        </w:rPr>
        <w:t xml:space="preserve">(2018). Plant temperature acclimation and growth rely on cytosolic ribosome biogenesis factor homologs. </w:t>
      </w:r>
      <w:r w:rsidR="00F91B28" w:rsidRPr="00F91B28">
        <w:rPr>
          <w:rFonts w:cs="Times New Roman"/>
          <w:i/>
          <w:iCs/>
          <w:noProof/>
          <w:szCs w:val="24"/>
        </w:rPr>
        <w:t>Plant Physiol.</w:t>
      </w:r>
      <w:r w:rsidR="00F91B28" w:rsidRPr="00F91B28">
        <w:rPr>
          <w:rFonts w:cs="Times New Roman"/>
          <w:noProof/>
          <w:szCs w:val="24"/>
        </w:rPr>
        <w:t xml:space="preserve"> 176, 2251–2276. doi:10.1104/pp.17.01448.</w:t>
      </w:r>
    </w:p>
    <w:p w14:paraId="449313B6" w14:textId="77777777" w:rsidR="00F91B28" w:rsidRPr="00F91B28" w:rsidRDefault="00F91B28" w:rsidP="00F91B28">
      <w:pPr>
        <w:widowControl w:val="0"/>
        <w:autoSpaceDE w:val="0"/>
        <w:autoSpaceDN w:val="0"/>
        <w:adjustRightInd w:val="0"/>
        <w:ind w:left="480" w:hanging="480"/>
        <w:rPr>
          <w:rFonts w:cs="Times New Roman"/>
          <w:noProof/>
          <w:szCs w:val="24"/>
        </w:rPr>
      </w:pPr>
      <w:r w:rsidRPr="00F91B28">
        <w:rPr>
          <w:rFonts w:cs="Times New Roman"/>
          <w:noProof/>
          <w:szCs w:val="24"/>
        </w:rPr>
        <w:t xml:space="preserve">Carbon, S., Ireland, A., Mungall, C. J., Shu, S., Marshall, B., Lewis, S., et al. (2009). AmiGO: Online access to ontology and annotation data. </w:t>
      </w:r>
      <w:r w:rsidRPr="00F91B28">
        <w:rPr>
          <w:rFonts w:cs="Times New Roman"/>
          <w:i/>
          <w:iCs/>
          <w:noProof/>
          <w:szCs w:val="24"/>
        </w:rPr>
        <w:t>Bioinformatics</w:t>
      </w:r>
      <w:r w:rsidRPr="00F91B28">
        <w:rPr>
          <w:rFonts w:cs="Times New Roman"/>
          <w:noProof/>
          <w:szCs w:val="24"/>
        </w:rPr>
        <w:t xml:space="preserve"> 25, 288–289. doi:10.1093/bioinformatics/btn615.</w:t>
      </w:r>
    </w:p>
    <w:p w14:paraId="5967FE90" w14:textId="77777777" w:rsidR="00F91B28" w:rsidRPr="00F91B28" w:rsidRDefault="00F91B28" w:rsidP="00F91B28">
      <w:pPr>
        <w:widowControl w:val="0"/>
        <w:autoSpaceDE w:val="0"/>
        <w:autoSpaceDN w:val="0"/>
        <w:adjustRightInd w:val="0"/>
        <w:ind w:left="480" w:hanging="480"/>
        <w:rPr>
          <w:rFonts w:cs="Times New Roman"/>
          <w:noProof/>
          <w:szCs w:val="24"/>
        </w:rPr>
      </w:pPr>
      <w:r w:rsidRPr="00F91B28">
        <w:rPr>
          <w:rFonts w:cs="Times New Roman"/>
          <w:noProof/>
          <w:szCs w:val="24"/>
        </w:rPr>
        <w:t xml:space="preserve">Chen, H., and Boutros, P. C. (2011). VennDiagram: A package for the generation of highly-customizable Venn and Euler diagrams in R. </w:t>
      </w:r>
      <w:r w:rsidRPr="00F91B28">
        <w:rPr>
          <w:rFonts w:cs="Times New Roman"/>
          <w:i/>
          <w:iCs/>
          <w:noProof/>
          <w:szCs w:val="24"/>
        </w:rPr>
        <w:t>BMC Bioinformatics</w:t>
      </w:r>
      <w:r w:rsidRPr="00F91B28">
        <w:rPr>
          <w:rFonts w:cs="Times New Roman"/>
          <w:noProof/>
          <w:szCs w:val="24"/>
        </w:rPr>
        <w:t xml:space="preserve"> 12, 1–7. doi:10.1186/1471-2105-12-35.</w:t>
      </w:r>
    </w:p>
    <w:p w14:paraId="059DC52A" w14:textId="77777777" w:rsidR="00F91B28" w:rsidRPr="00F91B28" w:rsidRDefault="00F91B28" w:rsidP="00F91B28">
      <w:pPr>
        <w:widowControl w:val="0"/>
        <w:autoSpaceDE w:val="0"/>
        <w:autoSpaceDN w:val="0"/>
        <w:adjustRightInd w:val="0"/>
        <w:ind w:left="480" w:hanging="480"/>
        <w:rPr>
          <w:rFonts w:cs="Times New Roman"/>
          <w:noProof/>
          <w:szCs w:val="24"/>
        </w:rPr>
      </w:pPr>
      <w:r w:rsidRPr="00F91B28">
        <w:rPr>
          <w:rFonts w:cs="Times New Roman"/>
          <w:noProof/>
          <w:szCs w:val="24"/>
        </w:rPr>
        <w:t xml:space="preserve">Cox, J., and Mann, M. (2008). MaxQuant enables high peptide identification rates, individualized p.p.b.-range mass accuracies and proteome-wide protein quantification. </w:t>
      </w:r>
      <w:r w:rsidRPr="00F91B28">
        <w:rPr>
          <w:rFonts w:cs="Times New Roman"/>
          <w:i/>
          <w:iCs/>
          <w:noProof/>
          <w:szCs w:val="24"/>
        </w:rPr>
        <w:t>Nat. Biotechnol.</w:t>
      </w:r>
      <w:r w:rsidRPr="00F91B28">
        <w:rPr>
          <w:rFonts w:cs="Times New Roman"/>
          <w:noProof/>
          <w:szCs w:val="24"/>
        </w:rPr>
        <w:t xml:space="preserve"> 26, 1367–1372. doi:10.1038/nbt.1511.</w:t>
      </w:r>
    </w:p>
    <w:p w14:paraId="10A1907C" w14:textId="77777777" w:rsidR="00F91B28" w:rsidRPr="00F91B28" w:rsidRDefault="00F91B28" w:rsidP="00F91B28">
      <w:pPr>
        <w:widowControl w:val="0"/>
        <w:autoSpaceDE w:val="0"/>
        <w:autoSpaceDN w:val="0"/>
        <w:adjustRightInd w:val="0"/>
        <w:ind w:left="480" w:hanging="480"/>
        <w:rPr>
          <w:rFonts w:cs="Times New Roman"/>
          <w:noProof/>
          <w:szCs w:val="24"/>
        </w:rPr>
      </w:pPr>
      <w:r w:rsidRPr="00F91B28">
        <w:rPr>
          <w:rFonts w:cs="Times New Roman"/>
          <w:noProof/>
          <w:szCs w:val="24"/>
        </w:rPr>
        <w:t xml:space="preserve">Durbin, R., Eddy, S. R., Krogh, A., and Mitchison, G. (1998). </w:t>
      </w:r>
      <w:r w:rsidRPr="00F91B28">
        <w:rPr>
          <w:rFonts w:cs="Times New Roman"/>
          <w:i/>
          <w:iCs/>
          <w:noProof/>
          <w:szCs w:val="24"/>
        </w:rPr>
        <w:t>Biological Sequence Analysis</w:t>
      </w:r>
      <w:r w:rsidRPr="00F91B28">
        <w:rPr>
          <w:rFonts w:cs="Times New Roman"/>
          <w:noProof/>
          <w:szCs w:val="24"/>
        </w:rPr>
        <w:t>. doi:10.1017/cbo9780511790492.</w:t>
      </w:r>
    </w:p>
    <w:p w14:paraId="2130AFAD" w14:textId="77777777" w:rsidR="00F91B28" w:rsidRPr="00F91B28" w:rsidRDefault="00F91B28" w:rsidP="00F91B28">
      <w:pPr>
        <w:widowControl w:val="0"/>
        <w:autoSpaceDE w:val="0"/>
        <w:autoSpaceDN w:val="0"/>
        <w:adjustRightInd w:val="0"/>
        <w:ind w:left="480" w:hanging="480"/>
        <w:rPr>
          <w:rFonts w:cs="Times New Roman"/>
          <w:noProof/>
          <w:szCs w:val="24"/>
        </w:rPr>
      </w:pPr>
      <w:r w:rsidRPr="00DE7B97">
        <w:rPr>
          <w:rFonts w:cs="Times New Roman"/>
          <w:noProof/>
          <w:szCs w:val="24"/>
          <w:lang w:val="de-DE"/>
        </w:rPr>
        <w:t xml:space="preserve">Gu, Z., Eils, R., and Schlesner, M. (2016). </w:t>
      </w:r>
      <w:r w:rsidRPr="00F91B28">
        <w:rPr>
          <w:rFonts w:cs="Times New Roman"/>
          <w:noProof/>
          <w:szCs w:val="24"/>
        </w:rPr>
        <w:t xml:space="preserve">Complex heatmaps reveal patterns and correlations in multidimensional genomic data. </w:t>
      </w:r>
      <w:r w:rsidRPr="00F91B28">
        <w:rPr>
          <w:rFonts w:cs="Times New Roman"/>
          <w:i/>
          <w:iCs/>
          <w:noProof/>
          <w:szCs w:val="24"/>
        </w:rPr>
        <w:t>Bioinformatics</w:t>
      </w:r>
      <w:r w:rsidRPr="00F91B28">
        <w:rPr>
          <w:rFonts w:cs="Times New Roman"/>
          <w:noProof/>
          <w:szCs w:val="24"/>
        </w:rPr>
        <w:t xml:space="preserve"> 32, 2847–2849. doi:10.1093/bioinformatics/btw313.</w:t>
      </w:r>
    </w:p>
    <w:p w14:paraId="63D05663" w14:textId="77777777" w:rsidR="00F91B28" w:rsidRPr="00DE7B97" w:rsidRDefault="00F91B28" w:rsidP="00F91B28">
      <w:pPr>
        <w:widowControl w:val="0"/>
        <w:autoSpaceDE w:val="0"/>
        <w:autoSpaceDN w:val="0"/>
        <w:adjustRightInd w:val="0"/>
        <w:ind w:left="480" w:hanging="480"/>
        <w:rPr>
          <w:rFonts w:cs="Times New Roman"/>
          <w:noProof/>
          <w:szCs w:val="24"/>
          <w:lang w:val="de-DE"/>
        </w:rPr>
      </w:pPr>
      <w:r w:rsidRPr="00F91B28">
        <w:rPr>
          <w:rFonts w:cs="Times New Roman"/>
          <w:noProof/>
          <w:szCs w:val="24"/>
        </w:rPr>
        <w:t xml:space="preserve">Malde, K. (2008). The effect of sequence quality on sequence alignment. </w:t>
      </w:r>
      <w:r w:rsidRPr="00DE7B97">
        <w:rPr>
          <w:rFonts w:cs="Times New Roman"/>
          <w:i/>
          <w:iCs/>
          <w:noProof/>
          <w:szCs w:val="24"/>
          <w:lang w:val="de-DE"/>
        </w:rPr>
        <w:t>Bioinformatics</w:t>
      </w:r>
      <w:r w:rsidRPr="00DE7B97">
        <w:rPr>
          <w:rFonts w:cs="Times New Roman"/>
          <w:noProof/>
          <w:szCs w:val="24"/>
          <w:lang w:val="de-DE"/>
        </w:rPr>
        <w:t xml:space="preserve"> 24, 897–900. doi:10.1093/bioinformatics/btn052.</w:t>
      </w:r>
    </w:p>
    <w:p w14:paraId="4A8F0C4D" w14:textId="77777777" w:rsidR="00F91B28" w:rsidRPr="00F91B28" w:rsidRDefault="00F91B28" w:rsidP="00F91B28">
      <w:pPr>
        <w:widowControl w:val="0"/>
        <w:autoSpaceDE w:val="0"/>
        <w:autoSpaceDN w:val="0"/>
        <w:adjustRightInd w:val="0"/>
        <w:ind w:left="480" w:hanging="480"/>
        <w:rPr>
          <w:rFonts w:cs="Times New Roman"/>
          <w:noProof/>
          <w:szCs w:val="24"/>
        </w:rPr>
      </w:pPr>
      <w:r w:rsidRPr="00DE7B97">
        <w:rPr>
          <w:rFonts w:cs="Times New Roman"/>
          <w:noProof/>
          <w:szCs w:val="24"/>
          <w:lang w:val="de-DE"/>
        </w:rPr>
        <w:t xml:space="preserve">Mascher, M., Gundlach, H., Himmelbach, A., Beier, S., Twardziok, S. O., Wicker, T., et al. </w:t>
      </w:r>
      <w:r w:rsidRPr="00F91B28">
        <w:rPr>
          <w:rFonts w:cs="Times New Roman"/>
          <w:noProof/>
          <w:szCs w:val="24"/>
        </w:rPr>
        <w:t xml:space="preserve">(2017). A chromosome conformation capture ordered sequence of the barley genome. </w:t>
      </w:r>
      <w:r w:rsidRPr="00F91B28">
        <w:rPr>
          <w:rFonts w:cs="Times New Roman"/>
          <w:i/>
          <w:iCs/>
          <w:noProof/>
          <w:szCs w:val="24"/>
        </w:rPr>
        <w:t>Nature</w:t>
      </w:r>
      <w:r w:rsidRPr="00F91B28">
        <w:rPr>
          <w:rFonts w:cs="Times New Roman"/>
          <w:noProof/>
          <w:szCs w:val="24"/>
        </w:rPr>
        <w:t xml:space="preserve"> 544, 427–433. doi:10.1038/nature22043.</w:t>
      </w:r>
    </w:p>
    <w:p w14:paraId="6CD7B4DF" w14:textId="77777777" w:rsidR="00F91B28" w:rsidRPr="00F91B28" w:rsidRDefault="00F91B28" w:rsidP="00F91B28">
      <w:pPr>
        <w:widowControl w:val="0"/>
        <w:autoSpaceDE w:val="0"/>
        <w:autoSpaceDN w:val="0"/>
        <w:adjustRightInd w:val="0"/>
        <w:ind w:left="480" w:hanging="480"/>
        <w:rPr>
          <w:rFonts w:cs="Times New Roman"/>
          <w:noProof/>
          <w:szCs w:val="24"/>
        </w:rPr>
      </w:pPr>
      <w:r w:rsidRPr="00F91B28">
        <w:rPr>
          <w:rFonts w:cs="Times New Roman"/>
          <w:noProof/>
          <w:szCs w:val="24"/>
        </w:rPr>
        <w:t xml:space="preserve">Mi, H., Muruganujan, A., Ebert, D., Huang, X., and Thomas, P. D. (2019). PANTHER version 14: More genomes, a new PANTHER GO-slim and improvements in enrichment analysis tools. </w:t>
      </w:r>
      <w:r w:rsidRPr="00F91B28">
        <w:rPr>
          <w:rFonts w:cs="Times New Roman"/>
          <w:i/>
          <w:iCs/>
          <w:noProof/>
          <w:szCs w:val="24"/>
        </w:rPr>
        <w:t>Nucleic Acids Res.</w:t>
      </w:r>
      <w:r w:rsidRPr="00F91B28">
        <w:rPr>
          <w:rFonts w:cs="Times New Roman"/>
          <w:noProof/>
          <w:szCs w:val="24"/>
        </w:rPr>
        <w:t xml:space="preserve"> 47, D419–D426. doi:10.1093/nar/gky1038.</w:t>
      </w:r>
    </w:p>
    <w:p w14:paraId="2A42B31E" w14:textId="77777777" w:rsidR="00F91B28" w:rsidRPr="00F91B28" w:rsidRDefault="00F91B28" w:rsidP="00F91B28">
      <w:pPr>
        <w:widowControl w:val="0"/>
        <w:autoSpaceDE w:val="0"/>
        <w:autoSpaceDN w:val="0"/>
        <w:adjustRightInd w:val="0"/>
        <w:ind w:left="480" w:hanging="480"/>
        <w:rPr>
          <w:rFonts w:cs="Times New Roman"/>
          <w:noProof/>
          <w:szCs w:val="24"/>
        </w:rPr>
      </w:pPr>
      <w:r w:rsidRPr="00F91B28">
        <w:rPr>
          <w:rFonts w:cs="Times New Roman"/>
          <w:noProof/>
          <w:szCs w:val="24"/>
        </w:rPr>
        <w:t xml:space="preserve">Rue-Albrecht, K., McGettigan, P. A., Hernández, B., Nalpas, N. C., Magee, D. A., Parnell, A. C., et al. (2016). GOexpress: An R/Bioconductor package for the identification and visualisation of robust gene ontology signatures through supervised learning of gene expression data. </w:t>
      </w:r>
      <w:r w:rsidRPr="00F91B28">
        <w:rPr>
          <w:rFonts w:cs="Times New Roman"/>
          <w:i/>
          <w:iCs/>
          <w:noProof/>
          <w:szCs w:val="24"/>
        </w:rPr>
        <w:t>BMC Bioinformatics</w:t>
      </w:r>
      <w:r w:rsidRPr="00F91B28">
        <w:rPr>
          <w:rFonts w:cs="Times New Roman"/>
          <w:noProof/>
          <w:szCs w:val="24"/>
        </w:rPr>
        <w:t xml:space="preserve"> 17, 126. doi:10.1186/s12859-016-0971-3.</w:t>
      </w:r>
    </w:p>
    <w:p w14:paraId="5BDE5326" w14:textId="77777777" w:rsidR="00F91B28" w:rsidRPr="00F91B28" w:rsidRDefault="00F91B28" w:rsidP="00F91B28">
      <w:pPr>
        <w:widowControl w:val="0"/>
        <w:autoSpaceDE w:val="0"/>
        <w:autoSpaceDN w:val="0"/>
        <w:adjustRightInd w:val="0"/>
        <w:ind w:left="480" w:hanging="480"/>
        <w:rPr>
          <w:rFonts w:cs="Times New Roman"/>
          <w:noProof/>
        </w:rPr>
      </w:pPr>
      <w:r w:rsidRPr="00F91B28">
        <w:rPr>
          <w:rFonts w:cs="Times New Roman"/>
          <w:noProof/>
          <w:szCs w:val="24"/>
        </w:rPr>
        <w:t xml:space="preserve">Supek, F., Bošnjak, M., Škunca, N., and Šmuc, T. (2011). Revigo summarizes and visualizes long lists of gene ontology terms. </w:t>
      </w:r>
      <w:r w:rsidRPr="00F91B28">
        <w:rPr>
          <w:rFonts w:cs="Times New Roman"/>
          <w:i/>
          <w:iCs/>
          <w:noProof/>
          <w:szCs w:val="24"/>
        </w:rPr>
        <w:t>PLoS One</w:t>
      </w:r>
      <w:r w:rsidRPr="00F91B28">
        <w:rPr>
          <w:rFonts w:cs="Times New Roman"/>
          <w:noProof/>
          <w:szCs w:val="24"/>
        </w:rPr>
        <w:t xml:space="preserve"> 6, e21800. doi:10.1371/journal.pone.0021800.</w:t>
      </w:r>
    </w:p>
    <w:p w14:paraId="42407C34" w14:textId="3434D7A7" w:rsidR="00E41AE9" w:rsidRPr="00E41AE9" w:rsidRDefault="00E41AE9" w:rsidP="00E41AE9">
      <w:r>
        <w:fldChar w:fldCharType="end"/>
      </w:r>
    </w:p>
    <w:p w14:paraId="3B2403EE" w14:textId="77777777" w:rsidR="00E41AE9" w:rsidRPr="00E41AE9" w:rsidRDefault="00E41AE9" w:rsidP="00E41AE9"/>
    <w:sectPr w:rsidR="00E41AE9" w:rsidRPr="00E41AE9" w:rsidSect="0093429D">
      <w:headerReference w:type="even" r:id="rId16"/>
      <w:footerReference w:type="even" r:id="rId17"/>
      <w:footerReference w:type="default" r:id="rId18"/>
      <w:headerReference w:type="first" r:id="rId19"/>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ED18BB" w14:textId="77777777" w:rsidR="002C565F" w:rsidRDefault="002C565F" w:rsidP="00117666">
      <w:pPr>
        <w:spacing w:after="0"/>
      </w:pPr>
      <w:r>
        <w:separator/>
      </w:r>
    </w:p>
  </w:endnote>
  <w:endnote w:type="continuationSeparator" w:id="0">
    <w:p w14:paraId="1C383219" w14:textId="77777777" w:rsidR="002C565F" w:rsidRDefault="002C565F"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3025F" w14:textId="77777777" w:rsidR="00995F6A" w:rsidRPr="00577C4C" w:rsidRDefault="00C52A7B">
    <w:pPr>
      <w:rPr>
        <w:color w:val="C00000"/>
        <w:szCs w:val="24"/>
      </w:rPr>
    </w:pPr>
    <w:r>
      <w:rPr>
        <w:noProof/>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08FBAA5A"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4974CD">
                            <w:rPr>
                              <w:noProof/>
                              <w:color w:val="000000" w:themeColor="text1"/>
                              <w:szCs w:val="40"/>
                            </w:rPr>
                            <w:t>6</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08FBAA5A"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4974CD">
                      <w:rPr>
                        <w:noProof/>
                        <w:color w:val="000000" w:themeColor="text1"/>
                        <w:szCs w:val="40"/>
                      </w:rPr>
                      <w:t>6</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D6A35" w14:textId="77777777" w:rsidR="00995F6A" w:rsidRPr="00577C4C" w:rsidRDefault="00C52A7B">
    <w:pPr>
      <w:rPr>
        <w:b/>
        <w:sz w:val="20"/>
        <w:szCs w:val="24"/>
      </w:rPr>
    </w:pPr>
    <w:r>
      <w:rPr>
        <w:noProof/>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2026BADB"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4974CD">
                            <w:rPr>
                              <w:noProof/>
                              <w:color w:val="000000" w:themeColor="text1"/>
                              <w:szCs w:val="40"/>
                            </w:rPr>
                            <w:t>9</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2026BADB"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4974CD">
                      <w:rPr>
                        <w:noProof/>
                        <w:color w:val="000000" w:themeColor="text1"/>
                        <w:szCs w:val="40"/>
                      </w:rPr>
                      <w:t>9</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C26AA2" w14:textId="77777777" w:rsidR="002C565F" w:rsidRDefault="002C565F" w:rsidP="00117666">
      <w:pPr>
        <w:spacing w:after="0"/>
      </w:pPr>
      <w:r>
        <w:separator/>
      </w:r>
    </w:p>
  </w:footnote>
  <w:footnote w:type="continuationSeparator" w:id="0">
    <w:p w14:paraId="24F2417E" w14:textId="77777777" w:rsidR="002C565F" w:rsidRDefault="002C565F"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D68C6" w14:textId="77777777" w:rsidR="00995F6A" w:rsidRDefault="0093429D" w:rsidP="0093429D">
    <w:r w:rsidRPr="005A1D84">
      <w:rPr>
        <w:b/>
        <w:noProof/>
        <w:color w:val="A6A6A6" w:themeColor="background1" w:themeShade="A6"/>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attachedTemplate r:id="rId1"/>
  <w:defaultTabStop w:val="720"/>
  <w:evenAndOddHeaders/>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0B5"/>
    <w:rsid w:val="0001436A"/>
    <w:rsid w:val="00034304"/>
    <w:rsid w:val="00035434"/>
    <w:rsid w:val="00046DD5"/>
    <w:rsid w:val="00052A14"/>
    <w:rsid w:val="00077D53"/>
    <w:rsid w:val="00105FD9"/>
    <w:rsid w:val="00117666"/>
    <w:rsid w:val="001549D3"/>
    <w:rsid w:val="00160065"/>
    <w:rsid w:val="00170C52"/>
    <w:rsid w:val="00177D84"/>
    <w:rsid w:val="00235DCD"/>
    <w:rsid w:val="00267D18"/>
    <w:rsid w:val="00274347"/>
    <w:rsid w:val="00284F21"/>
    <w:rsid w:val="002868E2"/>
    <w:rsid w:val="002869C3"/>
    <w:rsid w:val="002936E4"/>
    <w:rsid w:val="002B4A57"/>
    <w:rsid w:val="002C565F"/>
    <w:rsid w:val="002C74CA"/>
    <w:rsid w:val="003123F4"/>
    <w:rsid w:val="003544FB"/>
    <w:rsid w:val="00363564"/>
    <w:rsid w:val="003D2F2D"/>
    <w:rsid w:val="00401590"/>
    <w:rsid w:val="00404E98"/>
    <w:rsid w:val="00447801"/>
    <w:rsid w:val="00452E9C"/>
    <w:rsid w:val="00464022"/>
    <w:rsid w:val="004735C8"/>
    <w:rsid w:val="004947A6"/>
    <w:rsid w:val="004961FF"/>
    <w:rsid w:val="004974CD"/>
    <w:rsid w:val="004B506A"/>
    <w:rsid w:val="00517A89"/>
    <w:rsid w:val="005250F2"/>
    <w:rsid w:val="00593EEA"/>
    <w:rsid w:val="005A5EEE"/>
    <w:rsid w:val="006375C7"/>
    <w:rsid w:val="00654E8F"/>
    <w:rsid w:val="00660D05"/>
    <w:rsid w:val="006820B1"/>
    <w:rsid w:val="006B7D14"/>
    <w:rsid w:val="00701727"/>
    <w:rsid w:val="0070566C"/>
    <w:rsid w:val="00714C50"/>
    <w:rsid w:val="00725A7D"/>
    <w:rsid w:val="007501BE"/>
    <w:rsid w:val="00790BB3"/>
    <w:rsid w:val="007B5708"/>
    <w:rsid w:val="007C206C"/>
    <w:rsid w:val="00817DD6"/>
    <w:rsid w:val="0083759F"/>
    <w:rsid w:val="00885156"/>
    <w:rsid w:val="008B5759"/>
    <w:rsid w:val="008D65BD"/>
    <w:rsid w:val="009151AA"/>
    <w:rsid w:val="00921A11"/>
    <w:rsid w:val="0093429D"/>
    <w:rsid w:val="00943573"/>
    <w:rsid w:val="00944D9A"/>
    <w:rsid w:val="00964134"/>
    <w:rsid w:val="00970F7D"/>
    <w:rsid w:val="00981A94"/>
    <w:rsid w:val="00994A3D"/>
    <w:rsid w:val="009C2B12"/>
    <w:rsid w:val="00A174D9"/>
    <w:rsid w:val="00A26FAF"/>
    <w:rsid w:val="00AA4D24"/>
    <w:rsid w:val="00AB6715"/>
    <w:rsid w:val="00B07DB7"/>
    <w:rsid w:val="00B1671E"/>
    <w:rsid w:val="00B25EB8"/>
    <w:rsid w:val="00B37F4D"/>
    <w:rsid w:val="00C26B7A"/>
    <w:rsid w:val="00C52A7B"/>
    <w:rsid w:val="00C54ACF"/>
    <w:rsid w:val="00C56BAF"/>
    <w:rsid w:val="00C679AA"/>
    <w:rsid w:val="00C75972"/>
    <w:rsid w:val="00CD066B"/>
    <w:rsid w:val="00CE4FEE"/>
    <w:rsid w:val="00D060CF"/>
    <w:rsid w:val="00DB55B1"/>
    <w:rsid w:val="00DB59C3"/>
    <w:rsid w:val="00DC259A"/>
    <w:rsid w:val="00DE23E8"/>
    <w:rsid w:val="00DE7B97"/>
    <w:rsid w:val="00E41AE9"/>
    <w:rsid w:val="00E44DED"/>
    <w:rsid w:val="00E52377"/>
    <w:rsid w:val="00E537AD"/>
    <w:rsid w:val="00E64E17"/>
    <w:rsid w:val="00E866C9"/>
    <w:rsid w:val="00EA3D3C"/>
    <w:rsid w:val="00EB4E58"/>
    <w:rsid w:val="00EC090A"/>
    <w:rsid w:val="00ED20B5"/>
    <w:rsid w:val="00EE40CF"/>
    <w:rsid w:val="00F46900"/>
    <w:rsid w:val="00F61D89"/>
    <w:rsid w:val="00F91B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github.com/MSeidelFed/RandodiStats"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github.com/MSeidelFed/Align2FASTAs" TargetMode="Externa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pgsb.helmholtz-muenchen.de/plant/barley/index.jsp"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13A5D8DE-D242-4B65-9355-D0D58A2B5B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0</TotalTime>
  <Pages>9</Pages>
  <Words>10906</Words>
  <Characters>62170</Characters>
  <Application>Microsoft Office Word</Application>
  <DocSecurity>0</DocSecurity>
  <Lines>518</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Federico Martinez Seidel</cp:lastModifiedBy>
  <cp:revision>8</cp:revision>
  <cp:lastPrinted>2013-10-03T12:51:00Z</cp:lastPrinted>
  <dcterms:created xsi:type="dcterms:W3CDTF">2021-03-03T14:02:00Z</dcterms:created>
  <dcterms:modified xsi:type="dcterms:W3CDTF">2021-03-10T09:08:00Z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vt:lpwstr>
  </property>
  <property fmtid="{D5CDD505-2E9C-101B-9397-08002B2CF9AE}" pid="4" name="Mendeley Recent Style Id 1_1">
    <vt:lpwstr>http://www.zotero.org/styles/bmc-bioinformatics</vt:lpwstr>
  </property>
  <property fmtid="{D5CDD505-2E9C-101B-9397-08002B2CF9AE}" pid="5" name="Mendeley Recent Style Name 1_1">
    <vt:lpwstr>BMC Bioinformatics</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http://www.zotero.org/styles/frontiers-in-plant-science</vt:lpwstr>
  </property>
  <property fmtid="{D5CDD505-2E9C-101B-9397-08002B2CF9AE}" pid="9" name="Mendeley Recent Style Name 3_1">
    <vt:lpwstr>Frontiers in Plant Science</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8th edition</vt:lpwstr>
  </property>
  <property fmtid="{D5CDD505-2E9C-101B-9397-08002B2CF9AE}" pid="16" name="Mendeley Recent Style Id 7_1">
    <vt:lpwstr>http://www.zotero.org/styles/molecular-plant</vt:lpwstr>
  </property>
  <property fmtid="{D5CDD505-2E9C-101B-9397-08002B2CF9AE}" pid="17" name="Mendeley Recent Style Name 7_1">
    <vt:lpwstr>Molecular Plant</vt:lpwstr>
  </property>
  <property fmtid="{D5CDD505-2E9C-101B-9397-08002B2CF9AE}" pid="18" name="Mendeley Recent Style Id 8_1">
    <vt:lpwstr>http://www.zotero.org/styles/the-plant-journal</vt:lpwstr>
  </property>
  <property fmtid="{D5CDD505-2E9C-101B-9397-08002B2CF9AE}" pid="19" name="Mendeley Recent Style Name 8_1">
    <vt:lpwstr>The Plant Journal</vt:lpwstr>
  </property>
  <property fmtid="{D5CDD505-2E9C-101B-9397-08002B2CF9AE}" pid="20" name="Mendeley Recent Style Id 9_1">
    <vt:lpwstr>http://www.zotero.org/styles/elife</vt:lpwstr>
  </property>
  <property fmtid="{D5CDD505-2E9C-101B-9397-08002B2CF9AE}" pid="21" name="Mendeley Recent Style Name 9_1">
    <vt:lpwstr>eLife</vt:lpwstr>
  </property>
  <property fmtid="{D5CDD505-2E9C-101B-9397-08002B2CF9AE}" pid="22" name="Mendeley Document_1">
    <vt:lpwstr>True</vt:lpwstr>
  </property>
  <property fmtid="{D5CDD505-2E9C-101B-9397-08002B2CF9AE}" pid="23" name="Mendeley Unique User Id_1">
    <vt:lpwstr>9fa84b15-9f05-388a-a887-a7d14c241df7</vt:lpwstr>
  </property>
  <property fmtid="{D5CDD505-2E9C-101B-9397-08002B2CF9AE}" pid="24" name="Mendeley Citation Style_1">
    <vt:lpwstr>http://www.zotero.org/styles/frontiers-in-plant-science</vt:lpwstr>
  </property>
</Properties>
</file>