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3DD4FC29" w:rsidR="00EA3D3C" w:rsidRDefault="00654E8F" w:rsidP="0001436A">
      <w:pPr>
        <w:pStyle w:val="Heading1"/>
      </w:pPr>
      <w:r w:rsidRPr="00994A3D">
        <w:t xml:space="preserve">Supplementary </w:t>
      </w:r>
      <w:r w:rsidR="006530D9">
        <w:t>Figures</w:t>
      </w:r>
    </w:p>
    <w:p w14:paraId="66F2A2E5" w14:textId="525B877D" w:rsidR="006530D9" w:rsidRPr="00C75515" w:rsidRDefault="006530D9" w:rsidP="006530D9">
      <w:pPr>
        <w:rPr>
          <w:rFonts w:cs="Times New Roman"/>
        </w:rPr>
      </w:pPr>
      <w:proofErr w:type="spellStart"/>
      <w:r w:rsidRPr="00C75515">
        <w:rPr>
          <w:rFonts w:cs="Times New Roman"/>
          <w:b/>
          <w:bCs/>
        </w:rPr>
        <w:t>SFigure</w:t>
      </w:r>
      <w:proofErr w:type="spellEnd"/>
      <w:r w:rsidRPr="00C75515">
        <w:rPr>
          <w:rFonts w:cs="Times New Roman"/>
          <w:b/>
          <w:bCs/>
        </w:rPr>
        <w:t xml:space="preserve"> 1</w:t>
      </w:r>
      <w:r w:rsidRPr="00C75515">
        <w:rPr>
          <w:rFonts w:cs="Times New Roman"/>
        </w:rPr>
        <w:t xml:space="preserve">. </w:t>
      </w:r>
      <w:r w:rsidR="00645952">
        <w:rPr>
          <w:rFonts w:cs="Times New Roman"/>
        </w:rPr>
        <w:t xml:space="preserve">CD34 cell expansion and monocytes differentiation with frozen CD34 cells. (A) </w:t>
      </w:r>
      <w:r w:rsidRPr="00C75515">
        <w:rPr>
          <w:rFonts w:cs="Times New Roman"/>
        </w:rPr>
        <w:t>CD34 expression level and percentage after a week expansion.</w:t>
      </w:r>
      <w:r w:rsidR="00645952">
        <w:rPr>
          <w:rFonts w:cs="Times New Roman"/>
        </w:rPr>
        <w:t xml:space="preserve"> (B) CD14 expression of monocytes derived from frozen CD34+ cells.</w:t>
      </w:r>
      <w:r w:rsidR="00FD4E0B">
        <w:rPr>
          <w:rFonts w:cs="Times New Roman"/>
        </w:rPr>
        <w:t xml:space="preserve"> (C) CD45, CD14, CD11b expression level from fresh </w:t>
      </w:r>
      <w:proofErr w:type="spellStart"/>
      <w:r w:rsidR="00FD4E0B">
        <w:rPr>
          <w:rFonts w:cs="Times New Roman"/>
        </w:rPr>
        <w:t>hiPSC-monos</w:t>
      </w:r>
      <w:proofErr w:type="spellEnd"/>
      <w:r w:rsidR="00FD4E0B">
        <w:rPr>
          <w:rFonts w:cs="Times New Roman"/>
        </w:rPr>
        <w:t xml:space="preserve"> and cryopreserved </w:t>
      </w:r>
      <w:proofErr w:type="spellStart"/>
      <w:r w:rsidR="00FD4E0B">
        <w:rPr>
          <w:rFonts w:cs="Times New Roman"/>
        </w:rPr>
        <w:t>hiPSC-monos</w:t>
      </w:r>
      <w:proofErr w:type="spellEnd"/>
      <w:r w:rsidR="00FD4E0B">
        <w:rPr>
          <w:rFonts w:cs="Times New Roman"/>
        </w:rPr>
        <w:t>.</w:t>
      </w:r>
    </w:p>
    <w:p w14:paraId="54FA9889" w14:textId="0EC93966" w:rsidR="006530D9" w:rsidRDefault="006530D9" w:rsidP="006530D9">
      <w:pPr>
        <w:spacing w:after="0"/>
        <w:jc w:val="both"/>
        <w:rPr>
          <w:rFonts w:eastAsia="+mn-ea" w:cs="Times New Roman"/>
          <w:color w:val="000000"/>
          <w:kern w:val="24"/>
          <w:szCs w:val="24"/>
        </w:rPr>
      </w:pPr>
      <w:proofErr w:type="spellStart"/>
      <w:r w:rsidRPr="00C75515">
        <w:rPr>
          <w:rFonts w:eastAsia="+mn-ea" w:cs="Times New Roman"/>
          <w:b/>
          <w:bCs/>
          <w:color w:val="000000"/>
          <w:kern w:val="24"/>
          <w:szCs w:val="24"/>
        </w:rPr>
        <w:t>SFigure</w:t>
      </w:r>
      <w:proofErr w:type="spellEnd"/>
      <w:r w:rsidRPr="00C75515">
        <w:rPr>
          <w:rFonts w:eastAsia="+mn-ea" w:cs="Times New Roman"/>
          <w:b/>
          <w:bCs/>
          <w:color w:val="000000"/>
          <w:kern w:val="24"/>
          <w:szCs w:val="24"/>
        </w:rPr>
        <w:t xml:space="preserve"> 2</w:t>
      </w:r>
      <w:r w:rsidRPr="00C75515">
        <w:rPr>
          <w:rFonts w:eastAsia="+mn-ea" w:cs="Times New Roman"/>
          <w:color w:val="000000"/>
          <w:kern w:val="24"/>
          <w:szCs w:val="24"/>
        </w:rPr>
        <w:t xml:space="preserve">. Principle component analysis shows a clear separation of monocytes, GM and MM macrophages in both Donor-(A) and </w:t>
      </w:r>
      <w:proofErr w:type="spellStart"/>
      <w:r w:rsidRPr="00C75515">
        <w:rPr>
          <w:rFonts w:eastAsia="+mn-ea" w:cs="Times New Roman"/>
          <w:color w:val="000000"/>
          <w:kern w:val="24"/>
          <w:szCs w:val="24"/>
        </w:rPr>
        <w:t>hiPSC</w:t>
      </w:r>
      <w:proofErr w:type="spellEnd"/>
      <w:r w:rsidRPr="00C75515">
        <w:rPr>
          <w:rFonts w:eastAsia="+mn-ea" w:cs="Times New Roman"/>
          <w:color w:val="000000"/>
          <w:kern w:val="24"/>
          <w:szCs w:val="24"/>
        </w:rPr>
        <w:t xml:space="preserve">- derived cells (B). </w:t>
      </w:r>
    </w:p>
    <w:p w14:paraId="58ABA3F8" w14:textId="7293F2CC" w:rsidR="00FD4E0B" w:rsidRPr="00D11BDD" w:rsidRDefault="00FD4E0B" w:rsidP="00FD4E0B">
      <w:pPr>
        <w:spacing w:after="0"/>
        <w:jc w:val="both"/>
        <w:rPr>
          <w:rFonts w:eastAsia="Times New Roman" w:cs="Times New Roman"/>
          <w:szCs w:val="24"/>
        </w:rPr>
      </w:pPr>
      <w:proofErr w:type="spellStart"/>
      <w:r w:rsidRPr="00F36E47">
        <w:rPr>
          <w:rFonts w:eastAsia="+mn-ea" w:cs="Times New Roman"/>
          <w:b/>
          <w:bCs/>
          <w:color w:val="000000"/>
          <w:kern w:val="24"/>
          <w:szCs w:val="24"/>
        </w:rPr>
        <w:t>SFigure</w:t>
      </w:r>
      <w:proofErr w:type="spellEnd"/>
      <w:r w:rsidRPr="00F36E47">
        <w:rPr>
          <w:rFonts w:eastAsia="+mn-ea" w:cs="Times New Roman"/>
          <w:b/>
          <w:bCs/>
          <w:color w:val="000000"/>
          <w:kern w:val="24"/>
          <w:szCs w:val="24"/>
        </w:rPr>
        <w:t xml:space="preserve"> 3</w:t>
      </w:r>
      <w:r>
        <w:rPr>
          <w:rFonts w:eastAsia="+mn-ea" w:cs="Times New Roman"/>
          <w:color w:val="000000"/>
          <w:kern w:val="24"/>
          <w:szCs w:val="24"/>
        </w:rPr>
        <w:t xml:space="preserve">. Comparison of </w:t>
      </w:r>
      <w:proofErr w:type="spellStart"/>
      <w:r>
        <w:rPr>
          <w:rFonts w:eastAsia="+mn-ea" w:cs="Times New Roman"/>
          <w:color w:val="000000"/>
          <w:kern w:val="24"/>
          <w:szCs w:val="24"/>
        </w:rPr>
        <w:t>hiPSC</w:t>
      </w:r>
      <w:proofErr w:type="spellEnd"/>
      <w:r>
        <w:rPr>
          <w:rFonts w:eastAsia="+mn-ea" w:cs="Times New Roman"/>
          <w:color w:val="000000"/>
          <w:kern w:val="24"/>
          <w:szCs w:val="24"/>
        </w:rPr>
        <w:t xml:space="preserve"> derived- and donor derived M0, M1, M2a and M2c. (A) Differentiation </w:t>
      </w:r>
      <w:r w:rsidRPr="00FD4E0B">
        <w:rPr>
          <w:rFonts w:eastAsia="+mn-ea" w:cs="Times New Roman"/>
          <w:color w:val="000000"/>
          <w:kern w:val="24"/>
          <w:szCs w:val="24"/>
        </w:rPr>
        <w:t>schematic</w:t>
      </w:r>
      <w:r>
        <w:rPr>
          <w:rFonts w:eastAsia="+mn-ea" w:cs="Times New Roman"/>
          <w:color w:val="000000"/>
          <w:kern w:val="24"/>
          <w:szCs w:val="24"/>
        </w:rPr>
        <w:t xml:space="preserve"> overview of M0, M1, M2a and M2c. FACs characterization of markers for M0, M1, M2a and M2c macrophages from </w:t>
      </w:r>
      <w:proofErr w:type="spellStart"/>
      <w:r>
        <w:rPr>
          <w:rFonts w:eastAsia="+mn-ea" w:cs="Times New Roman"/>
          <w:color w:val="000000"/>
          <w:kern w:val="24"/>
          <w:szCs w:val="24"/>
        </w:rPr>
        <w:t>hiPSC</w:t>
      </w:r>
      <w:proofErr w:type="spellEnd"/>
      <w:r>
        <w:rPr>
          <w:rFonts w:eastAsia="+mn-ea" w:cs="Times New Roman"/>
          <w:color w:val="000000"/>
          <w:kern w:val="24"/>
          <w:szCs w:val="24"/>
        </w:rPr>
        <w:t xml:space="preserve"> derived (B)  and donor derived cells (C)  .</w:t>
      </w:r>
    </w:p>
    <w:p w14:paraId="0F477477" w14:textId="6B1E9B14" w:rsidR="006530D9" w:rsidRPr="00D11BDD" w:rsidRDefault="00FD4E0B" w:rsidP="006530D9">
      <w:pPr>
        <w:spacing w:after="0"/>
        <w:jc w:val="both"/>
        <w:rPr>
          <w:rFonts w:eastAsia="Times New Roman" w:cs="Times New Roman"/>
          <w:szCs w:val="24"/>
        </w:rPr>
      </w:pPr>
      <w:proofErr w:type="spellStart"/>
      <w:r>
        <w:rPr>
          <w:rFonts w:eastAsia="+mn-ea" w:cs="Times New Roman"/>
          <w:b/>
          <w:bCs/>
          <w:color w:val="000000"/>
          <w:kern w:val="24"/>
          <w:szCs w:val="24"/>
        </w:rPr>
        <w:t>SFigure</w:t>
      </w:r>
      <w:proofErr w:type="spellEnd"/>
      <w:r>
        <w:rPr>
          <w:rFonts w:eastAsia="+mn-ea" w:cs="Times New Roman"/>
          <w:b/>
          <w:bCs/>
          <w:color w:val="000000"/>
          <w:kern w:val="24"/>
          <w:szCs w:val="24"/>
        </w:rPr>
        <w:t xml:space="preserve"> 4</w:t>
      </w:r>
      <w:r w:rsidR="006530D9" w:rsidRPr="00C75515">
        <w:rPr>
          <w:rFonts w:eastAsia="+mn-ea" w:cs="Times New Roman"/>
          <w:color w:val="000000"/>
          <w:kern w:val="24"/>
          <w:szCs w:val="24"/>
        </w:rPr>
        <w:t>. Sanger Sequencing of the eight out-of-frame Dectin-1 KO clones at the Crispr/Cas genome editing region.</w:t>
      </w:r>
    </w:p>
    <w:p w14:paraId="2EDA7CF3" w14:textId="77777777" w:rsidR="006530D9" w:rsidRPr="006530D9" w:rsidRDefault="006530D9" w:rsidP="006530D9"/>
    <w:p w14:paraId="4D059444" w14:textId="476EE27A" w:rsidR="00994A3D" w:rsidRDefault="00654E8F" w:rsidP="0001436A">
      <w:pPr>
        <w:pStyle w:val="Heading1"/>
      </w:pPr>
      <w:r w:rsidRPr="00994A3D">
        <w:t>Supplementary Tables</w:t>
      </w:r>
    </w:p>
    <w:p w14:paraId="2418B0EC" w14:textId="77777777" w:rsidR="006530D9" w:rsidRDefault="006530D9" w:rsidP="006530D9">
      <w:pPr>
        <w:jc w:val="center"/>
      </w:pPr>
      <w:r w:rsidRPr="009F217C">
        <w:rPr>
          <w:rFonts w:eastAsia="DengXian Light" w:cs="Times New Roman"/>
          <w:szCs w:val="32"/>
          <w:lang w:eastAsia="zh-CN" w:bidi="th-TH"/>
        </w:rPr>
        <w:t xml:space="preserve">Table </w:t>
      </w:r>
      <w:r>
        <w:rPr>
          <w:rFonts w:eastAsia="DengXian Light" w:cs="Times New Roman"/>
          <w:szCs w:val="32"/>
          <w:lang w:eastAsia="zh-CN" w:bidi="th-TH"/>
        </w:rPr>
        <w:t>S</w:t>
      </w:r>
      <w:r w:rsidRPr="009F217C">
        <w:rPr>
          <w:rFonts w:eastAsia="DengXian Light" w:cs="Times New Roman"/>
          <w:szCs w:val="32"/>
          <w:lang w:eastAsia="zh-CN" w:bidi="th-TH"/>
        </w:rPr>
        <w:t>1: the monocytes and macrophages all markers</w:t>
      </w:r>
      <w:r>
        <w:rPr>
          <w:rFonts w:eastAsia="DengXian Light" w:cs="Times New Roman"/>
          <w:szCs w:val="32"/>
          <w:lang w:eastAsia="zh-CN" w:bidi="th-TH"/>
        </w:rPr>
        <w:t xml:space="preserve"> for cell type analysis</w:t>
      </w:r>
    </w:p>
    <w:tbl>
      <w:tblPr>
        <w:tblStyle w:val="TableGrid"/>
        <w:tblW w:w="0" w:type="auto"/>
        <w:tblInd w:w="270" w:type="dxa"/>
        <w:tblLook w:val="04A0" w:firstRow="1" w:lastRow="0" w:firstColumn="1" w:lastColumn="0" w:noHBand="0" w:noVBand="1"/>
      </w:tblPr>
      <w:tblGrid>
        <w:gridCol w:w="1350"/>
        <w:gridCol w:w="7920"/>
      </w:tblGrid>
      <w:tr w:rsidR="006530D9" w14:paraId="48FF8936" w14:textId="77777777" w:rsidTr="002C359D">
        <w:tc>
          <w:tcPr>
            <w:tcW w:w="1350" w:type="dxa"/>
            <w:tcBorders>
              <w:left w:val="nil"/>
              <w:bottom w:val="single" w:sz="4" w:space="0" w:color="auto"/>
            </w:tcBorders>
          </w:tcPr>
          <w:p w14:paraId="62482433" w14:textId="77777777" w:rsidR="006530D9" w:rsidRPr="006E0BEB" w:rsidRDefault="006530D9" w:rsidP="002C359D">
            <w:pPr>
              <w:rPr>
                <w:sz w:val="20"/>
                <w:szCs w:val="20"/>
              </w:rPr>
            </w:pPr>
            <w:r w:rsidRPr="006E0BEB">
              <w:rPr>
                <w:sz w:val="20"/>
                <w:szCs w:val="20"/>
              </w:rPr>
              <w:t>Monocytes all markers</w:t>
            </w:r>
          </w:p>
        </w:tc>
        <w:tc>
          <w:tcPr>
            <w:tcW w:w="7920" w:type="dxa"/>
            <w:tcBorders>
              <w:bottom w:val="single" w:sz="4" w:space="0" w:color="auto"/>
              <w:right w:val="nil"/>
            </w:tcBorders>
          </w:tcPr>
          <w:p w14:paraId="04A1A9E6" w14:textId="77777777" w:rsidR="006530D9" w:rsidRPr="006E0BEB" w:rsidRDefault="006530D9" w:rsidP="002C359D">
            <w:pPr>
              <w:rPr>
                <w:sz w:val="20"/>
                <w:szCs w:val="20"/>
              </w:rPr>
            </w:pPr>
            <w:r w:rsidRPr="006E0BEB">
              <w:rPr>
                <w:sz w:val="20"/>
                <w:szCs w:val="20"/>
              </w:rPr>
              <w:t>APOBEC3A, DYSF     CMKLR1   MEFV     FCGR3B   PADI4    TNFRSF14, ADA2     MGMT     GBP1     OAS1     PLSCR1   MX1      IL1RN    IFIT1    IDO1     CXCL10  CLEC12A  IFITM3   PSAP     FCN1  RGS1   CD7    TET2   CD40   HCK    GHSR   ITGAX  SELE   TLR4   AR     CXCR4  CD86   CCR2   CD14   CD33   ITGAM  ACE    FUT4   SELL   CD163  FCGR1A, FCGR2B, ACP5   MRC1   IFIT3  S100A9, S100A8, S100A4, CLEC7A, CSF3R  MNDA   MS4A6A  CD48   PRTN3  FCGR3A  VCAN   FN1    ADGRE1 CD44   CSF1R  CX3CR1  ITGAL  PECAM1 SPN</w:t>
            </w:r>
          </w:p>
        </w:tc>
      </w:tr>
      <w:tr w:rsidR="006530D9" w14:paraId="5628C94E" w14:textId="77777777" w:rsidTr="002C359D">
        <w:tc>
          <w:tcPr>
            <w:tcW w:w="1350" w:type="dxa"/>
            <w:tcBorders>
              <w:left w:val="nil"/>
            </w:tcBorders>
          </w:tcPr>
          <w:p w14:paraId="0E3FC05A" w14:textId="77777777" w:rsidR="006530D9" w:rsidRPr="006E0BEB" w:rsidRDefault="006530D9" w:rsidP="002C359D">
            <w:pPr>
              <w:rPr>
                <w:sz w:val="20"/>
                <w:szCs w:val="20"/>
              </w:rPr>
            </w:pPr>
            <w:r w:rsidRPr="006E0BEB">
              <w:rPr>
                <w:sz w:val="20"/>
                <w:szCs w:val="20"/>
              </w:rPr>
              <w:t>Macrophages all markers</w:t>
            </w:r>
          </w:p>
        </w:tc>
        <w:tc>
          <w:tcPr>
            <w:tcW w:w="7920" w:type="dxa"/>
            <w:tcBorders>
              <w:right w:val="nil"/>
            </w:tcBorders>
          </w:tcPr>
          <w:p w14:paraId="3EC2E71B" w14:textId="77777777" w:rsidR="006530D9" w:rsidRPr="006E0BEB" w:rsidRDefault="006530D9" w:rsidP="002C359D">
            <w:pPr>
              <w:rPr>
                <w:sz w:val="20"/>
                <w:szCs w:val="20"/>
              </w:rPr>
            </w:pPr>
            <w:r w:rsidRPr="006E0BEB">
              <w:rPr>
                <w:sz w:val="20"/>
                <w:szCs w:val="20"/>
              </w:rPr>
              <w:t>CPM     SLAMF9  PARP14  FGD2    RBPJ    EGLN3   FGL2    ARL11   MMP12   FPR1    RAB20   FMNL1   CCL24   CD300A  MYO1G   DUSP5   SAMSN1  HILPDA  SLC37A2, IFNAR2  HPGD    CD5L    FGR     CYBB    CD200R1  TYROBP  SLC15A3, SYK ITGAL    ITGAM    CD14     FUT4     FCGR3A   CD33     FCGR1A   CD80     CD86     CD163    CCR5     TLR2     TLR4     ADGRE1   GPR34    TREM2    FABP4   S100A8   CHIT1    F13A1    CX3CR1   CXCL16   TGFBR1   SCIMP    CD83     C3AR1    STAB1    MRC1     RAB7B    SLCO2B1  NAAA     JAML     GPNMB    CLEC4D  ADAM8    LYVE1    PLTP     VSIG4    MS4A4A   MS4A6A   CD180    GDF15    HFE      CCR2     SNX20    GPR132   SLAMF7   NCEH1    C5AR1    CXCL2    CCL7    CCL2     IL1B     IRF5     AHR      GPR171   CCR7     DNASE1L3  CXCL1    NR4A3    CCL22    S100A4   MMP9     NRP2     CTSK     CD36     LPCAT2   HPGDS  SLC11A1  CLEC7A   CYTH4    CD3E     CD19     CD74     CSF1R    LGALS3   CD68     UCP2     TREML4   CD200    GATA6    ITGAX    PPARG    RGS1     DAB2    P2RY6    MAF      CLEC10A  ADGRE5   CYP27A1  RUNX3</w:t>
            </w:r>
          </w:p>
        </w:tc>
      </w:tr>
    </w:tbl>
    <w:p w14:paraId="6754D378" w14:textId="77777777" w:rsidR="00994A3D" w:rsidRPr="001549D3" w:rsidRDefault="00994A3D" w:rsidP="00994A3D">
      <w:pPr>
        <w:keepNext/>
        <w:rPr>
          <w:rFonts w:cs="Times New Roman"/>
          <w:szCs w:val="24"/>
        </w:rPr>
      </w:pP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6817" w14:textId="77777777" w:rsidR="00B0309E" w:rsidRDefault="00B0309E" w:rsidP="00117666">
      <w:pPr>
        <w:spacing w:after="0"/>
      </w:pPr>
      <w:r>
        <w:separator/>
      </w:r>
    </w:p>
  </w:endnote>
  <w:endnote w:type="continuationSeparator" w:id="0">
    <w:p w14:paraId="48D303CD" w14:textId="77777777" w:rsidR="00B0309E" w:rsidRDefault="00B0309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eastAsia="zh-CN" w:bidi="th-TH"/>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03CCC9C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6E4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03CCC9C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6E4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eastAsia="zh-CN" w:bidi="th-TH"/>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D53" w14:textId="77777777" w:rsidR="00B0309E" w:rsidRDefault="00B0309E" w:rsidP="00117666">
      <w:pPr>
        <w:spacing w:after="0"/>
      </w:pPr>
      <w:r>
        <w:separator/>
      </w:r>
    </w:p>
  </w:footnote>
  <w:footnote w:type="continuationSeparator" w:id="0">
    <w:p w14:paraId="3B9C61EE" w14:textId="77777777" w:rsidR="00B0309E" w:rsidRDefault="00B0309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eastAsia="zh-CN" w:bidi="th-TH"/>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00D96"/>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45952"/>
    <w:rsid w:val="006530D9"/>
    <w:rsid w:val="00654E8F"/>
    <w:rsid w:val="00660D05"/>
    <w:rsid w:val="006820B1"/>
    <w:rsid w:val="00687FCA"/>
    <w:rsid w:val="006B7D14"/>
    <w:rsid w:val="006D18EF"/>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74599"/>
    <w:rsid w:val="00994A3D"/>
    <w:rsid w:val="009C2B12"/>
    <w:rsid w:val="00A174D9"/>
    <w:rsid w:val="00AA4D24"/>
    <w:rsid w:val="00AB6715"/>
    <w:rsid w:val="00B0309E"/>
    <w:rsid w:val="00B1671E"/>
    <w:rsid w:val="00B25EB8"/>
    <w:rsid w:val="00B37F4D"/>
    <w:rsid w:val="00B66AD3"/>
    <w:rsid w:val="00C52A7B"/>
    <w:rsid w:val="00C56BAF"/>
    <w:rsid w:val="00C679AA"/>
    <w:rsid w:val="00C75972"/>
    <w:rsid w:val="00CD066B"/>
    <w:rsid w:val="00CE4FEE"/>
    <w:rsid w:val="00D060CF"/>
    <w:rsid w:val="00D21265"/>
    <w:rsid w:val="00DB59C3"/>
    <w:rsid w:val="00DC259A"/>
    <w:rsid w:val="00DE23E8"/>
    <w:rsid w:val="00E52377"/>
    <w:rsid w:val="00E537AD"/>
    <w:rsid w:val="00E64E17"/>
    <w:rsid w:val="00E866C9"/>
    <w:rsid w:val="00EA3D3C"/>
    <w:rsid w:val="00EC090A"/>
    <w:rsid w:val="00ED20B5"/>
    <w:rsid w:val="00F157FC"/>
    <w:rsid w:val="00F36E47"/>
    <w:rsid w:val="00F46900"/>
    <w:rsid w:val="00F61D89"/>
    <w:rsid w:val="00FD4E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0B"/>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217AC7-FB83-4BAE-818A-CB5DFD0B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Frontiers Media SA</cp:lastModifiedBy>
  <cp:revision>3</cp:revision>
  <cp:lastPrinted>2013-10-03T12:51:00Z</cp:lastPrinted>
  <dcterms:created xsi:type="dcterms:W3CDTF">2021-04-12T16:08:00Z</dcterms:created>
  <dcterms:modified xsi:type="dcterms:W3CDTF">2021-04-12T16:09:00Z</dcterms:modified>
</cp:coreProperties>
</file>